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5.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6.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7.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8.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drawings/drawing1.xml" ContentType="application/vnd.openxmlformats-officedocument.drawingml.chartshapes+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1.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2.xml" ContentType="application/vnd.openxmlformats-officedocument.themeOverrid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3.xml" ContentType="application/vnd.openxmlformats-officedocument.themeOverrid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4.xml" ContentType="application/vnd.openxmlformats-officedocument.themeOverrid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5.xml" ContentType="application/vnd.openxmlformats-officedocument.themeOverrid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6.xml" ContentType="application/vnd.openxmlformats-officedocument.themeOverrid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7.xml" ContentType="application/vnd.openxmlformats-officedocument.themeOverrid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8.xml" ContentType="application/vnd.openxmlformats-officedocument.themeOverrid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9.xml" ContentType="application/vnd.openxmlformats-officedocument.themeOverrid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80735" w:rsidRPr="00E54D32" w:rsidRDefault="00580735" w:rsidP="00580735">
      <w:pPr>
        <w:tabs>
          <w:tab w:val="left" w:pos="2730"/>
        </w:tabs>
        <w:spacing w:before="100" w:beforeAutospacing="1" w:after="0"/>
        <w:ind w:right="-46"/>
        <w:jc w:val="center"/>
        <w:rPr>
          <w:rFonts w:ascii="Times New Roman" w:hAnsi="Times New Roman" w:cs="Times New Roman"/>
          <w:b/>
          <w:sz w:val="24"/>
          <w:szCs w:val="24"/>
        </w:rPr>
      </w:pPr>
      <w:r w:rsidRPr="00E54D32">
        <w:rPr>
          <w:noProof/>
          <w:lang w:val="en-US"/>
        </w:rPr>
        <w:drawing>
          <wp:anchor distT="0" distB="0" distL="114300" distR="114300" simplePos="0" relativeHeight="251817984" behindDoc="1" locked="0" layoutInCell="1" allowOverlap="1" wp14:anchorId="55D98F8E" wp14:editId="166526C9">
            <wp:simplePos x="0" y="0"/>
            <wp:positionH relativeFrom="margin">
              <wp:posOffset>-447675</wp:posOffset>
            </wp:positionH>
            <wp:positionV relativeFrom="paragraph">
              <wp:posOffset>2540</wp:posOffset>
            </wp:positionV>
            <wp:extent cx="6677025" cy="1285875"/>
            <wp:effectExtent l="0" t="0" r="9525" b="9525"/>
            <wp:wrapSquare wrapText="bothSides"/>
            <wp:docPr id="4" name="Picture 4" descr="cid:image001.jpg@01D4C9C9.A12AE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4C9C9.A12AE760"/>
                    <pic:cNvPicPr>
                      <a:picLocks noChangeAspect="1" noChangeArrowheads="1"/>
                    </pic:cNvPicPr>
                  </pic:nvPicPr>
                  <pic:blipFill rotWithShape="1">
                    <a:blip r:embed="rId8" r:link="rId9">
                      <a:extLst>
                        <a:ext uri="{28A0092B-C50C-407E-A947-70E740481C1C}">
                          <a14:useLocalDpi xmlns:a14="http://schemas.microsoft.com/office/drawing/2010/main" val="0"/>
                        </a:ext>
                      </a:extLst>
                    </a:blip>
                    <a:srcRect b="9396"/>
                    <a:stretch/>
                  </pic:blipFill>
                  <pic:spPr bwMode="auto">
                    <a:xfrm>
                      <a:off x="0" y="0"/>
                      <a:ext cx="6677025" cy="1285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54D32">
        <w:rPr>
          <w:rFonts w:ascii="Times New Roman" w:eastAsia="Times New Roman" w:hAnsi="Times New Roman" w:cs="Times New Roman"/>
          <w:b/>
          <w:bCs/>
          <w:color w:val="333333"/>
          <w:szCs w:val="32"/>
        </w:rPr>
        <w:t>DREJTORIA E PËRGJITHSHME E BORXHIT PUBLIK DHE BASHKËRENDIMIT TË NDIHMËS SË HUAJ</w:t>
      </w:r>
    </w:p>
    <w:p w:rsidR="00580735" w:rsidRPr="00E54D32" w:rsidRDefault="00580735" w:rsidP="00580735">
      <w:pPr>
        <w:shd w:val="clear" w:color="auto" w:fill="FFFFFF" w:themeFill="background1"/>
        <w:autoSpaceDE w:val="0"/>
        <w:autoSpaceDN w:val="0"/>
        <w:adjustRightInd w:val="0"/>
        <w:spacing w:after="0" w:line="240" w:lineRule="auto"/>
        <w:ind w:right="-46"/>
        <w:rPr>
          <w:rFonts w:ascii="Cambria" w:eastAsia="Batang" w:hAnsi="Cambria" w:cs="Times New Roman"/>
          <w:b/>
          <w:noProof/>
          <w:color w:val="800000"/>
          <w:sz w:val="40"/>
          <w:szCs w:val="40"/>
          <w:lang w:eastAsia="ko-KR"/>
        </w:rPr>
      </w:pPr>
    </w:p>
    <w:p w:rsidR="00A47106" w:rsidRPr="00E54D32" w:rsidRDefault="00A47106" w:rsidP="00FC2F2F">
      <w:pPr>
        <w:shd w:val="clear" w:color="auto" w:fill="FFFFFF" w:themeFill="background1"/>
        <w:autoSpaceDE w:val="0"/>
        <w:autoSpaceDN w:val="0"/>
        <w:adjustRightInd w:val="0"/>
        <w:spacing w:after="0" w:line="240" w:lineRule="auto"/>
        <w:ind w:right="-46"/>
        <w:rPr>
          <w:rFonts w:ascii="Cambria" w:eastAsia="Batang" w:hAnsi="Cambria" w:cs="Times New Roman"/>
          <w:b/>
          <w:noProof/>
          <w:color w:val="800000"/>
          <w:sz w:val="40"/>
          <w:szCs w:val="40"/>
          <w:lang w:eastAsia="ko-KR"/>
        </w:rPr>
      </w:pPr>
    </w:p>
    <w:p w:rsidR="00A47106" w:rsidRPr="00E54D32" w:rsidRDefault="00A47106" w:rsidP="00FC2F2F">
      <w:pPr>
        <w:shd w:val="clear" w:color="auto" w:fill="FFFFFF" w:themeFill="background1"/>
        <w:autoSpaceDE w:val="0"/>
        <w:autoSpaceDN w:val="0"/>
        <w:adjustRightInd w:val="0"/>
        <w:spacing w:after="0" w:line="240" w:lineRule="auto"/>
        <w:ind w:right="-46"/>
        <w:rPr>
          <w:rFonts w:ascii="Cambria" w:eastAsia="Batang" w:hAnsi="Cambria" w:cs="Times New Roman"/>
          <w:b/>
          <w:noProof/>
          <w:color w:val="800000"/>
          <w:sz w:val="40"/>
          <w:szCs w:val="40"/>
          <w:lang w:eastAsia="ko-KR"/>
        </w:rPr>
      </w:pPr>
    </w:p>
    <w:p w:rsidR="00A47106" w:rsidRPr="00E54D32" w:rsidRDefault="00A47106" w:rsidP="00FC2F2F">
      <w:pPr>
        <w:shd w:val="clear" w:color="auto" w:fill="FFFFFF" w:themeFill="background1"/>
        <w:autoSpaceDE w:val="0"/>
        <w:autoSpaceDN w:val="0"/>
        <w:adjustRightInd w:val="0"/>
        <w:spacing w:after="0" w:line="240" w:lineRule="auto"/>
        <w:ind w:right="-46"/>
        <w:rPr>
          <w:rFonts w:ascii="Cambria" w:eastAsia="Batang" w:hAnsi="Cambria" w:cs="Times New Roman"/>
          <w:b/>
          <w:noProof/>
          <w:color w:val="800000"/>
          <w:sz w:val="40"/>
          <w:szCs w:val="40"/>
          <w:lang w:eastAsia="ko-KR"/>
        </w:rPr>
      </w:pPr>
    </w:p>
    <w:p w:rsidR="00A47106" w:rsidRPr="00E54D32" w:rsidRDefault="00A47106" w:rsidP="00FC2F2F">
      <w:pPr>
        <w:shd w:val="clear" w:color="auto" w:fill="FFFFFF" w:themeFill="background1"/>
        <w:autoSpaceDE w:val="0"/>
        <w:autoSpaceDN w:val="0"/>
        <w:adjustRightInd w:val="0"/>
        <w:spacing w:after="0" w:line="240" w:lineRule="auto"/>
        <w:ind w:right="-46"/>
        <w:rPr>
          <w:rFonts w:ascii="Cambria" w:eastAsia="Batang" w:hAnsi="Cambria" w:cs="Times New Roman"/>
          <w:b/>
          <w:noProof/>
          <w:color w:val="800000"/>
          <w:sz w:val="40"/>
          <w:szCs w:val="40"/>
          <w:lang w:eastAsia="ko-KR"/>
        </w:rPr>
      </w:pPr>
    </w:p>
    <w:p w:rsidR="00A47106" w:rsidRPr="00E54D32" w:rsidRDefault="00A47106" w:rsidP="00FC2F2F">
      <w:pPr>
        <w:shd w:val="clear" w:color="auto" w:fill="FFFFFF" w:themeFill="background1"/>
        <w:autoSpaceDE w:val="0"/>
        <w:autoSpaceDN w:val="0"/>
        <w:adjustRightInd w:val="0"/>
        <w:spacing w:after="0" w:line="240" w:lineRule="auto"/>
        <w:ind w:right="-46"/>
        <w:rPr>
          <w:rFonts w:ascii="Cambria" w:eastAsia="Batang" w:hAnsi="Cambria" w:cs="Times New Roman"/>
          <w:b/>
          <w:noProof/>
          <w:color w:val="800000"/>
          <w:sz w:val="40"/>
          <w:szCs w:val="40"/>
          <w:lang w:eastAsia="ko-KR"/>
        </w:rPr>
      </w:pPr>
    </w:p>
    <w:p w:rsidR="00F6252F" w:rsidRPr="00E54D32" w:rsidRDefault="004B551A" w:rsidP="00FC2F2F">
      <w:pPr>
        <w:shd w:val="clear" w:color="auto" w:fill="FFFFFF" w:themeFill="background1"/>
        <w:autoSpaceDE w:val="0"/>
        <w:autoSpaceDN w:val="0"/>
        <w:adjustRightInd w:val="0"/>
        <w:spacing w:after="0" w:line="240" w:lineRule="auto"/>
        <w:ind w:right="-46"/>
        <w:rPr>
          <w:rFonts w:ascii="Cambria" w:eastAsia="Batang" w:hAnsi="Cambria" w:cs="Times New Roman"/>
          <w:b/>
          <w:noProof/>
          <w:color w:val="800000"/>
          <w:sz w:val="40"/>
          <w:szCs w:val="40"/>
          <w:lang w:eastAsia="ko-KR"/>
        </w:rPr>
      </w:pPr>
      <w:r w:rsidRPr="00E54D32">
        <w:rPr>
          <w:rFonts w:ascii="Cambria" w:eastAsia="Batang" w:hAnsi="Cambria" w:cs="Times New Roman"/>
          <w:b/>
          <w:noProof/>
          <w:color w:val="800000"/>
          <w:sz w:val="40"/>
          <w:szCs w:val="40"/>
          <w:lang w:eastAsia="ko-KR"/>
        </w:rPr>
        <w:t xml:space="preserve">                          </w:t>
      </w:r>
      <w:r w:rsidR="002E0F5E" w:rsidRPr="00E54D32">
        <w:rPr>
          <w:rFonts w:ascii="Cambria" w:eastAsia="Batang" w:hAnsi="Cambria" w:cs="Times New Roman"/>
          <w:b/>
          <w:noProof/>
          <w:color w:val="800000"/>
          <w:sz w:val="40"/>
          <w:szCs w:val="40"/>
          <w:lang w:eastAsia="ko-KR"/>
        </w:rPr>
        <w:t>___</w:t>
      </w:r>
      <w:r w:rsidR="00F6252F" w:rsidRPr="00E54D32">
        <w:rPr>
          <w:rFonts w:ascii="Cambria" w:eastAsia="Batang" w:hAnsi="Cambria" w:cs="Times New Roman"/>
          <w:b/>
          <w:noProof/>
          <w:color w:val="800000"/>
          <w:sz w:val="40"/>
          <w:szCs w:val="40"/>
          <w:lang w:eastAsia="ko-KR"/>
        </w:rPr>
        <w:t>______________________</w:t>
      </w:r>
      <w:r w:rsidR="002E0F5E" w:rsidRPr="00E54D32">
        <w:rPr>
          <w:rFonts w:ascii="Cambria" w:eastAsia="Batang" w:hAnsi="Cambria" w:cs="Times New Roman"/>
          <w:b/>
          <w:noProof/>
          <w:color w:val="800000"/>
          <w:sz w:val="40"/>
          <w:szCs w:val="40"/>
          <w:lang w:eastAsia="ko-KR"/>
        </w:rPr>
        <w:t>_____</w:t>
      </w:r>
    </w:p>
    <w:p w:rsidR="0068427E" w:rsidRPr="00E54D32" w:rsidRDefault="0068427E" w:rsidP="00FC2F2F">
      <w:pPr>
        <w:shd w:val="clear" w:color="auto" w:fill="FFFFFF" w:themeFill="background1"/>
        <w:autoSpaceDE w:val="0"/>
        <w:autoSpaceDN w:val="0"/>
        <w:adjustRightInd w:val="0"/>
        <w:spacing w:after="0" w:line="240" w:lineRule="auto"/>
        <w:ind w:right="-46"/>
        <w:jc w:val="center"/>
        <w:rPr>
          <w:rFonts w:ascii="Cambria" w:eastAsia="Batang" w:hAnsi="Cambria" w:cs="Times New Roman"/>
          <w:b/>
          <w:noProof/>
          <w:color w:val="800000"/>
          <w:sz w:val="32"/>
          <w:szCs w:val="32"/>
          <w:lang w:eastAsia="ko-KR"/>
        </w:rPr>
      </w:pPr>
    </w:p>
    <w:p w:rsidR="003E7C26" w:rsidRPr="00E54D32" w:rsidRDefault="003E7C26" w:rsidP="00FC2F2F">
      <w:pPr>
        <w:shd w:val="clear" w:color="auto" w:fill="FFFFFF" w:themeFill="background1"/>
        <w:autoSpaceDE w:val="0"/>
        <w:autoSpaceDN w:val="0"/>
        <w:adjustRightInd w:val="0"/>
        <w:spacing w:after="0" w:line="240" w:lineRule="auto"/>
        <w:ind w:right="-46"/>
        <w:jc w:val="center"/>
        <w:rPr>
          <w:rFonts w:ascii="Cambria" w:eastAsia="Batang" w:hAnsi="Cambria" w:cs="Times New Roman"/>
          <w:b/>
          <w:noProof/>
          <w:sz w:val="40"/>
          <w:szCs w:val="40"/>
          <w:lang w:eastAsia="ko-KR"/>
        </w:rPr>
      </w:pPr>
      <w:r w:rsidRPr="00E54D32">
        <w:rPr>
          <w:rFonts w:ascii="Cambria" w:eastAsia="Batang" w:hAnsi="Cambria" w:cs="Times New Roman"/>
          <w:b/>
          <w:noProof/>
          <w:sz w:val="40"/>
          <w:szCs w:val="40"/>
          <w:lang w:eastAsia="ko-KR"/>
        </w:rPr>
        <w:t>ANALIZ</w:t>
      </w:r>
      <w:r w:rsidR="0059355B" w:rsidRPr="00E54D32">
        <w:rPr>
          <w:rFonts w:ascii="Cambria" w:eastAsia="Batang" w:hAnsi="Cambria" w:cs="Times New Roman"/>
          <w:b/>
          <w:noProof/>
          <w:sz w:val="40"/>
          <w:szCs w:val="40"/>
          <w:lang w:eastAsia="ko-KR"/>
        </w:rPr>
        <w:t>A</w:t>
      </w:r>
      <w:r w:rsidRPr="00E54D32">
        <w:rPr>
          <w:rFonts w:ascii="Cambria" w:eastAsia="Batang" w:hAnsi="Cambria" w:cs="Times New Roman"/>
          <w:b/>
          <w:noProof/>
          <w:sz w:val="40"/>
          <w:szCs w:val="40"/>
          <w:lang w:eastAsia="ko-KR"/>
        </w:rPr>
        <w:t xml:space="preserve"> </w:t>
      </w:r>
    </w:p>
    <w:p w:rsidR="003E7C26" w:rsidRPr="00E54D32" w:rsidRDefault="003E7C26" w:rsidP="00FC2F2F">
      <w:pPr>
        <w:shd w:val="clear" w:color="auto" w:fill="FFFFFF" w:themeFill="background1"/>
        <w:autoSpaceDE w:val="0"/>
        <w:autoSpaceDN w:val="0"/>
        <w:adjustRightInd w:val="0"/>
        <w:spacing w:after="0" w:line="240" w:lineRule="auto"/>
        <w:ind w:right="-46"/>
        <w:jc w:val="center"/>
        <w:rPr>
          <w:rFonts w:ascii="Cambria" w:eastAsia="Batang" w:hAnsi="Cambria" w:cs="Times New Roman"/>
          <w:b/>
          <w:noProof/>
          <w:sz w:val="40"/>
          <w:szCs w:val="40"/>
          <w:lang w:eastAsia="ko-KR"/>
        </w:rPr>
      </w:pPr>
      <w:r w:rsidRPr="00E54D32">
        <w:rPr>
          <w:rFonts w:ascii="Cambria" w:eastAsia="Batang" w:hAnsi="Cambria" w:cs="Times New Roman"/>
          <w:b/>
          <w:noProof/>
          <w:sz w:val="40"/>
          <w:szCs w:val="40"/>
          <w:lang w:eastAsia="ko-KR"/>
        </w:rPr>
        <w:t xml:space="preserve">E </w:t>
      </w:r>
    </w:p>
    <w:p w:rsidR="00F6252F" w:rsidRPr="00E54D32" w:rsidRDefault="003E7C26" w:rsidP="00FC2F2F">
      <w:pPr>
        <w:shd w:val="clear" w:color="auto" w:fill="FFFFFF" w:themeFill="background1"/>
        <w:autoSpaceDE w:val="0"/>
        <w:autoSpaceDN w:val="0"/>
        <w:adjustRightInd w:val="0"/>
        <w:spacing w:after="0" w:line="240" w:lineRule="auto"/>
        <w:ind w:right="-46"/>
        <w:jc w:val="center"/>
        <w:rPr>
          <w:rFonts w:ascii="Cambria" w:eastAsia="Batang" w:hAnsi="Cambria" w:cs="Times New Roman"/>
          <w:b/>
          <w:noProof/>
          <w:sz w:val="40"/>
          <w:szCs w:val="40"/>
          <w:lang w:eastAsia="ko-KR"/>
        </w:rPr>
      </w:pPr>
      <w:r w:rsidRPr="00E54D32">
        <w:rPr>
          <w:rFonts w:ascii="Cambria" w:eastAsia="Batang" w:hAnsi="Cambria" w:cs="Times New Roman"/>
          <w:b/>
          <w:noProof/>
          <w:sz w:val="40"/>
          <w:szCs w:val="40"/>
          <w:lang w:eastAsia="ko-KR"/>
        </w:rPr>
        <w:t>BORXHIT PUBLIK</w:t>
      </w:r>
    </w:p>
    <w:p w:rsidR="00F6252F" w:rsidRPr="00E54D32" w:rsidRDefault="00F6252F" w:rsidP="00FC2F2F">
      <w:pPr>
        <w:shd w:val="clear" w:color="auto" w:fill="FFFFFF" w:themeFill="background1"/>
        <w:autoSpaceDE w:val="0"/>
        <w:autoSpaceDN w:val="0"/>
        <w:adjustRightInd w:val="0"/>
        <w:spacing w:after="0" w:line="240" w:lineRule="auto"/>
        <w:ind w:right="-46"/>
        <w:jc w:val="center"/>
        <w:rPr>
          <w:rFonts w:ascii="Cambria" w:eastAsia="Batang" w:hAnsi="Cambria" w:cs="Times New Roman"/>
          <w:b/>
          <w:noProof/>
          <w:sz w:val="40"/>
          <w:szCs w:val="40"/>
          <w:lang w:eastAsia="ko-KR"/>
        </w:rPr>
      </w:pPr>
      <w:r w:rsidRPr="00E54D32">
        <w:rPr>
          <w:rFonts w:ascii="Cambria" w:eastAsia="Batang" w:hAnsi="Cambria" w:cs="Times New Roman"/>
          <w:b/>
          <w:noProof/>
          <w:color w:val="800000"/>
          <w:sz w:val="40"/>
          <w:szCs w:val="40"/>
          <w:lang w:eastAsia="ko-KR"/>
        </w:rPr>
        <w:t>______________________________</w:t>
      </w:r>
    </w:p>
    <w:p w:rsidR="00F6252F" w:rsidRPr="00E54D32" w:rsidRDefault="004308D6" w:rsidP="00FC2F2F">
      <w:pPr>
        <w:shd w:val="clear" w:color="auto" w:fill="FFFFFF" w:themeFill="background1"/>
        <w:autoSpaceDE w:val="0"/>
        <w:autoSpaceDN w:val="0"/>
        <w:adjustRightInd w:val="0"/>
        <w:spacing w:after="0" w:line="360" w:lineRule="auto"/>
        <w:ind w:right="-46"/>
        <w:jc w:val="center"/>
        <w:rPr>
          <w:rFonts w:ascii="Cambria" w:eastAsia="Batang" w:hAnsi="Cambria" w:cs="Times New Roman"/>
          <w:b/>
          <w:noProof/>
          <w:color w:val="C00000"/>
          <w:sz w:val="36"/>
          <w:szCs w:val="36"/>
          <w:lang w:eastAsia="ko-KR"/>
        </w:rPr>
      </w:pPr>
      <w:r w:rsidRPr="00E54D32">
        <w:rPr>
          <w:rFonts w:ascii="Cambria" w:eastAsia="Batang" w:hAnsi="Cambria" w:cs="Times New Roman"/>
          <w:b/>
          <w:noProof/>
          <w:color w:val="C00000"/>
          <w:sz w:val="36"/>
          <w:szCs w:val="36"/>
          <w:lang w:eastAsia="ko-KR"/>
        </w:rPr>
        <w:t>(</w:t>
      </w:r>
      <w:r w:rsidR="00D42B07" w:rsidRPr="00E54D32">
        <w:rPr>
          <w:rFonts w:ascii="Cambria" w:eastAsia="Batang" w:hAnsi="Cambria" w:cs="Times New Roman"/>
          <w:b/>
          <w:noProof/>
          <w:color w:val="C00000"/>
          <w:sz w:val="36"/>
          <w:szCs w:val="36"/>
          <w:lang w:eastAsia="ko-KR"/>
        </w:rPr>
        <w:t>Janar-</w:t>
      </w:r>
      <w:r w:rsidR="00AA72D8">
        <w:rPr>
          <w:rFonts w:ascii="Cambria" w:eastAsia="Batang" w:hAnsi="Cambria" w:cs="Times New Roman"/>
          <w:b/>
          <w:noProof/>
          <w:color w:val="C00000"/>
          <w:sz w:val="36"/>
          <w:szCs w:val="36"/>
          <w:lang w:eastAsia="ko-KR"/>
        </w:rPr>
        <w:t xml:space="preserve"> Dhjetor </w:t>
      </w:r>
      <w:r w:rsidR="00D42B07" w:rsidRPr="00E54D32">
        <w:rPr>
          <w:rFonts w:ascii="Cambria" w:eastAsia="Batang" w:hAnsi="Cambria" w:cs="Times New Roman"/>
          <w:b/>
          <w:noProof/>
          <w:color w:val="C00000"/>
          <w:sz w:val="36"/>
          <w:szCs w:val="36"/>
          <w:lang w:eastAsia="ko-KR"/>
        </w:rPr>
        <w:t>202</w:t>
      </w:r>
      <w:r w:rsidR="000674A7" w:rsidRPr="00E54D32">
        <w:rPr>
          <w:rFonts w:ascii="Cambria" w:eastAsia="Batang" w:hAnsi="Cambria" w:cs="Times New Roman"/>
          <w:b/>
          <w:noProof/>
          <w:color w:val="C00000"/>
          <w:sz w:val="36"/>
          <w:szCs w:val="36"/>
          <w:lang w:eastAsia="ko-KR"/>
        </w:rPr>
        <w:t>1</w:t>
      </w:r>
      <w:r w:rsidRPr="00E54D32">
        <w:rPr>
          <w:rFonts w:ascii="Cambria" w:eastAsia="Batang" w:hAnsi="Cambria" w:cs="Times New Roman"/>
          <w:b/>
          <w:noProof/>
          <w:color w:val="C00000"/>
          <w:sz w:val="36"/>
          <w:szCs w:val="36"/>
          <w:lang w:eastAsia="ko-KR"/>
        </w:rPr>
        <w:t>)</w:t>
      </w:r>
    </w:p>
    <w:p w:rsidR="004B551A" w:rsidRPr="00E54D32" w:rsidRDefault="004B551A" w:rsidP="00FC2F2F">
      <w:pPr>
        <w:tabs>
          <w:tab w:val="left" w:pos="2730"/>
        </w:tabs>
        <w:spacing w:before="100" w:beforeAutospacing="1" w:after="0"/>
        <w:ind w:right="-46"/>
        <w:jc w:val="center"/>
        <w:rPr>
          <w:rFonts w:ascii="Times New Roman" w:hAnsi="Times New Roman" w:cs="Times New Roman"/>
          <w:b/>
          <w:sz w:val="24"/>
          <w:szCs w:val="24"/>
        </w:rPr>
      </w:pPr>
    </w:p>
    <w:p w:rsidR="004B551A" w:rsidRPr="00E54D32" w:rsidRDefault="004B551A" w:rsidP="00FC2F2F">
      <w:pPr>
        <w:tabs>
          <w:tab w:val="left" w:pos="2730"/>
        </w:tabs>
        <w:spacing w:before="100" w:beforeAutospacing="1" w:after="0"/>
        <w:ind w:right="-46"/>
        <w:jc w:val="center"/>
        <w:rPr>
          <w:rFonts w:ascii="Times New Roman" w:hAnsi="Times New Roman" w:cs="Times New Roman"/>
          <w:b/>
          <w:sz w:val="24"/>
          <w:szCs w:val="24"/>
        </w:rPr>
      </w:pPr>
    </w:p>
    <w:p w:rsidR="004B551A" w:rsidRPr="00E54D32" w:rsidRDefault="004B551A" w:rsidP="00FC2F2F">
      <w:pPr>
        <w:tabs>
          <w:tab w:val="left" w:pos="2730"/>
        </w:tabs>
        <w:spacing w:before="100" w:beforeAutospacing="1" w:after="0"/>
        <w:ind w:right="-46"/>
        <w:jc w:val="center"/>
        <w:rPr>
          <w:rFonts w:ascii="Times New Roman" w:hAnsi="Times New Roman" w:cs="Times New Roman"/>
          <w:b/>
          <w:sz w:val="24"/>
          <w:szCs w:val="24"/>
        </w:rPr>
      </w:pPr>
    </w:p>
    <w:p w:rsidR="00A47106" w:rsidRPr="00E54D32" w:rsidRDefault="00A47106" w:rsidP="00FC2F2F">
      <w:pPr>
        <w:spacing w:after="0" w:line="240" w:lineRule="auto"/>
        <w:ind w:right="-46"/>
        <w:jc w:val="center"/>
        <w:rPr>
          <w:rFonts w:ascii="Times New Roman" w:hAnsi="Times New Roman" w:cs="Times New Roman"/>
          <w:b/>
          <w:caps/>
        </w:rPr>
      </w:pPr>
    </w:p>
    <w:p w:rsidR="00F6252F" w:rsidRPr="00E54D32" w:rsidRDefault="00F6252F" w:rsidP="00FC2F2F">
      <w:pPr>
        <w:ind w:right="-46"/>
        <w:rPr>
          <w:rFonts w:ascii="Times New Roman" w:hAnsi="Times New Roman" w:cs="Times New Roman"/>
          <w:b/>
          <w:sz w:val="24"/>
          <w:szCs w:val="24"/>
        </w:rPr>
      </w:pPr>
    </w:p>
    <w:p w:rsidR="00F6252F" w:rsidRPr="00E54D32" w:rsidRDefault="00F6252F" w:rsidP="00FC2F2F">
      <w:pPr>
        <w:ind w:right="-46"/>
        <w:rPr>
          <w:rFonts w:ascii="Times New Roman" w:hAnsi="Times New Roman" w:cs="Times New Roman"/>
          <w:b/>
          <w:sz w:val="24"/>
          <w:szCs w:val="24"/>
        </w:rPr>
      </w:pPr>
    </w:p>
    <w:p w:rsidR="00F6252F" w:rsidRPr="00E54D32" w:rsidRDefault="00F6252F" w:rsidP="00FC2F2F">
      <w:pPr>
        <w:ind w:right="-46"/>
        <w:rPr>
          <w:rFonts w:ascii="Times New Roman" w:hAnsi="Times New Roman" w:cs="Times New Roman"/>
          <w:b/>
          <w:sz w:val="24"/>
          <w:szCs w:val="24"/>
        </w:rPr>
      </w:pPr>
    </w:p>
    <w:p w:rsidR="00F6252F" w:rsidRPr="00E54D32" w:rsidRDefault="00A345B1" w:rsidP="00A345B1">
      <w:pPr>
        <w:tabs>
          <w:tab w:val="left" w:pos="8205"/>
        </w:tabs>
        <w:ind w:right="-46"/>
        <w:rPr>
          <w:rFonts w:ascii="Times New Roman" w:hAnsi="Times New Roman" w:cs="Times New Roman"/>
          <w:b/>
          <w:sz w:val="24"/>
          <w:szCs w:val="24"/>
        </w:rPr>
      </w:pPr>
      <w:r w:rsidRPr="00E54D32">
        <w:rPr>
          <w:rFonts w:ascii="Times New Roman" w:hAnsi="Times New Roman" w:cs="Times New Roman"/>
          <w:b/>
          <w:sz w:val="24"/>
          <w:szCs w:val="24"/>
        </w:rPr>
        <w:tab/>
      </w:r>
    </w:p>
    <w:p w:rsidR="00F6252F" w:rsidRPr="00E54D32" w:rsidRDefault="00F6252F" w:rsidP="00FC2F2F">
      <w:pPr>
        <w:ind w:right="-46"/>
        <w:rPr>
          <w:rFonts w:ascii="Times New Roman" w:hAnsi="Times New Roman" w:cs="Times New Roman"/>
          <w:b/>
          <w:sz w:val="24"/>
          <w:szCs w:val="24"/>
        </w:rPr>
      </w:pPr>
    </w:p>
    <w:p w:rsidR="00F6252F" w:rsidRPr="00E54D32" w:rsidRDefault="00F6252F" w:rsidP="00FC2F2F">
      <w:pPr>
        <w:ind w:right="-46"/>
        <w:rPr>
          <w:rFonts w:ascii="Times New Roman" w:hAnsi="Times New Roman" w:cs="Times New Roman"/>
          <w:b/>
          <w:sz w:val="24"/>
          <w:szCs w:val="24"/>
        </w:rPr>
      </w:pPr>
    </w:p>
    <w:p w:rsidR="00F6252F" w:rsidRPr="00E54D32" w:rsidRDefault="00F6252F" w:rsidP="00FC2F2F">
      <w:pPr>
        <w:ind w:right="-46"/>
        <w:rPr>
          <w:rFonts w:ascii="Cambria" w:hAnsi="Cambria" w:cs="Times New Roman"/>
          <w:sz w:val="24"/>
          <w:szCs w:val="24"/>
        </w:rPr>
      </w:pPr>
    </w:p>
    <w:p w:rsidR="00A47106" w:rsidRPr="00E54D32" w:rsidRDefault="000467B8" w:rsidP="00784E52">
      <w:pPr>
        <w:ind w:right="-46"/>
        <w:jc w:val="center"/>
        <w:rPr>
          <w:rFonts w:ascii="Cambria" w:hAnsi="Cambria" w:cs="Times New Roman"/>
          <w:sz w:val="24"/>
          <w:szCs w:val="24"/>
        </w:rPr>
      </w:pPr>
      <w:r>
        <w:rPr>
          <w:rFonts w:ascii="Cambria" w:hAnsi="Cambria" w:cs="Times New Roman"/>
          <w:sz w:val="24"/>
          <w:szCs w:val="24"/>
        </w:rPr>
        <w:t xml:space="preserve">Maj </w:t>
      </w:r>
      <w:r w:rsidR="00E54D32">
        <w:rPr>
          <w:rFonts w:ascii="Cambria" w:hAnsi="Cambria" w:cs="Times New Roman"/>
          <w:sz w:val="24"/>
          <w:szCs w:val="24"/>
        </w:rPr>
        <w:t>2022</w:t>
      </w:r>
    </w:p>
    <w:sdt>
      <w:sdtPr>
        <w:rPr>
          <w:rFonts w:asciiTheme="minorHAnsi" w:eastAsiaTheme="minorHAnsi" w:hAnsiTheme="minorHAnsi" w:cstheme="minorBidi"/>
          <w:color w:val="auto"/>
          <w:sz w:val="22"/>
          <w:szCs w:val="22"/>
          <w:highlight w:val="yellow"/>
          <w:lang w:val="sq-AL"/>
        </w:rPr>
        <w:id w:val="-1731071290"/>
        <w:docPartObj>
          <w:docPartGallery w:val="Table of Contents"/>
          <w:docPartUnique/>
        </w:docPartObj>
      </w:sdtPr>
      <w:sdtEndPr>
        <w:rPr>
          <w:rFonts w:eastAsia="MS Mincho"/>
          <w:b/>
          <w:bCs/>
          <w:noProof/>
          <w:sz w:val="24"/>
          <w:szCs w:val="24"/>
        </w:rPr>
      </w:sdtEndPr>
      <w:sdtContent>
        <w:p w:rsidR="001F3412" w:rsidRPr="00E54D32" w:rsidRDefault="001F3412" w:rsidP="00FC2F2F">
          <w:pPr>
            <w:pStyle w:val="TOCHeading"/>
            <w:ind w:right="-46"/>
            <w:rPr>
              <w:rFonts w:asciiTheme="minorHAnsi" w:eastAsiaTheme="minorHAnsi" w:hAnsiTheme="minorHAnsi" w:cstheme="minorBidi"/>
              <w:color w:val="auto"/>
              <w:sz w:val="22"/>
              <w:szCs w:val="22"/>
              <w:lang w:val="sq-AL"/>
            </w:rPr>
          </w:pPr>
        </w:p>
        <w:p w:rsidR="00762F38" w:rsidRPr="00E54D32" w:rsidRDefault="00506686" w:rsidP="00FC2F2F">
          <w:pPr>
            <w:pStyle w:val="TOCHeading"/>
            <w:ind w:right="-46"/>
            <w:jc w:val="center"/>
            <w:rPr>
              <w:rFonts w:ascii="Cambria" w:hAnsi="Cambria"/>
              <w:b/>
              <w:color w:val="C00000"/>
              <w:sz w:val="24"/>
            </w:rPr>
          </w:pPr>
          <w:r w:rsidRPr="00E54D32">
            <w:rPr>
              <w:rFonts w:ascii="Cambria" w:hAnsi="Cambria"/>
              <w:b/>
              <w:color w:val="C00000"/>
              <w:sz w:val="24"/>
            </w:rPr>
            <w:t>P</w:t>
          </w:r>
          <w:r w:rsidR="00D7649A" w:rsidRPr="00E54D32">
            <w:rPr>
              <w:rFonts w:ascii="Cambria" w:hAnsi="Cambria"/>
              <w:b/>
              <w:color w:val="C00000"/>
              <w:sz w:val="24"/>
            </w:rPr>
            <w:t>Ë</w:t>
          </w:r>
          <w:r w:rsidRPr="00E54D32">
            <w:rPr>
              <w:rFonts w:ascii="Cambria" w:hAnsi="Cambria"/>
              <w:b/>
              <w:color w:val="C00000"/>
              <w:sz w:val="24"/>
            </w:rPr>
            <w:t>RMBAJTJ</w:t>
          </w:r>
          <w:r w:rsidR="00AD5C99" w:rsidRPr="00E54D32">
            <w:rPr>
              <w:rFonts w:ascii="Cambria" w:hAnsi="Cambria"/>
              <w:b/>
              <w:color w:val="C00000"/>
              <w:sz w:val="24"/>
            </w:rPr>
            <w:t>E</w:t>
          </w:r>
        </w:p>
        <w:p w:rsidR="003B3BBB" w:rsidRPr="00E54D32" w:rsidRDefault="003B3BBB" w:rsidP="00FC2F2F">
          <w:pPr>
            <w:ind w:right="-46"/>
            <w:rPr>
              <w:rFonts w:ascii="Cambria" w:hAnsi="Cambria"/>
              <w:lang w:val="en-US"/>
            </w:rPr>
          </w:pPr>
        </w:p>
        <w:p w:rsidR="003C1892" w:rsidRPr="00E54D32" w:rsidRDefault="00762F38" w:rsidP="00513848">
          <w:pPr>
            <w:pStyle w:val="TOC1"/>
          </w:pPr>
          <w:r w:rsidRPr="00E54D32">
            <w:t xml:space="preserve">           </w:t>
          </w:r>
          <w:r w:rsidR="00506686" w:rsidRPr="00E54D32">
            <w:fldChar w:fldCharType="begin"/>
          </w:r>
          <w:r w:rsidR="00506686" w:rsidRPr="00E54D32">
            <w:instrText xml:space="preserve"> TOC \o "1-3" \h \z \u </w:instrText>
          </w:r>
          <w:r w:rsidR="00506686" w:rsidRPr="00E54D32">
            <w:fldChar w:fldCharType="separate"/>
          </w:r>
        </w:p>
        <w:p w:rsidR="003C1892" w:rsidRPr="00E54D32" w:rsidRDefault="000512F9">
          <w:pPr>
            <w:pStyle w:val="TOC1"/>
            <w:rPr>
              <w:rFonts w:asciiTheme="minorHAnsi" w:eastAsiaTheme="minorEastAsia" w:hAnsiTheme="minorHAnsi"/>
              <w:b w:val="0"/>
              <w:lang w:val="en-US"/>
            </w:rPr>
          </w:pPr>
          <w:hyperlink w:anchor="_Toc34645060" w:history="1">
            <w:r w:rsidR="003C1892" w:rsidRPr="00E54D32">
              <w:rPr>
                <w:rStyle w:val="Hyperlink"/>
              </w:rPr>
              <w:t>PËRMBLEDHJE</w:t>
            </w:r>
            <w:r w:rsidR="003C1892" w:rsidRPr="00E54D32">
              <w:rPr>
                <w:webHidden/>
              </w:rPr>
              <w:tab/>
            </w:r>
            <w:r w:rsidR="003C1892" w:rsidRPr="00E54D32">
              <w:rPr>
                <w:webHidden/>
              </w:rPr>
              <w:fldChar w:fldCharType="begin"/>
            </w:r>
            <w:r w:rsidR="003C1892" w:rsidRPr="00E54D32">
              <w:rPr>
                <w:webHidden/>
              </w:rPr>
              <w:instrText xml:space="preserve"> PAGEREF _Toc34645060 \h </w:instrText>
            </w:r>
            <w:r w:rsidR="003C1892" w:rsidRPr="00E54D32">
              <w:rPr>
                <w:webHidden/>
              </w:rPr>
            </w:r>
            <w:r w:rsidR="003C1892" w:rsidRPr="00E54D32">
              <w:rPr>
                <w:webHidden/>
              </w:rPr>
              <w:fldChar w:fldCharType="separate"/>
            </w:r>
            <w:r w:rsidR="00D22D6D">
              <w:rPr>
                <w:webHidden/>
              </w:rPr>
              <w:t>2</w:t>
            </w:r>
            <w:r w:rsidR="003C1892" w:rsidRPr="00E54D32">
              <w:rPr>
                <w:webHidden/>
              </w:rPr>
              <w:fldChar w:fldCharType="end"/>
            </w:r>
          </w:hyperlink>
        </w:p>
        <w:p w:rsidR="003C1892" w:rsidRPr="00E54D32" w:rsidRDefault="000512F9">
          <w:pPr>
            <w:pStyle w:val="TOC1"/>
            <w:rPr>
              <w:rFonts w:asciiTheme="minorHAnsi" w:eastAsiaTheme="minorEastAsia" w:hAnsiTheme="minorHAnsi"/>
              <w:b w:val="0"/>
              <w:lang w:val="en-US"/>
            </w:rPr>
          </w:pPr>
          <w:hyperlink w:anchor="_Toc34645061" w:history="1">
            <w:r w:rsidR="003C1892" w:rsidRPr="00E54D32">
              <w:rPr>
                <w:rStyle w:val="Hyperlink"/>
              </w:rPr>
              <w:t>1.</w:t>
            </w:r>
            <w:r w:rsidR="003C1892" w:rsidRPr="00E54D32">
              <w:rPr>
                <w:rFonts w:asciiTheme="minorHAnsi" w:eastAsiaTheme="minorEastAsia" w:hAnsiTheme="minorHAnsi"/>
                <w:b w:val="0"/>
                <w:lang w:val="en-US"/>
              </w:rPr>
              <w:tab/>
            </w:r>
            <w:r w:rsidR="003C1892" w:rsidRPr="00E54D32">
              <w:rPr>
                <w:rStyle w:val="Hyperlink"/>
              </w:rPr>
              <w:t>Ecuria e Borxhit Publik</w:t>
            </w:r>
            <w:r w:rsidR="003C1892" w:rsidRPr="00E54D32">
              <w:rPr>
                <w:webHidden/>
              </w:rPr>
              <w:tab/>
            </w:r>
            <w:r w:rsidR="003C1892" w:rsidRPr="00E54D32">
              <w:rPr>
                <w:webHidden/>
              </w:rPr>
              <w:fldChar w:fldCharType="begin"/>
            </w:r>
            <w:r w:rsidR="003C1892" w:rsidRPr="00E54D32">
              <w:rPr>
                <w:webHidden/>
              </w:rPr>
              <w:instrText xml:space="preserve"> PAGEREF _Toc34645061 \h </w:instrText>
            </w:r>
            <w:r w:rsidR="003C1892" w:rsidRPr="00E54D32">
              <w:rPr>
                <w:webHidden/>
              </w:rPr>
            </w:r>
            <w:r w:rsidR="003C1892" w:rsidRPr="00E54D32">
              <w:rPr>
                <w:webHidden/>
              </w:rPr>
              <w:fldChar w:fldCharType="separate"/>
            </w:r>
            <w:r w:rsidR="00D22D6D">
              <w:rPr>
                <w:webHidden/>
              </w:rPr>
              <w:t>3</w:t>
            </w:r>
            <w:r w:rsidR="003C1892" w:rsidRPr="00E54D32">
              <w:rPr>
                <w:webHidden/>
              </w:rPr>
              <w:fldChar w:fldCharType="end"/>
            </w:r>
          </w:hyperlink>
        </w:p>
        <w:p w:rsidR="003C1892" w:rsidRPr="00E54D32" w:rsidRDefault="000512F9">
          <w:pPr>
            <w:pStyle w:val="TOC1"/>
            <w:rPr>
              <w:rFonts w:asciiTheme="minorHAnsi" w:eastAsiaTheme="minorEastAsia" w:hAnsiTheme="minorHAnsi"/>
              <w:b w:val="0"/>
              <w:lang w:val="en-US"/>
            </w:rPr>
          </w:pPr>
          <w:hyperlink w:anchor="_Toc34645062" w:history="1">
            <w:r w:rsidR="003C1892" w:rsidRPr="00E54D32">
              <w:rPr>
                <w:rStyle w:val="Hyperlink"/>
              </w:rPr>
              <w:t>2.</w:t>
            </w:r>
            <w:r w:rsidR="003C1892" w:rsidRPr="00E54D32">
              <w:rPr>
                <w:rFonts w:asciiTheme="minorHAnsi" w:eastAsiaTheme="minorEastAsia" w:hAnsiTheme="minorHAnsi"/>
                <w:b w:val="0"/>
                <w:lang w:val="en-US"/>
              </w:rPr>
              <w:tab/>
            </w:r>
            <w:r w:rsidR="003C1892" w:rsidRPr="00E54D32">
              <w:rPr>
                <w:rStyle w:val="Hyperlink"/>
              </w:rPr>
              <w:t>Borxhi Shtetëror</w:t>
            </w:r>
            <w:r w:rsidR="003C1892" w:rsidRPr="00E54D32">
              <w:rPr>
                <w:webHidden/>
              </w:rPr>
              <w:tab/>
            </w:r>
            <w:r w:rsidR="003C1892" w:rsidRPr="00E54D32">
              <w:rPr>
                <w:webHidden/>
              </w:rPr>
              <w:fldChar w:fldCharType="begin"/>
            </w:r>
            <w:r w:rsidR="003C1892" w:rsidRPr="00E54D32">
              <w:rPr>
                <w:webHidden/>
              </w:rPr>
              <w:instrText xml:space="preserve"> PAGEREF _Toc34645062 \h </w:instrText>
            </w:r>
            <w:r w:rsidR="003C1892" w:rsidRPr="00E54D32">
              <w:rPr>
                <w:webHidden/>
              </w:rPr>
            </w:r>
            <w:r w:rsidR="003C1892" w:rsidRPr="00E54D32">
              <w:rPr>
                <w:webHidden/>
              </w:rPr>
              <w:fldChar w:fldCharType="separate"/>
            </w:r>
            <w:r w:rsidR="00D22D6D">
              <w:rPr>
                <w:webHidden/>
              </w:rPr>
              <w:t>4</w:t>
            </w:r>
            <w:r w:rsidR="003C1892" w:rsidRPr="00E54D32">
              <w:rPr>
                <w:webHidden/>
              </w:rPr>
              <w:fldChar w:fldCharType="end"/>
            </w:r>
          </w:hyperlink>
        </w:p>
        <w:p w:rsidR="003C1892" w:rsidRPr="00E54D32" w:rsidRDefault="000512F9">
          <w:pPr>
            <w:pStyle w:val="TOC1"/>
            <w:rPr>
              <w:rFonts w:asciiTheme="minorHAnsi" w:eastAsiaTheme="minorEastAsia" w:hAnsiTheme="minorHAnsi"/>
              <w:b w:val="0"/>
              <w:lang w:val="en-US"/>
            </w:rPr>
          </w:pPr>
          <w:hyperlink w:anchor="_Toc34645063" w:history="1">
            <w:r w:rsidR="003C1892" w:rsidRPr="00E54D32">
              <w:rPr>
                <w:rStyle w:val="Hyperlink"/>
              </w:rPr>
              <w:t>3.</w:t>
            </w:r>
            <w:r w:rsidR="003C1892" w:rsidRPr="00E54D32">
              <w:rPr>
                <w:rFonts w:asciiTheme="minorHAnsi" w:eastAsiaTheme="minorEastAsia" w:hAnsiTheme="minorHAnsi"/>
                <w:b w:val="0"/>
                <w:lang w:val="en-US"/>
              </w:rPr>
              <w:tab/>
            </w:r>
            <w:r w:rsidR="003C1892" w:rsidRPr="00E54D32">
              <w:rPr>
                <w:rStyle w:val="Hyperlink"/>
              </w:rPr>
              <w:t>Borxhi Shtetëror i Garantuar</w:t>
            </w:r>
            <w:r w:rsidR="003C1892" w:rsidRPr="00E54D32">
              <w:rPr>
                <w:webHidden/>
              </w:rPr>
              <w:tab/>
            </w:r>
            <w:r w:rsidR="003C1892" w:rsidRPr="00E54D32">
              <w:rPr>
                <w:webHidden/>
              </w:rPr>
              <w:fldChar w:fldCharType="begin"/>
            </w:r>
            <w:r w:rsidR="003C1892" w:rsidRPr="00E54D32">
              <w:rPr>
                <w:webHidden/>
              </w:rPr>
              <w:instrText xml:space="preserve"> PAGEREF _Toc34645063 \h </w:instrText>
            </w:r>
            <w:r w:rsidR="003C1892" w:rsidRPr="00E54D32">
              <w:rPr>
                <w:webHidden/>
              </w:rPr>
            </w:r>
            <w:r w:rsidR="003C1892" w:rsidRPr="00E54D32">
              <w:rPr>
                <w:webHidden/>
              </w:rPr>
              <w:fldChar w:fldCharType="separate"/>
            </w:r>
            <w:r w:rsidR="00D22D6D">
              <w:rPr>
                <w:webHidden/>
              </w:rPr>
              <w:t>6</w:t>
            </w:r>
            <w:r w:rsidR="003C1892" w:rsidRPr="00E54D32">
              <w:rPr>
                <w:webHidden/>
              </w:rPr>
              <w:fldChar w:fldCharType="end"/>
            </w:r>
          </w:hyperlink>
        </w:p>
        <w:p w:rsidR="003C1892" w:rsidRPr="00E54D32" w:rsidRDefault="000512F9">
          <w:pPr>
            <w:pStyle w:val="TOC1"/>
            <w:rPr>
              <w:rFonts w:asciiTheme="minorHAnsi" w:eastAsiaTheme="minorEastAsia" w:hAnsiTheme="minorHAnsi"/>
              <w:b w:val="0"/>
              <w:lang w:val="en-US"/>
            </w:rPr>
          </w:pPr>
          <w:hyperlink w:anchor="_Toc34645064" w:history="1">
            <w:r w:rsidR="003C1892" w:rsidRPr="00E54D32">
              <w:rPr>
                <w:rStyle w:val="Hyperlink"/>
              </w:rPr>
              <w:t>4.</w:t>
            </w:r>
            <w:r w:rsidR="003C1892" w:rsidRPr="00E54D32">
              <w:rPr>
                <w:rFonts w:asciiTheme="minorHAnsi" w:eastAsiaTheme="minorEastAsia" w:hAnsiTheme="minorHAnsi"/>
                <w:b w:val="0"/>
                <w:lang w:val="en-US"/>
              </w:rPr>
              <w:tab/>
            </w:r>
            <w:r w:rsidR="003C1892" w:rsidRPr="00E54D32">
              <w:rPr>
                <w:rStyle w:val="Hyperlink"/>
              </w:rPr>
              <w:t>Huamarrja</w:t>
            </w:r>
            <w:r w:rsidR="003C1892" w:rsidRPr="00E54D32">
              <w:rPr>
                <w:webHidden/>
              </w:rPr>
              <w:tab/>
            </w:r>
            <w:r w:rsidR="003C1892" w:rsidRPr="00E54D32">
              <w:rPr>
                <w:webHidden/>
              </w:rPr>
              <w:fldChar w:fldCharType="begin"/>
            </w:r>
            <w:r w:rsidR="003C1892" w:rsidRPr="00E54D32">
              <w:rPr>
                <w:webHidden/>
              </w:rPr>
              <w:instrText xml:space="preserve"> PAGEREF _Toc34645064 \h </w:instrText>
            </w:r>
            <w:r w:rsidR="003C1892" w:rsidRPr="00E54D32">
              <w:rPr>
                <w:webHidden/>
              </w:rPr>
            </w:r>
            <w:r w:rsidR="003C1892" w:rsidRPr="00E54D32">
              <w:rPr>
                <w:webHidden/>
              </w:rPr>
              <w:fldChar w:fldCharType="separate"/>
            </w:r>
            <w:r w:rsidR="00D22D6D">
              <w:rPr>
                <w:webHidden/>
              </w:rPr>
              <w:t>7</w:t>
            </w:r>
            <w:r w:rsidR="003C1892" w:rsidRPr="00E54D32">
              <w:rPr>
                <w:webHidden/>
              </w:rPr>
              <w:fldChar w:fldCharType="end"/>
            </w:r>
          </w:hyperlink>
        </w:p>
        <w:p w:rsidR="003C1892" w:rsidRPr="00E54D32" w:rsidRDefault="000512F9">
          <w:pPr>
            <w:pStyle w:val="TOC2"/>
            <w:rPr>
              <w:rFonts w:eastAsiaTheme="minorEastAsia"/>
              <w:noProof/>
              <w:lang w:val="en-US"/>
            </w:rPr>
          </w:pPr>
          <w:hyperlink w:anchor="_Toc34645065" w:history="1">
            <w:r w:rsidR="003C1892" w:rsidRPr="00E54D32">
              <w:rPr>
                <w:rStyle w:val="Hyperlink"/>
                <w:rFonts w:ascii="Cambria" w:hAnsi="Cambria"/>
                <w:noProof/>
              </w:rPr>
              <w:t>4.1.</w:t>
            </w:r>
            <w:r w:rsidR="003C1892" w:rsidRPr="00E54D32">
              <w:rPr>
                <w:rFonts w:eastAsiaTheme="minorEastAsia"/>
                <w:noProof/>
                <w:lang w:val="en-US"/>
              </w:rPr>
              <w:tab/>
            </w:r>
            <w:r w:rsidR="003C1892" w:rsidRPr="00E54D32">
              <w:rPr>
                <w:rStyle w:val="Hyperlink"/>
                <w:rFonts w:ascii="Cambria" w:hAnsi="Cambria"/>
                <w:noProof/>
              </w:rPr>
              <w:t>Huamarrja e Brendshme</w:t>
            </w:r>
            <w:r w:rsidR="003C1892" w:rsidRPr="00E54D32">
              <w:rPr>
                <w:noProof/>
                <w:webHidden/>
              </w:rPr>
              <w:tab/>
            </w:r>
            <w:r w:rsidR="003C1892" w:rsidRPr="00E54D32">
              <w:rPr>
                <w:noProof/>
                <w:webHidden/>
              </w:rPr>
              <w:fldChar w:fldCharType="begin"/>
            </w:r>
            <w:r w:rsidR="003C1892" w:rsidRPr="00E54D32">
              <w:rPr>
                <w:noProof/>
                <w:webHidden/>
              </w:rPr>
              <w:instrText xml:space="preserve"> PAGEREF _Toc34645065 \h </w:instrText>
            </w:r>
            <w:r w:rsidR="003C1892" w:rsidRPr="00E54D32">
              <w:rPr>
                <w:noProof/>
                <w:webHidden/>
              </w:rPr>
            </w:r>
            <w:r w:rsidR="003C1892" w:rsidRPr="00E54D32">
              <w:rPr>
                <w:noProof/>
                <w:webHidden/>
              </w:rPr>
              <w:fldChar w:fldCharType="separate"/>
            </w:r>
            <w:r w:rsidR="00D22D6D">
              <w:rPr>
                <w:noProof/>
                <w:webHidden/>
              </w:rPr>
              <w:t>7</w:t>
            </w:r>
            <w:r w:rsidR="003C1892" w:rsidRPr="00E54D32">
              <w:rPr>
                <w:noProof/>
                <w:webHidden/>
              </w:rPr>
              <w:fldChar w:fldCharType="end"/>
            </w:r>
          </w:hyperlink>
        </w:p>
        <w:p w:rsidR="003C1892" w:rsidRPr="00E54D32" w:rsidRDefault="000512F9">
          <w:pPr>
            <w:pStyle w:val="TOC2"/>
            <w:rPr>
              <w:rFonts w:eastAsiaTheme="minorEastAsia"/>
              <w:noProof/>
              <w:lang w:val="en-US"/>
            </w:rPr>
          </w:pPr>
          <w:hyperlink w:anchor="_Toc34645066" w:history="1">
            <w:r w:rsidR="003C1892" w:rsidRPr="00E54D32">
              <w:rPr>
                <w:rStyle w:val="Hyperlink"/>
                <w:rFonts w:ascii="Cambria" w:hAnsi="Cambria"/>
                <w:noProof/>
              </w:rPr>
              <w:t>4.2.</w:t>
            </w:r>
            <w:r w:rsidR="003C1892" w:rsidRPr="00E54D32">
              <w:rPr>
                <w:rFonts w:eastAsiaTheme="minorEastAsia"/>
                <w:noProof/>
                <w:lang w:val="en-US"/>
              </w:rPr>
              <w:tab/>
            </w:r>
            <w:r w:rsidR="003C1892" w:rsidRPr="00E54D32">
              <w:rPr>
                <w:rStyle w:val="Hyperlink"/>
                <w:rFonts w:ascii="Cambria" w:hAnsi="Cambria"/>
                <w:noProof/>
              </w:rPr>
              <w:t>Huamarrja e Huaj</w:t>
            </w:r>
            <w:r w:rsidR="003C1892" w:rsidRPr="00E54D32">
              <w:rPr>
                <w:noProof/>
                <w:webHidden/>
              </w:rPr>
              <w:tab/>
            </w:r>
            <w:r w:rsidR="003C1892" w:rsidRPr="00E54D32">
              <w:rPr>
                <w:noProof/>
                <w:webHidden/>
              </w:rPr>
              <w:fldChar w:fldCharType="begin"/>
            </w:r>
            <w:r w:rsidR="003C1892" w:rsidRPr="00E54D32">
              <w:rPr>
                <w:noProof/>
                <w:webHidden/>
              </w:rPr>
              <w:instrText xml:space="preserve"> PAGEREF _Toc34645066 \h </w:instrText>
            </w:r>
            <w:r w:rsidR="003C1892" w:rsidRPr="00E54D32">
              <w:rPr>
                <w:noProof/>
                <w:webHidden/>
              </w:rPr>
            </w:r>
            <w:r w:rsidR="003C1892" w:rsidRPr="00E54D32">
              <w:rPr>
                <w:noProof/>
                <w:webHidden/>
              </w:rPr>
              <w:fldChar w:fldCharType="separate"/>
            </w:r>
            <w:r w:rsidR="00D22D6D">
              <w:rPr>
                <w:noProof/>
                <w:webHidden/>
              </w:rPr>
              <w:t>8</w:t>
            </w:r>
            <w:r w:rsidR="003C1892" w:rsidRPr="00E54D32">
              <w:rPr>
                <w:noProof/>
                <w:webHidden/>
              </w:rPr>
              <w:fldChar w:fldCharType="end"/>
            </w:r>
          </w:hyperlink>
        </w:p>
        <w:p w:rsidR="003C1892" w:rsidRPr="00E54D32" w:rsidRDefault="000512F9">
          <w:pPr>
            <w:pStyle w:val="TOC1"/>
            <w:rPr>
              <w:rFonts w:asciiTheme="minorHAnsi" w:eastAsiaTheme="minorEastAsia" w:hAnsiTheme="minorHAnsi"/>
              <w:b w:val="0"/>
              <w:lang w:val="en-US"/>
            </w:rPr>
          </w:pPr>
          <w:hyperlink w:anchor="_Toc34645067" w:history="1">
            <w:r w:rsidR="003C1892" w:rsidRPr="00E54D32">
              <w:rPr>
                <w:rStyle w:val="Hyperlink"/>
              </w:rPr>
              <w:t>5.</w:t>
            </w:r>
            <w:r w:rsidR="003C1892" w:rsidRPr="00E54D32">
              <w:rPr>
                <w:rFonts w:asciiTheme="minorHAnsi" w:eastAsiaTheme="minorEastAsia" w:hAnsiTheme="minorHAnsi"/>
                <w:b w:val="0"/>
                <w:lang w:val="en-US"/>
              </w:rPr>
              <w:tab/>
            </w:r>
            <w:r w:rsidR="003C1892" w:rsidRPr="00E54D32">
              <w:rPr>
                <w:rStyle w:val="Hyperlink"/>
              </w:rPr>
              <w:t>Kosto dhe Risqet</w:t>
            </w:r>
            <w:r w:rsidR="003C1892" w:rsidRPr="00E54D32">
              <w:rPr>
                <w:webHidden/>
              </w:rPr>
              <w:tab/>
            </w:r>
            <w:r w:rsidR="003C1892" w:rsidRPr="00E54D32">
              <w:rPr>
                <w:webHidden/>
              </w:rPr>
              <w:fldChar w:fldCharType="begin"/>
            </w:r>
            <w:r w:rsidR="003C1892" w:rsidRPr="00E54D32">
              <w:rPr>
                <w:webHidden/>
              </w:rPr>
              <w:instrText xml:space="preserve"> PAGEREF _Toc34645067 \h </w:instrText>
            </w:r>
            <w:r w:rsidR="003C1892" w:rsidRPr="00E54D32">
              <w:rPr>
                <w:webHidden/>
              </w:rPr>
            </w:r>
            <w:r w:rsidR="003C1892" w:rsidRPr="00E54D32">
              <w:rPr>
                <w:webHidden/>
              </w:rPr>
              <w:fldChar w:fldCharType="separate"/>
            </w:r>
            <w:r w:rsidR="00D22D6D">
              <w:rPr>
                <w:webHidden/>
              </w:rPr>
              <w:t>9</w:t>
            </w:r>
            <w:r w:rsidR="003C1892" w:rsidRPr="00E54D32">
              <w:rPr>
                <w:webHidden/>
              </w:rPr>
              <w:fldChar w:fldCharType="end"/>
            </w:r>
          </w:hyperlink>
        </w:p>
        <w:p w:rsidR="003C1892" w:rsidRPr="00E54D32" w:rsidRDefault="000512F9">
          <w:pPr>
            <w:pStyle w:val="TOC2"/>
            <w:rPr>
              <w:rFonts w:eastAsiaTheme="minorEastAsia"/>
              <w:noProof/>
              <w:lang w:val="en-US"/>
            </w:rPr>
          </w:pPr>
          <w:hyperlink w:anchor="_Toc34645068" w:history="1">
            <w:r w:rsidR="003C1892" w:rsidRPr="00E54D32">
              <w:rPr>
                <w:rStyle w:val="Hyperlink"/>
                <w:rFonts w:ascii="Cambria" w:hAnsi="Cambria"/>
                <w:noProof/>
              </w:rPr>
              <w:t>5.1.</w:t>
            </w:r>
            <w:r w:rsidR="003C1892" w:rsidRPr="00E54D32">
              <w:rPr>
                <w:rFonts w:eastAsiaTheme="minorEastAsia"/>
                <w:noProof/>
                <w:lang w:val="en-US"/>
              </w:rPr>
              <w:tab/>
            </w:r>
            <w:r w:rsidR="003C1892" w:rsidRPr="00E54D32">
              <w:rPr>
                <w:rStyle w:val="Hyperlink"/>
                <w:rFonts w:ascii="Cambria" w:hAnsi="Cambria"/>
                <w:noProof/>
              </w:rPr>
              <w:t>Kosto</w:t>
            </w:r>
            <w:r w:rsidR="003C1892" w:rsidRPr="00E54D32">
              <w:rPr>
                <w:noProof/>
                <w:webHidden/>
              </w:rPr>
              <w:tab/>
            </w:r>
            <w:r w:rsidR="003C1892" w:rsidRPr="00E54D32">
              <w:rPr>
                <w:noProof/>
                <w:webHidden/>
              </w:rPr>
              <w:fldChar w:fldCharType="begin"/>
            </w:r>
            <w:r w:rsidR="003C1892" w:rsidRPr="00E54D32">
              <w:rPr>
                <w:noProof/>
                <w:webHidden/>
              </w:rPr>
              <w:instrText xml:space="preserve"> PAGEREF _Toc34645068 \h </w:instrText>
            </w:r>
            <w:r w:rsidR="003C1892" w:rsidRPr="00E54D32">
              <w:rPr>
                <w:noProof/>
                <w:webHidden/>
              </w:rPr>
            </w:r>
            <w:r w:rsidR="003C1892" w:rsidRPr="00E54D32">
              <w:rPr>
                <w:noProof/>
                <w:webHidden/>
              </w:rPr>
              <w:fldChar w:fldCharType="separate"/>
            </w:r>
            <w:r w:rsidR="00D22D6D">
              <w:rPr>
                <w:noProof/>
                <w:webHidden/>
              </w:rPr>
              <w:t>9</w:t>
            </w:r>
            <w:r w:rsidR="003C1892" w:rsidRPr="00E54D32">
              <w:rPr>
                <w:noProof/>
                <w:webHidden/>
              </w:rPr>
              <w:fldChar w:fldCharType="end"/>
            </w:r>
          </w:hyperlink>
        </w:p>
        <w:p w:rsidR="003C1892" w:rsidRPr="00E54D32" w:rsidRDefault="000512F9">
          <w:pPr>
            <w:pStyle w:val="TOC2"/>
            <w:rPr>
              <w:rFonts w:eastAsiaTheme="minorEastAsia"/>
              <w:noProof/>
              <w:lang w:val="en-US"/>
            </w:rPr>
          </w:pPr>
          <w:hyperlink w:anchor="_Toc34645069" w:history="1">
            <w:r w:rsidR="003C1892" w:rsidRPr="00E54D32">
              <w:rPr>
                <w:rStyle w:val="Hyperlink"/>
                <w:rFonts w:ascii="Cambria" w:hAnsi="Cambria"/>
                <w:noProof/>
              </w:rPr>
              <w:t>5.2.</w:t>
            </w:r>
            <w:r w:rsidR="003C1892" w:rsidRPr="00E54D32">
              <w:rPr>
                <w:rFonts w:eastAsiaTheme="minorEastAsia"/>
                <w:noProof/>
                <w:lang w:val="en-US"/>
              </w:rPr>
              <w:tab/>
            </w:r>
            <w:r w:rsidR="003C1892" w:rsidRPr="00E54D32">
              <w:rPr>
                <w:rStyle w:val="Hyperlink"/>
                <w:rFonts w:ascii="Cambria" w:hAnsi="Cambria"/>
                <w:noProof/>
              </w:rPr>
              <w:t>Risqet</w:t>
            </w:r>
            <w:r w:rsidR="003C1892" w:rsidRPr="00E54D32">
              <w:rPr>
                <w:noProof/>
                <w:webHidden/>
              </w:rPr>
              <w:tab/>
            </w:r>
            <w:r w:rsidR="003C1892" w:rsidRPr="00E54D32">
              <w:rPr>
                <w:noProof/>
                <w:webHidden/>
              </w:rPr>
              <w:fldChar w:fldCharType="begin"/>
            </w:r>
            <w:r w:rsidR="003C1892" w:rsidRPr="00E54D32">
              <w:rPr>
                <w:noProof/>
                <w:webHidden/>
              </w:rPr>
              <w:instrText xml:space="preserve"> PAGEREF _Toc34645069 \h </w:instrText>
            </w:r>
            <w:r w:rsidR="003C1892" w:rsidRPr="00E54D32">
              <w:rPr>
                <w:noProof/>
                <w:webHidden/>
              </w:rPr>
            </w:r>
            <w:r w:rsidR="003C1892" w:rsidRPr="00E54D32">
              <w:rPr>
                <w:noProof/>
                <w:webHidden/>
              </w:rPr>
              <w:fldChar w:fldCharType="separate"/>
            </w:r>
            <w:r w:rsidR="00D22D6D">
              <w:rPr>
                <w:noProof/>
                <w:webHidden/>
              </w:rPr>
              <w:t>10</w:t>
            </w:r>
            <w:r w:rsidR="003C1892" w:rsidRPr="00E54D32">
              <w:rPr>
                <w:noProof/>
                <w:webHidden/>
              </w:rPr>
              <w:fldChar w:fldCharType="end"/>
            </w:r>
          </w:hyperlink>
        </w:p>
        <w:p w:rsidR="003C1892" w:rsidRPr="00E54D32" w:rsidRDefault="000512F9">
          <w:pPr>
            <w:pStyle w:val="TOC1"/>
            <w:rPr>
              <w:rFonts w:asciiTheme="minorHAnsi" w:eastAsiaTheme="minorEastAsia" w:hAnsiTheme="minorHAnsi"/>
              <w:b w:val="0"/>
              <w:lang w:val="en-US"/>
            </w:rPr>
          </w:pPr>
          <w:hyperlink w:anchor="_Toc34645070" w:history="1">
            <w:r w:rsidR="003C1892" w:rsidRPr="00E54D32">
              <w:rPr>
                <w:rStyle w:val="Hyperlink"/>
              </w:rPr>
              <w:t>6.</w:t>
            </w:r>
            <w:r w:rsidR="003C1892" w:rsidRPr="00E54D32">
              <w:rPr>
                <w:rFonts w:asciiTheme="minorHAnsi" w:eastAsiaTheme="minorEastAsia" w:hAnsiTheme="minorHAnsi"/>
                <w:b w:val="0"/>
                <w:lang w:val="en-US"/>
              </w:rPr>
              <w:tab/>
            </w:r>
            <w:r w:rsidR="003C1892" w:rsidRPr="00E54D32">
              <w:rPr>
                <w:rStyle w:val="Hyperlink"/>
              </w:rPr>
              <w:t>Zhvillimet e Tregut Primar të Titujve Shtetërorë</w:t>
            </w:r>
            <w:r w:rsidR="003C1892" w:rsidRPr="00E54D32">
              <w:rPr>
                <w:webHidden/>
              </w:rPr>
              <w:tab/>
            </w:r>
            <w:r w:rsidR="003C1892" w:rsidRPr="00E54D32">
              <w:rPr>
                <w:webHidden/>
              </w:rPr>
              <w:fldChar w:fldCharType="begin"/>
            </w:r>
            <w:r w:rsidR="003C1892" w:rsidRPr="00E54D32">
              <w:rPr>
                <w:webHidden/>
              </w:rPr>
              <w:instrText xml:space="preserve"> PAGEREF _Toc34645070 \h </w:instrText>
            </w:r>
            <w:r w:rsidR="003C1892" w:rsidRPr="00E54D32">
              <w:rPr>
                <w:webHidden/>
              </w:rPr>
            </w:r>
            <w:r w:rsidR="003C1892" w:rsidRPr="00E54D32">
              <w:rPr>
                <w:webHidden/>
              </w:rPr>
              <w:fldChar w:fldCharType="separate"/>
            </w:r>
            <w:r w:rsidR="00D22D6D">
              <w:rPr>
                <w:webHidden/>
              </w:rPr>
              <w:t>12</w:t>
            </w:r>
            <w:r w:rsidR="003C1892" w:rsidRPr="00E54D32">
              <w:rPr>
                <w:webHidden/>
              </w:rPr>
              <w:fldChar w:fldCharType="end"/>
            </w:r>
          </w:hyperlink>
        </w:p>
        <w:p w:rsidR="003C1892" w:rsidRPr="00E54D32" w:rsidRDefault="000512F9">
          <w:pPr>
            <w:pStyle w:val="TOC2"/>
            <w:rPr>
              <w:rFonts w:eastAsiaTheme="minorEastAsia"/>
              <w:noProof/>
              <w:lang w:val="en-US"/>
            </w:rPr>
          </w:pPr>
          <w:hyperlink w:anchor="_Toc34645071" w:history="1">
            <w:r w:rsidR="003C1892" w:rsidRPr="00E54D32">
              <w:rPr>
                <w:rStyle w:val="Hyperlink"/>
                <w:rFonts w:ascii="Cambria" w:hAnsi="Cambria"/>
                <w:noProof/>
              </w:rPr>
              <w:t>6.1.</w:t>
            </w:r>
            <w:r w:rsidR="003C1892" w:rsidRPr="00E54D32">
              <w:rPr>
                <w:rFonts w:eastAsiaTheme="minorEastAsia"/>
                <w:noProof/>
                <w:lang w:val="en-US"/>
              </w:rPr>
              <w:tab/>
            </w:r>
            <w:r w:rsidR="003C1892" w:rsidRPr="00E54D32">
              <w:rPr>
                <w:rStyle w:val="Hyperlink"/>
                <w:rFonts w:ascii="Cambria" w:hAnsi="Cambria"/>
                <w:noProof/>
              </w:rPr>
              <w:t>Ecuria e ankandeve dhe kërkesa për titujt shtetërorë</w:t>
            </w:r>
            <w:r w:rsidR="003C1892" w:rsidRPr="00E54D32">
              <w:rPr>
                <w:noProof/>
                <w:webHidden/>
              </w:rPr>
              <w:tab/>
            </w:r>
            <w:r w:rsidR="003C1892" w:rsidRPr="00E54D32">
              <w:rPr>
                <w:noProof/>
                <w:webHidden/>
              </w:rPr>
              <w:fldChar w:fldCharType="begin"/>
            </w:r>
            <w:r w:rsidR="003C1892" w:rsidRPr="00E54D32">
              <w:rPr>
                <w:noProof/>
                <w:webHidden/>
              </w:rPr>
              <w:instrText xml:space="preserve"> PAGEREF _Toc34645071 \h </w:instrText>
            </w:r>
            <w:r w:rsidR="003C1892" w:rsidRPr="00E54D32">
              <w:rPr>
                <w:noProof/>
                <w:webHidden/>
              </w:rPr>
            </w:r>
            <w:r w:rsidR="003C1892" w:rsidRPr="00E54D32">
              <w:rPr>
                <w:noProof/>
                <w:webHidden/>
              </w:rPr>
              <w:fldChar w:fldCharType="separate"/>
            </w:r>
            <w:r w:rsidR="00D22D6D">
              <w:rPr>
                <w:noProof/>
                <w:webHidden/>
              </w:rPr>
              <w:t>12</w:t>
            </w:r>
            <w:r w:rsidR="003C1892" w:rsidRPr="00E54D32">
              <w:rPr>
                <w:noProof/>
                <w:webHidden/>
              </w:rPr>
              <w:fldChar w:fldCharType="end"/>
            </w:r>
          </w:hyperlink>
        </w:p>
        <w:p w:rsidR="003C1892" w:rsidRPr="00E54D32" w:rsidRDefault="000512F9">
          <w:pPr>
            <w:pStyle w:val="TOC2"/>
            <w:rPr>
              <w:rFonts w:eastAsiaTheme="minorEastAsia"/>
              <w:noProof/>
              <w:lang w:val="en-US"/>
            </w:rPr>
          </w:pPr>
          <w:hyperlink w:anchor="_Toc34645072" w:history="1">
            <w:r w:rsidR="003C1892" w:rsidRPr="00E54D32">
              <w:rPr>
                <w:rStyle w:val="Hyperlink"/>
                <w:rFonts w:ascii="Cambria" w:hAnsi="Cambria"/>
                <w:noProof/>
              </w:rPr>
              <w:t>6.2.</w:t>
            </w:r>
            <w:r w:rsidR="003C1892" w:rsidRPr="00E54D32">
              <w:rPr>
                <w:rFonts w:eastAsiaTheme="minorEastAsia"/>
                <w:noProof/>
                <w:lang w:val="en-US"/>
              </w:rPr>
              <w:tab/>
            </w:r>
            <w:r w:rsidR="003C1892" w:rsidRPr="00E54D32">
              <w:rPr>
                <w:rStyle w:val="Hyperlink"/>
                <w:rFonts w:ascii="Cambria" w:hAnsi="Cambria"/>
                <w:noProof/>
              </w:rPr>
              <w:t>Ecuria e normave të interesit</w:t>
            </w:r>
            <w:r w:rsidR="003C1892" w:rsidRPr="00E54D32">
              <w:rPr>
                <w:noProof/>
                <w:webHidden/>
              </w:rPr>
              <w:tab/>
            </w:r>
            <w:r w:rsidR="003C1892" w:rsidRPr="00E54D32">
              <w:rPr>
                <w:noProof/>
                <w:webHidden/>
              </w:rPr>
              <w:fldChar w:fldCharType="begin"/>
            </w:r>
            <w:r w:rsidR="003C1892" w:rsidRPr="00E54D32">
              <w:rPr>
                <w:noProof/>
                <w:webHidden/>
              </w:rPr>
              <w:instrText xml:space="preserve"> PAGEREF _Toc34645072 \h </w:instrText>
            </w:r>
            <w:r w:rsidR="003C1892" w:rsidRPr="00E54D32">
              <w:rPr>
                <w:noProof/>
                <w:webHidden/>
              </w:rPr>
            </w:r>
            <w:r w:rsidR="003C1892" w:rsidRPr="00E54D32">
              <w:rPr>
                <w:noProof/>
                <w:webHidden/>
              </w:rPr>
              <w:fldChar w:fldCharType="separate"/>
            </w:r>
            <w:r w:rsidR="00D22D6D">
              <w:rPr>
                <w:noProof/>
                <w:webHidden/>
              </w:rPr>
              <w:t>13</w:t>
            </w:r>
            <w:r w:rsidR="003C1892" w:rsidRPr="00E54D32">
              <w:rPr>
                <w:noProof/>
                <w:webHidden/>
              </w:rPr>
              <w:fldChar w:fldCharType="end"/>
            </w:r>
          </w:hyperlink>
        </w:p>
        <w:p w:rsidR="003C1892" w:rsidRPr="00E54D32" w:rsidRDefault="000512F9">
          <w:pPr>
            <w:pStyle w:val="TOC1"/>
            <w:rPr>
              <w:rFonts w:asciiTheme="minorHAnsi" w:eastAsiaTheme="minorEastAsia" w:hAnsiTheme="minorHAnsi"/>
              <w:b w:val="0"/>
              <w:lang w:val="en-US"/>
            </w:rPr>
          </w:pPr>
          <w:hyperlink w:anchor="_Toc34645073" w:history="1">
            <w:r w:rsidR="003C1892" w:rsidRPr="00E54D32">
              <w:rPr>
                <w:rStyle w:val="Hyperlink"/>
                <w:rFonts w:eastAsia="Times New Roman" w:cstheme="majorBidi"/>
              </w:rPr>
              <w:t>ANEKSI I</w:t>
            </w:r>
            <w:r w:rsidR="0077198B" w:rsidRPr="00E54D32">
              <w:rPr>
                <w:rStyle w:val="Hyperlink"/>
                <w:rFonts w:eastAsia="Times New Roman" w:cstheme="majorBidi"/>
              </w:rPr>
              <w:t xml:space="preserve">    (Akronime dhe Fjalor Shpjegues)</w:t>
            </w:r>
            <w:r w:rsidR="003C1892" w:rsidRPr="00E54D32">
              <w:rPr>
                <w:webHidden/>
              </w:rPr>
              <w:tab/>
            </w:r>
            <w:r w:rsidR="003C1892" w:rsidRPr="00E54D32">
              <w:rPr>
                <w:webHidden/>
              </w:rPr>
              <w:fldChar w:fldCharType="begin"/>
            </w:r>
            <w:r w:rsidR="003C1892" w:rsidRPr="00E54D32">
              <w:rPr>
                <w:webHidden/>
              </w:rPr>
              <w:instrText xml:space="preserve"> PAGEREF _Toc34645073 \h </w:instrText>
            </w:r>
            <w:r w:rsidR="003C1892" w:rsidRPr="00E54D32">
              <w:rPr>
                <w:webHidden/>
              </w:rPr>
            </w:r>
            <w:r w:rsidR="003C1892" w:rsidRPr="00E54D32">
              <w:rPr>
                <w:webHidden/>
              </w:rPr>
              <w:fldChar w:fldCharType="separate"/>
            </w:r>
            <w:r w:rsidR="00D22D6D">
              <w:rPr>
                <w:webHidden/>
              </w:rPr>
              <w:t>14</w:t>
            </w:r>
            <w:r w:rsidR="003C1892" w:rsidRPr="00E54D32">
              <w:rPr>
                <w:webHidden/>
              </w:rPr>
              <w:fldChar w:fldCharType="end"/>
            </w:r>
          </w:hyperlink>
        </w:p>
        <w:p w:rsidR="003C1892" w:rsidRPr="00E54D32" w:rsidRDefault="000512F9">
          <w:pPr>
            <w:pStyle w:val="TOC1"/>
            <w:rPr>
              <w:rFonts w:asciiTheme="minorHAnsi" w:eastAsiaTheme="minorEastAsia" w:hAnsiTheme="minorHAnsi"/>
              <w:b w:val="0"/>
              <w:lang w:val="en-US"/>
            </w:rPr>
          </w:pPr>
          <w:hyperlink w:anchor="_Toc34645075" w:history="1">
            <w:r w:rsidR="003C1892" w:rsidRPr="00E54D32">
              <w:rPr>
                <w:rStyle w:val="Hyperlink"/>
                <w:rFonts w:eastAsia="Times New Roman" w:cstheme="majorBidi"/>
              </w:rPr>
              <w:t>ANEKSI II</w:t>
            </w:r>
            <w:r w:rsidR="0077198B" w:rsidRPr="00E54D32">
              <w:rPr>
                <w:rStyle w:val="Hyperlink"/>
                <w:rFonts w:eastAsia="Times New Roman" w:cstheme="majorBidi"/>
              </w:rPr>
              <w:t xml:space="preserve">  (Të Dhëna </w:t>
            </w:r>
            <w:r w:rsidR="000F3D66" w:rsidRPr="00E54D32">
              <w:rPr>
                <w:rStyle w:val="Hyperlink"/>
                <w:rFonts w:eastAsia="Times New Roman" w:cstheme="majorBidi"/>
              </w:rPr>
              <w:t>Shtesë</w:t>
            </w:r>
            <w:r w:rsidR="0077198B" w:rsidRPr="00E54D32">
              <w:rPr>
                <w:rStyle w:val="Hyperlink"/>
                <w:rFonts w:eastAsia="Times New Roman" w:cstheme="majorBidi"/>
              </w:rPr>
              <w:t>)</w:t>
            </w:r>
            <w:r w:rsidR="003C1892" w:rsidRPr="00E54D32">
              <w:rPr>
                <w:webHidden/>
              </w:rPr>
              <w:tab/>
            </w:r>
            <w:r w:rsidR="003C1892" w:rsidRPr="00E54D32">
              <w:rPr>
                <w:webHidden/>
              </w:rPr>
              <w:fldChar w:fldCharType="begin"/>
            </w:r>
            <w:r w:rsidR="003C1892" w:rsidRPr="00E54D32">
              <w:rPr>
                <w:webHidden/>
              </w:rPr>
              <w:instrText xml:space="preserve"> PAGEREF _Toc34645075 \h </w:instrText>
            </w:r>
            <w:r w:rsidR="003C1892" w:rsidRPr="00E54D32">
              <w:rPr>
                <w:webHidden/>
              </w:rPr>
            </w:r>
            <w:r w:rsidR="003C1892" w:rsidRPr="00E54D32">
              <w:rPr>
                <w:webHidden/>
              </w:rPr>
              <w:fldChar w:fldCharType="separate"/>
            </w:r>
            <w:r w:rsidR="00D22D6D">
              <w:rPr>
                <w:webHidden/>
              </w:rPr>
              <w:t>18</w:t>
            </w:r>
            <w:r w:rsidR="003C1892" w:rsidRPr="00E54D32">
              <w:rPr>
                <w:webHidden/>
              </w:rPr>
              <w:fldChar w:fldCharType="end"/>
            </w:r>
          </w:hyperlink>
        </w:p>
        <w:p w:rsidR="00506686" w:rsidRPr="00EE7E9F" w:rsidRDefault="00506686" w:rsidP="00FC2F2F">
          <w:pPr>
            <w:ind w:right="-46"/>
            <w:rPr>
              <w:sz w:val="24"/>
              <w:szCs w:val="24"/>
              <w:highlight w:val="yellow"/>
            </w:rPr>
          </w:pPr>
          <w:r w:rsidRPr="00E54D32">
            <w:rPr>
              <w:rFonts w:ascii="Cambria" w:hAnsi="Cambria" w:cs="Times New Roman"/>
              <w:b/>
              <w:bCs/>
              <w:noProof/>
              <w:sz w:val="20"/>
              <w:szCs w:val="20"/>
            </w:rPr>
            <w:fldChar w:fldCharType="end"/>
          </w:r>
        </w:p>
      </w:sdtContent>
    </w:sdt>
    <w:p w:rsidR="00F6252F" w:rsidRPr="00EE7E9F" w:rsidRDefault="00F6252F" w:rsidP="00FC2F2F">
      <w:pPr>
        <w:ind w:right="-46"/>
        <w:rPr>
          <w:rFonts w:ascii="Times New Roman" w:hAnsi="Times New Roman" w:cs="Times New Roman"/>
          <w:b/>
          <w:sz w:val="24"/>
          <w:szCs w:val="24"/>
          <w:highlight w:val="yellow"/>
        </w:rPr>
      </w:pPr>
    </w:p>
    <w:p w:rsidR="00F6252F" w:rsidRPr="00EE7E9F" w:rsidRDefault="00F6252F" w:rsidP="00FC2F2F">
      <w:pPr>
        <w:ind w:right="-46"/>
        <w:rPr>
          <w:rFonts w:ascii="Times New Roman" w:hAnsi="Times New Roman" w:cs="Times New Roman"/>
          <w:b/>
          <w:sz w:val="24"/>
          <w:szCs w:val="24"/>
          <w:highlight w:val="yellow"/>
        </w:rPr>
      </w:pPr>
    </w:p>
    <w:p w:rsidR="00F6252F" w:rsidRPr="00EE7E9F" w:rsidRDefault="00F6252F" w:rsidP="00FC2F2F">
      <w:pPr>
        <w:ind w:right="-46"/>
        <w:rPr>
          <w:rFonts w:ascii="Times New Roman" w:hAnsi="Times New Roman" w:cs="Times New Roman"/>
          <w:b/>
          <w:sz w:val="24"/>
          <w:szCs w:val="24"/>
          <w:highlight w:val="yellow"/>
        </w:rPr>
      </w:pPr>
    </w:p>
    <w:p w:rsidR="00F6252F" w:rsidRPr="00EE7E9F" w:rsidRDefault="00F6252F" w:rsidP="00FC2F2F">
      <w:pPr>
        <w:ind w:right="-46"/>
        <w:rPr>
          <w:rFonts w:ascii="Times New Roman" w:hAnsi="Times New Roman" w:cs="Times New Roman"/>
          <w:b/>
          <w:sz w:val="24"/>
          <w:szCs w:val="24"/>
          <w:highlight w:val="yellow"/>
        </w:rPr>
      </w:pPr>
    </w:p>
    <w:p w:rsidR="00F6252F" w:rsidRPr="00EE7E9F" w:rsidRDefault="00F6252F" w:rsidP="00FC2F2F">
      <w:pPr>
        <w:ind w:right="-46"/>
        <w:rPr>
          <w:rFonts w:ascii="Times New Roman" w:hAnsi="Times New Roman" w:cs="Times New Roman"/>
          <w:b/>
          <w:sz w:val="24"/>
          <w:szCs w:val="24"/>
          <w:highlight w:val="yellow"/>
        </w:rPr>
      </w:pPr>
    </w:p>
    <w:p w:rsidR="00F6252F" w:rsidRPr="00EE7E9F" w:rsidRDefault="00F6252F" w:rsidP="00FC2F2F">
      <w:pPr>
        <w:ind w:right="-46"/>
        <w:rPr>
          <w:rFonts w:ascii="Times New Roman" w:hAnsi="Times New Roman" w:cs="Times New Roman"/>
          <w:b/>
          <w:sz w:val="24"/>
          <w:szCs w:val="24"/>
          <w:highlight w:val="yellow"/>
        </w:rPr>
      </w:pPr>
    </w:p>
    <w:p w:rsidR="00F6252F" w:rsidRPr="00EE7E9F" w:rsidRDefault="00F6252F" w:rsidP="00FC2F2F">
      <w:pPr>
        <w:ind w:right="-46"/>
        <w:rPr>
          <w:rFonts w:ascii="Times New Roman" w:hAnsi="Times New Roman" w:cs="Times New Roman"/>
          <w:b/>
          <w:sz w:val="24"/>
          <w:szCs w:val="24"/>
          <w:highlight w:val="yellow"/>
        </w:rPr>
      </w:pPr>
    </w:p>
    <w:p w:rsidR="00F6252F" w:rsidRPr="00EE7E9F" w:rsidRDefault="00F6252F" w:rsidP="00FC2F2F">
      <w:pPr>
        <w:ind w:right="-46"/>
        <w:rPr>
          <w:rFonts w:ascii="Times New Roman" w:hAnsi="Times New Roman" w:cs="Times New Roman"/>
          <w:b/>
          <w:sz w:val="24"/>
          <w:szCs w:val="24"/>
          <w:highlight w:val="yellow"/>
        </w:rPr>
      </w:pPr>
    </w:p>
    <w:p w:rsidR="00F6252F" w:rsidRPr="00EE7E9F" w:rsidRDefault="00F6252F" w:rsidP="00FC2F2F">
      <w:pPr>
        <w:ind w:right="-46"/>
        <w:rPr>
          <w:rFonts w:ascii="Times New Roman" w:hAnsi="Times New Roman" w:cs="Times New Roman"/>
          <w:b/>
          <w:sz w:val="24"/>
          <w:szCs w:val="24"/>
          <w:highlight w:val="yellow"/>
        </w:rPr>
      </w:pPr>
    </w:p>
    <w:p w:rsidR="00326334" w:rsidRPr="00EE7E9F" w:rsidRDefault="00326334" w:rsidP="00FC2F2F">
      <w:pPr>
        <w:ind w:right="-46"/>
        <w:rPr>
          <w:rFonts w:ascii="Times New Roman" w:hAnsi="Times New Roman" w:cs="Times New Roman"/>
          <w:b/>
          <w:sz w:val="24"/>
          <w:szCs w:val="24"/>
          <w:highlight w:val="yellow"/>
        </w:rPr>
      </w:pPr>
    </w:p>
    <w:p w:rsidR="00326334" w:rsidRPr="00EE7E9F" w:rsidRDefault="00326334" w:rsidP="00FC2F2F">
      <w:pPr>
        <w:ind w:right="-46"/>
        <w:rPr>
          <w:rFonts w:ascii="Times New Roman" w:hAnsi="Times New Roman" w:cs="Times New Roman"/>
          <w:b/>
          <w:sz w:val="24"/>
          <w:szCs w:val="24"/>
          <w:highlight w:val="yellow"/>
        </w:rPr>
      </w:pPr>
    </w:p>
    <w:p w:rsidR="00E340A0" w:rsidRPr="00EE7E9F" w:rsidRDefault="00E340A0" w:rsidP="00FC2F2F">
      <w:pPr>
        <w:ind w:right="-46"/>
        <w:rPr>
          <w:rFonts w:ascii="Times New Roman" w:hAnsi="Times New Roman" w:cs="Times New Roman"/>
          <w:b/>
          <w:sz w:val="24"/>
          <w:szCs w:val="24"/>
          <w:highlight w:val="yellow"/>
        </w:rPr>
      </w:pPr>
    </w:p>
    <w:p w:rsidR="003E7CEF" w:rsidRPr="00EE7E9F" w:rsidRDefault="003E7CEF" w:rsidP="00FC2F2F">
      <w:pPr>
        <w:ind w:right="-46"/>
        <w:rPr>
          <w:highlight w:val="yellow"/>
        </w:rPr>
      </w:pPr>
    </w:p>
    <w:p w:rsidR="00F6252F" w:rsidRPr="00B8790D" w:rsidRDefault="00492B91" w:rsidP="00FC2F2F">
      <w:pPr>
        <w:pStyle w:val="Heading1"/>
        <w:spacing w:before="0"/>
        <w:ind w:right="-46"/>
        <w:jc w:val="center"/>
        <w:rPr>
          <w:rFonts w:ascii="Cambria" w:hAnsi="Cambria"/>
          <w:sz w:val="24"/>
        </w:rPr>
      </w:pPr>
      <w:bookmarkStart w:id="0" w:name="_Toc34645060"/>
      <w:r w:rsidRPr="00B8790D">
        <w:rPr>
          <w:rFonts w:ascii="Cambria" w:hAnsi="Cambria"/>
          <w:sz w:val="24"/>
        </w:rPr>
        <w:t>PËRMBLEDHJE</w:t>
      </w:r>
      <w:bookmarkEnd w:id="0"/>
    </w:p>
    <w:p w:rsidR="00B633CB" w:rsidRPr="00B8790D" w:rsidRDefault="00B633CB" w:rsidP="00FC2F2F">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0"/>
          <w:szCs w:val="20"/>
          <w:lang w:eastAsia="ja-JP"/>
        </w:rPr>
      </w:pPr>
    </w:p>
    <w:p w:rsidR="00640A13" w:rsidRPr="00B8790D" w:rsidRDefault="00640A13" w:rsidP="00B92540">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4"/>
          <w:szCs w:val="24"/>
          <w:lang w:eastAsia="ja-JP"/>
        </w:rPr>
      </w:pPr>
      <w:r w:rsidRPr="00B8790D">
        <w:rPr>
          <w:rFonts w:ascii="Times New Roman" w:eastAsia="Calibri" w:hAnsi="Times New Roman" w:cs="Times New Roman"/>
          <w:noProof/>
          <w:sz w:val="24"/>
          <w:szCs w:val="24"/>
          <w:lang w:eastAsia="ja-JP"/>
        </w:rPr>
        <w:t xml:space="preserve">Borxhi publik </w:t>
      </w:r>
      <w:r w:rsidR="009B402D" w:rsidRPr="00B8790D">
        <w:rPr>
          <w:rFonts w:ascii="Times New Roman" w:eastAsia="Calibri" w:hAnsi="Times New Roman" w:cs="Times New Roman"/>
          <w:noProof/>
          <w:sz w:val="24"/>
          <w:szCs w:val="24"/>
          <w:lang w:eastAsia="ja-JP"/>
        </w:rPr>
        <w:t>gjat</w:t>
      </w:r>
      <w:r w:rsidR="00733141" w:rsidRPr="00B8790D">
        <w:rPr>
          <w:rFonts w:ascii="Times New Roman" w:eastAsia="Calibri" w:hAnsi="Times New Roman" w:cs="Times New Roman"/>
          <w:noProof/>
          <w:sz w:val="24"/>
          <w:szCs w:val="24"/>
          <w:lang w:eastAsia="ja-JP"/>
        </w:rPr>
        <w:t>ë</w:t>
      </w:r>
      <w:r w:rsidR="009B402D" w:rsidRPr="00B8790D">
        <w:rPr>
          <w:rFonts w:ascii="Times New Roman" w:eastAsia="Calibri" w:hAnsi="Times New Roman" w:cs="Times New Roman"/>
          <w:noProof/>
          <w:sz w:val="24"/>
          <w:szCs w:val="24"/>
          <w:lang w:eastAsia="ja-JP"/>
        </w:rPr>
        <w:t xml:space="preserve"> </w:t>
      </w:r>
      <w:r w:rsidR="00E260A4" w:rsidRPr="00B65D26">
        <w:rPr>
          <w:rFonts w:ascii="Times New Roman" w:eastAsia="Calibri" w:hAnsi="Times New Roman" w:cs="Times New Roman"/>
          <w:noProof/>
          <w:sz w:val="24"/>
          <w:szCs w:val="24"/>
          <w:lang w:eastAsia="ja-JP"/>
        </w:rPr>
        <w:t>vitit 202</w:t>
      </w:r>
      <w:r w:rsidR="00DD6F60" w:rsidRPr="00B65D26">
        <w:rPr>
          <w:rFonts w:ascii="Times New Roman" w:eastAsia="Calibri" w:hAnsi="Times New Roman" w:cs="Times New Roman"/>
          <w:noProof/>
          <w:sz w:val="24"/>
          <w:szCs w:val="24"/>
          <w:lang w:eastAsia="ja-JP"/>
        </w:rPr>
        <w:t>1</w:t>
      </w:r>
      <w:r w:rsidRPr="00B8790D">
        <w:rPr>
          <w:rFonts w:ascii="Times New Roman" w:eastAsia="Calibri" w:hAnsi="Times New Roman" w:cs="Times New Roman"/>
          <w:noProof/>
          <w:sz w:val="24"/>
          <w:szCs w:val="24"/>
          <w:lang w:eastAsia="ja-JP"/>
        </w:rPr>
        <w:t xml:space="preserve"> përgjithësisht u karakterizua nga një ecuri pozitive, duke qenë në përputhje me objektivat makro-fiskale, buxhe</w:t>
      </w:r>
      <w:r w:rsidR="009B402D" w:rsidRPr="00B8790D">
        <w:rPr>
          <w:rFonts w:ascii="Times New Roman" w:eastAsia="Calibri" w:hAnsi="Times New Roman" w:cs="Times New Roman"/>
          <w:noProof/>
          <w:sz w:val="24"/>
          <w:szCs w:val="24"/>
          <w:lang w:eastAsia="ja-JP"/>
        </w:rPr>
        <w:t>tin e planifikuar për vitin 202</w:t>
      </w:r>
      <w:r w:rsidR="00DD6F60" w:rsidRPr="00B8790D">
        <w:rPr>
          <w:rFonts w:ascii="Times New Roman" w:eastAsia="Calibri" w:hAnsi="Times New Roman" w:cs="Times New Roman"/>
          <w:noProof/>
          <w:sz w:val="24"/>
          <w:szCs w:val="24"/>
          <w:lang w:eastAsia="ja-JP"/>
        </w:rPr>
        <w:t>1</w:t>
      </w:r>
      <w:r w:rsidRPr="00B8790D">
        <w:rPr>
          <w:rFonts w:ascii="Times New Roman" w:eastAsia="Calibri" w:hAnsi="Times New Roman" w:cs="Times New Roman"/>
          <w:noProof/>
          <w:sz w:val="24"/>
          <w:szCs w:val="24"/>
          <w:lang w:eastAsia="ja-JP"/>
        </w:rPr>
        <w:t xml:space="preserve"> dhe objektivat e Strategjisë Afatmesme të Menaxhimit të Borxhit </w:t>
      </w:r>
      <w:r w:rsidRPr="00B8790D">
        <w:rPr>
          <w:rFonts w:ascii="Times New Roman" w:eastAsia="Calibri" w:hAnsi="Times New Roman" w:cs="Times New Roman"/>
          <w:i/>
          <w:noProof/>
          <w:sz w:val="24"/>
          <w:szCs w:val="24"/>
          <w:lang w:eastAsia="ja-JP"/>
        </w:rPr>
        <w:t>(SAMB).</w:t>
      </w:r>
    </w:p>
    <w:p w:rsidR="00DD6F60" w:rsidRPr="00EE7E9F" w:rsidRDefault="00DD6F60" w:rsidP="00C86886">
      <w:pPr>
        <w:pStyle w:val="ListParagraph"/>
        <w:tabs>
          <w:tab w:val="left" w:pos="8789"/>
        </w:tabs>
        <w:spacing w:after="0" w:line="276" w:lineRule="auto"/>
        <w:ind w:left="0" w:right="-46"/>
        <w:jc w:val="both"/>
        <w:rPr>
          <w:rFonts w:ascii="Times New Roman" w:hAnsi="Times New Roman" w:cs="Times New Roman"/>
          <w:noProof/>
          <w:sz w:val="24"/>
          <w:szCs w:val="24"/>
          <w:highlight w:val="yellow"/>
        </w:rPr>
      </w:pPr>
    </w:p>
    <w:p w:rsidR="00B2242A" w:rsidRDefault="00B2242A" w:rsidP="00B2242A">
      <w:pPr>
        <w:tabs>
          <w:tab w:val="left" w:pos="8789"/>
        </w:tabs>
        <w:spacing w:after="0" w:line="276" w:lineRule="auto"/>
        <w:ind w:right="-188"/>
        <w:jc w:val="both"/>
        <w:rPr>
          <w:rFonts w:ascii="Times New Roman" w:hAnsi="Times New Roman" w:cs="Times New Roman"/>
          <w:noProof/>
          <w:sz w:val="24"/>
          <w:szCs w:val="24"/>
        </w:rPr>
      </w:pPr>
      <w:r>
        <w:rPr>
          <w:rFonts w:ascii="Times New Roman" w:hAnsi="Times New Roman" w:cs="Times New Roman"/>
          <w:noProof/>
          <w:sz w:val="24"/>
          <w:szCs w:val="24"/>
        </w:rPr>
        <w:t>N</w:t>
      </w:r>
      <w:r w:rsidRPr="000A5BD2">
        <w:rPr>
          <w:rFonts w:ascii="Times New Roman" w:hAnsi="Times New Roman" w:cs="Times New Roman"/>
          <w:noProof/>
          <w:sz w:val="24"/>
          <w:szCs w:val="24"/>
        </w:rPr>
        <w:t xml:space="preserve">evojat për hua vijuan të jenë të larta në krahasim me periudha të zakonshme, si rezultat i situatës së </w:t>
      </w:r>
      <w:r>
        <w:rPr>
          <w:rFonts w:ascii="Times New Roman" w:hAnsi="Times New Roman" w:cs="Times New Roman"/>
          <w:noProof/>
          <w:sz w:val="24"/>
          <w:szCs w:val="24"/>
        </w:rPr>
        <w:t xml:space="preserve">krijuar pas tërmetit të vitit 2019, </w:t>
      </w:r>
      <w:r w:rsidRPr="000A5BD2">
        <w:rPr>
          <w:rFonts w:ascii="Times New Roman" w:hAnsi="Times New Roman" w:cs="Times New Roman"/>
          <w:noProof/>
          <w:sz w:val="24"/>
          <w:szCs w:val="24"/>
        </w:rPr>
        <w:t>pandemisë Covid-19, si dhe nevojës për të stimuluar rimëkëmbjen e ekonomisë pas rënies së madhe që pati në vitin 2020. Pavarësisht nevojave për financim të rritura, huamarrja ka arritur të përmbush</w:t>
      </w:r>
      <w:r w:rsidR="00B32DB0">
        <w:rPr>
          <w:rFonts w:ascii="Times New Roman" w:hAnsi="Times New Roman" w:cs="Times New Roman"/>
          <w:noProof/>
          <w:sz w:val="24"/>
          <w:szCs w:val="24"/>
        </w:rPr>
        <w:t>ë</w:t>
      </w:r>
      <w:r w:rsidRPr="000A5BD2">
        <w:rPr>
          <w:rFonts w:ascii="Times New Roman" w:hAnsi="Times New Roman" w:cs="Times New Roman"/>
          <w:noProof/>
          <w:sz w:val="24"/>
          <w:szCs w:val="24"/>
        </w:rPr>
        <w:t xml:space="preserve"> plotësisht nevojat buxhetore, si edhe të gjitha nevojat që burojnë nga detyrimet e borxhit ekzistues.</w:t>
      </w:r>
      <w:r w:rsidRPr="00B2242A">
        <w:t xml:space="preserve"> </w:t>
      </w:r>
      <w:r w:rsidRPr="00B2242A">
        <w:rPr>
          <w:rFonts w:ascii="Times New Roman" w:hAnsi="Times New Roman" w:cs="Times New Roman"/>
          <w:noProof/>
          <w:sz w:val="24"/>
          <w:szCs w:val="24"/>
        </w:rPr>
        <w:t>Huamarrja në terma bruto u realizua në vlerën 481.2 miliard Lekë, nga të cilat 71.7% (ose 345.1 miliard Lekë) u financuan nëpërmjet burimeve të brendshme dhe 28.3% (ose 136.1 miliard Lekë) nëpërmjet burimeve të huaja.</w:t>
      </w:r>
    </w:p>
    <w:p w:rsidR="00B2242A" w:rsidRDefault="00B2242A" w:rsidP="00B2242A">
      <w:pPr>
        <w:tabs>
          <w:tab w:val="left" w:pos="8789"/>
        </w:tabs>
        <w:spacing w:after="0" w:line="276" w:lineRule="auto"/>
        <w:ind w:right="-188"/>
        <w:jc w:val="both"/>
        <w:rPr>
          <w:rFonts w:ascii="Times New Roman" w:hAnsi="Times New Roman" w:cs="Times New Roman"/>
          <w:noProof/>
          <w:sz w:val="24"/>
          <w:szCs w:val="24"/>
        </w:rPr>
      </w:pPr>
    </w:p>
    <w:p w:rsidR="00B2242A" w:rsidRPr="000A5BD2" w:rsidRDefault="00B2242A" w:rsidP="00B2242A">
      <w:pPr>
        <w:jc w:val="both"/>
        <w:rPr>
          <w:noProof/>
        </w:rPr>
      </w:pPr>
      <w:r w:rsidRPr="000A5BD2">
        <w:rPr>
          <w:rFonts w:ascii="Times New Roman" w:hAnsi="Times New Roman" w:cs="Times New Roman"/>
          <w:noProof/>
          <w:sz w:val="24"/>
          <w:szCs w:val="24"/>
        </w:rPr>
        <w:t>Kushtet e favorshme në tregjet e brendshme dhe të jashtme përsa i përket kërkesës për borxh si dhe mjedisi i favorshëm i normave të interesit, shoqëruar me një strategji huamarrje të mbështetur kryesisht në titujt afatgjatë me norma interesi fikse, mundësuan reduktimin e mëtejshëm të ekspozimit ndaj risqeve si edhe mbajtjen e kostos nën kontrroll.</w:t>
      </w:r>
    </w:p>
    <w:p w:rsidR="00B2242A" w:rsidRPr="000A5BD2" w:rsidRDefault="00B2242A" w:rsidP="00B2242A">
      <w:pPr>
        <w:tabs>
          <w:tab w:val="left" w:pos="8789"/>
        </w:tabs>
        <w:spacing w:after="0" w:line="276" w:lineRule="auto"/>
        <w:ind w:right="-188"/>
        <w:jc w:val="both"/>
        <w:rPr>
          <w:rFonts w:ascii="Times New Roman" w:hAnsi="Times New Roman" w:cs="Times New Roman"/>
          <w:noProof/>
          <w:sz w:val="24"/>
          <w:szCs w:val="24"/>
        </w:rPr>
      </w:pPr>
    </w:p>
    <w:p w:rsidR="00640A13" w:rsidRPr="00526924" w:rsidRDefault="00640A13" w:rsidP="00FB2E3B">
      <w:pPr>
        <w:shd w:val="clear" w:color="auto" w:fill="FFFFFF"/>
        <w:tabs>
          <w:tab w:val="left" w:pos="8647"/>
          <w:tab w:val="left" w:pos="8789"/>
        </w:tabs>
        <w:spacing w:after="0" w:line="276" w:lineRule="auto"/>
        <w:ind w:right="-46"/>
        <w:jc w:val="both"/>
        <w:rPr>
          <w:rFonts w:ascii="Times New Roman" w:hAnsi="Times New Roman" w:cs="Times New Roman"/>
          <w:noProof/>
          <w:sz w:val="24"/>
          <w:szCs w:val="23"/>
        </w:rPr>
      </w:pPr>
      <w:r w:rsidRPr="00526924">
        <w:rPr>
          <w:rFonts w:ascii="Times New Roman" w:eastAsia="Calibri" w:hAnsi="Times New Roman" w:cs="Times New Roman"/>
          <w:noProof/>
          <w:sz w:val="24"/>
          <w:szCs w:val="24"/>
          <w:lang w:eastAsia="ja-JP"/>
        </w:rPr>
        <w:t xml:space="preserve">Në përputhje me objektivat e Strategjisë Afatmesme të Menaxhimit të Borxhit, gjatë </w:t>
      </w:r>
      <w:r w:rsidR="00C86886" w:rsidRPr="00526924">
        <w:rPr>
          <w:rFonts w:ascii="Times New Roman" w:eastAsia="Calibri" w:hAnsi="Times New Roman" w:cs="Times New Roman"/>
          <w:noProof/>
          <w:sz w:val="24"/>
          <w:szCs w:val="24"/>
          <w:lang w:eastAsia="ja-JP"/>
        </w:rPr>
        <w:t>vitit 202</w:t>
      </w:r>
      <w:r w:rsidR="00DD6F60" w:rsidRPr="00526924">
        <w:rPr>
          <w:rFonts w:ascii="Times New Roman" w:eastAsia="Calibri" w:hAnsi="Times New Roman" w:cs="Times New Roman"/>
          <w:noProof/>
          <w:sz w:val="24"/>
          <w:szCs w:val="24"/>
          <w:lang w:eastAsia="ja-JP"/>
        </w:rPr>
        <w:t>1</w:t>
      </w:r>
      <w:r w:rsidRPr="00526924">
        <w:rPr>
          <w:rFonts w:ascii="Times New Roman" w:eastAsia="Calibri" w:hAnsi="Times New Roman" w:cs="Times New Roman"/>
          <w:noProof/>
          <w:sz w:val="24"/>
          <w:szCs w:val="24"/>
          <w:lang w:eastAsia="ja-JP"/>
        </w:rPr>
        <w:t xml:space="preserve"> u vijua me aktivitete në drejtim të zhvillimit të tregut të titujve shtetërorë.</w:t>
      </w:r>
      <w:r w:rsidR="008F7DF3" w:rsidRPr="00526924">
        <w:rPr>
          <w:rFonts w:ascii="Times New Roman" w:eastAsia="Calibri" w:hAnsi="Times New Roman" w:cs="Times New Roman"/>
          <w:noProof/>
          <w:sz w:val="24"/>
          <w:szCs w:val="24"/>
          <w:lang w:eastAsia="ja-JP"/>
        </w:rPr>
        <w:t xml:space="preserve"> </w:t>
      </w:r>
      <w:r w:rsidRPr="00526924">
        <w:rPr>
          <w:rFonts w:ascii="Times New Roman" w:hAnsi="Times New Roman" w:cs="Times New Roman"/>
          <w:noProof/>
          <w:color w:val="000000"/>
          <w:sz w:val="24"/>
          <w:szCs w:val="23"/>
        </w:rPr>
        <w:t xml:space="preserve">Në vazhdim të angazhimit të ndërmarrë në lidhje me përmirësimin e mëtejshëm të tregut primar dhe zhvillimin e tregut sekondar të titujve shtetërorë, përgjatë </w:t>
      </w:r>
      <w:r w:rsidR="00B2242A">
        <w:rPr>
          <w:rFonts w:ascii="Times New Roman" w:hAnsi="Times New Roman" w:cs="Times New Roman"/>
          <w:noProof/>
          <w:color w:val="000000"/>
          <w:sz w:val="24"/>
          <w:szCs w:val="23"/>
        </w:rPr>
        <w:t>këtij viti</w:t>
      </w:r>
      <w:r w:rsidRPr="00526924">
        <w:rPr>
          <w:rFonts w:ascii="Times New Roman" w:hAnsi="Times New Roman" w:cs="Times New Roman"/>
          <w:noProof/>
          <w:color w:val="000000"/>
          <w:sz w:val="24"/>
          <w:szCs w:val="23"/>
        </w:rPr>
        <w:t xml:space="preserve"> është vijuar me praktikat që kontribuojnë në krijimin e madhësive referencë dhe konsolidimin e kurbës së yield-it</w:t>
      </w:r>
      <w:r w:rsidR="00125F9F" w:rsidRPr="00526924">
        <w:rPr>
          <w:rFonts w:ascii="Times New Roman" w:hAnsi="Times New Roman" w:cs="Times New Roman"/>
          <w:noProof/>
          <w:color w:val="000000"/>
          <w:sz w:val="24"/>
          <w:szCs w:val="23"/>
        </w:rPr>
        <w:t>.</w:t>
      </w:r>
      <w:r w:rsidR="00B2242A">
        <w:rPr>
          <w:rFonts w:ascii="Times New Roman" w:hAnsi="Times New Roman" w:cs="Times New Roman"/>
          <w:noProof/>
          <w:sz w:val="24"/>
          <w:szCs w:val="23"/>
        </w:rPr>
        <w:t xml:space="preserve"> K</w:t>
      </w:r>
      <w:r w:rsidRPr="00526924">
        <w:rPr>
          <w:rFonts w:ascii="Times New Roman" w:hAnsi="Times New Roman" w:cs="Times New Roman"/>
          <w:noProof/>
          <w:sz w:val="24"/>
          <w:szCs w:val="23"/>
        </w:rPr>
        <w:t xml:space="preserve">ërkesa </w:t>
      </w:r>
      <w:r w:rsidR="002448EC" w:rsidRPr="00526924">
        <w:rPr>
          <w:rFonts w:ascii="Times New Roman" w:hAnsi="Times New Roman" w:cs="Times New Roman"/>
          <w:noProof/>
          <w:sz w:val="24"/>
          <w:szCs w:val="23"/>
        </w:rPr>
        <w:t>për tituj shtetërorë,</w:t>
      </w:r>
      <w:r w:rsidRPr="00526924">
        <w:rPr>
          <w:rFonts w:ascii="Times New Roman" w:hAnsi="Times New Roman" w:cs="Times New Roman"/>
          <w:noProof/>
          <w:sz w:val="24"/>
          <w:szCs w:val="23"/>
        </w:rPr>
        <w:t xml:space="preserve"> megjithëse mbetet ende jo shumë e diversifikuar dhe e bazuar kryesisht tek sektori bankar, gjatë </w:t>
      </w:r>
      <w:r w:rsidR="004677A3" w:rsidRPr="00526924">
        <w:rPr>
          <w:rFonts w:ascii="Times New Roman" w:hAnsi="Times New Roman" w:cs="Times New Roman"/>
          <w:noProof/>
          <w:sz w:val="24"/>
          <w:szCs w:val="23"/>
        </w:rPr>
        <w:t>vitit 202</w:t>
      </w:r>
      <w:r w:rsidR="00DD6F60" w:rsidRPr="00526924">
        <w:rPr>
          <w:rFonts w:ascii="Times New Roman" w:hAnsi="Times New Roman" w:cs="Times New Roman"/>
          <w:noProof/>
          <w:sz w:val="24"/>
          <w:szCs w:val="23"/>
        </w:rPr>
        <w:t>1</w:t>
      </w:r>
      <w:r w:rsidRPr="00526924">
        <w:rPr>
          <w:rFonts w:ascii="Times New Roman" w:hAnsi="Times New Roman" w:cs="Times New Roman"/>
          <w:noProof/>
          <w:sz w:val="24"/>
          <w:szCs w:val="23"/>
        </w:rPr>
        <w:t xml:space="preserve"> ka qenë e kënaqshme dhe ka mbuluar plotësisht nevojat e qeverisë për huamarrje të brendshme</w:t>
      </w:r>
      <w:r w:rsidR="002448EC" w:rsidRPr="00526924">
        <w:rPr>
          <w:rFonts w:ascii="Times New Roman" w:hAnsi="Times New Roman" w:cs="Times New Roman"/>
          <w:noProof/>
          <w:sz w:val="24"/>
          <w:szCs w:val="23"/>
        </w:rPr>
        <w:t xml:space="preserve">, </w:t>
      </w:r>
      <w:r w:rsidR="00DD6F60" w:rsidRPr="00526924">
        <w:rPr>
          <w:rFonts w:ascii="Times New Roman" w:hAnsi="Times New Roman" w:cs="Times New Roman"/>
          <w:noProof/>
          <w:sz w:val="24"/>
          <w:szCs w:val="23"/>
        </w:rPr>
        <w:t xml:space="preserve">edhe pse nevojat </w:t>
      </w:r>
      <w:r w:rsidR="008F7DF3" w:rsidRPr="00526924">
        <w:rPr>
          <w:rFonts w:ascii="Times New Roman" w:hAnsi="Times New Roman" w:cs="Times New Roman"/>
          <w:noProof/>
          <w:sz w:val="24"/>
          <w:szCs w:val="23"/>
        </w:rPr>
        <w:t xml:space="preserve">edhe </w:t>
      </w:r>
      <w:r w:rsidR="00DD6F60" w:rsidRPr="00526924">
        <w:rPr>
          <w:rFonts w:ascii="Times New Roman" w:hAnsi="Times New Roman" w:cs="Times New Roman"/>
          <w:noProof/>
          <w:sz w:val="24"/>
          <w:szCs w:val="23"/>
        </w:rPr>
        <w:t xml:space="preserve">këtë </w:t>
      </w:r>
      <w:r w:rsidR="00B65D26">
        <w:rPr>
          <w:rFonts w:ascii="Times New Roman" w:hAnsi="Times New Roman" w:cs="Times New Roman"/>
          <w:noProof/>
          <w:sz w:val="24"/>
          <w:szCs w:val="23"/>
        </w:rPr>
        <w:t xml:space="preserve">vit </w:t>
      </w:r>
      <w:r w:rsidR="00DD6F60" w:rsidRPr="00526924">
        <w:rPr>
          <w:rFonts w:ascii="Times New Roman" w:hAnsi="Times New Roman" w:cs="Times New Roman"/>
          <w:noProof/>
          <w:sz w:val="24"/>
          <w:szCs w:val="23"/>
        </w:rPr>
        <w:t>kan</w:t>
      </w:r>
      <w:r w:rsidR="008F7DF3" w:rsidRPr="00526924">
        <w:rPr>
          <w:rFonts w:ascii="Times New Roman" w:hAnsi="Times New Roman" w:cs="Times New Roman"/>
          <w:noProof/>
          <w:sz w:val="24"/>
          <w:szCs w:val="23"/>
        </w:rPr>
        <w:t>ë</w:t>
      </w:r>
      <w:r w:rsidR="00DD6F60" w:rsidRPr="00526924">
        <w:rPr>
          <w:rFonts w:ascii="Times New Roman" w:hAnsi="Times New Roman" w:cs="Times New Roman"/>
          <w:noProof/>
          <w:sz w:val="24"/>
          <w:szCs w:val="23"/>
        </w:rPr>
        <w:t xml:space="preserve"> q</w:t>
      </w:r>
      <w:r w:rsidR="00BC4D5A">
        <w:rPr>
          <w:rFonts w:ascii="Times New Roman" w:hAnsi="Times New Roman" w:cs="Times New Roman"/>
          <w:noProof/>
          <w:sz w:val="24"/>
          <w:szCs w:val="23"/>
        </w:rPr>
        <w:t>e</w:t>
      </w:r>
      <w:r w:rsidR="00DD6F60" w:rsidRPr="00526924">
        <w:rPr>
          <w:rFonts w:ascii="Times New Roman" w:hAnsi="Times New Roman" w:cs="Times New Roman"/>
          <w:noProof/>
          <w:sz w:val="24"/>
          <w:szCs w:val="23"/>
        </w:rPr>
        <w:t>në të larta krahasuar me një vit normal</w:t>
      </w:r>
      <w:r w:rsidR="008724A1" w:rsidRPr="00526924">
        <w:rPr>
          <w:rFonts w:ascii="Times New Roman" w:hAnsi="Times New Roman" w:cs="Times New Roman"/>
          <w:noProof/>
          <w:sz w:val="24"/>
          <w:szCs w:val="23"/>
        </w:rPr>
        <w:t>.</w:t>
      </w:r>
      <w:r w:rsidR="002448EC" w:rsidRPr="00526924">
        <w:rPr>
          <w:rFonts w:ascii="Times New Roman" w:hAnsi="Times New Roman" w:cs="Times New Roman"/>
          <w:noProof/>
          <w:sz w:val="24"/>
          <w:szCs w:val="23"/>
        </w:rPr>
        <w:t xml:space="preserve"> </w:t>
      </w:r>
    </w:p>
    <w:p w:rsidR="004677A3" w:rsidRPr="00526924" w:rsidRDefault="004677A3" w:rsidP="00B92540">
      <w:pPr>
        <w:tabs>
          <w:tab w:val="left" w:pos="8647"/>
          <w:tab w:val="left" w:pos="8789"/>
        </w:tabs>
        <w:spacing w:after="0" w:line="276" w:lineRule="auto"/>
        <w:ind w:right="-46"/>
        <w:jc w:val="both"/>
        <w:rPr>
          <w:rFonts w:ascii="Times New Roman" w:hAnsi="Times New Roman" w:cs="Times New Roman"/>
          <w:noProof/>
          <w:sz w:val="24"/>
          <w:szCs w:val="23"/>
        </w:rPr>
      </w:pPr>
    </w:p>
    <w:p w:rsidR="00B2242A" w:rsidRDefault="00B2242A" w:rsidP="004677A3">
      <w:pPr>
        <w:spacing w:after="0" w:line="276" w:lineRule="auto"/>
        <w:ind w:right="-46"/>
        <w:jc w:val="both"/>
        <w:rPr>
          <w:rFonts w:ascii="Times New Roman" w:eastAsia="Calibri" w:hAnsi="Times New Roman" w:cs="Times New Roman"/>
          <w:noProof/>
          <w:sz w:val="24"/>
          <w:szCs w:val="24"/>
          <w:lang w:eastAsia="ja-JP"/>
        </w:rPr>
      </w:pPr>
      <w:r w:rsidRPr="00B2242A">
        <w:rPr>
          <w:rFonts w:ascii="Times New Roman" w:eastAsia="Calibri" w:hAnsi="Times New Roman" w:cs="Times New Roman"/>
          <w:noProof/>
          <w:sz w:val="24"/>
          <w:szCs w:val="24"/>
          <w:lang w:eastAsia="ja-JP"/>
        </w:rPr>
        <w:t xml:space="preserve">Gjatë vitit 2021, normat e interesit në tregun e letrave me vlerë kanë shënuar ulje krahasuar me ato të vitit 2020, pavarësisht nga rritja e nevojave të financimit. Normat e interesit të instrumenteve me maturitet më të gjatë (5Vj, 7Vj dhe 10Vj) kanë qenë më të ulta se vitin e kaluar. Instrumentat afatshkurtër, bonot e thesarit kanë pësuar gjithashtu një ulje të lehtë të normës. Instrumentat me maturitet afatmesëm (2VJ dhe 3VJ) gjatë 2021 kanë shfaqur norma lehtësisht më të larta krahasur me ato të vitit 2020. </w:t>
      </w:r>
    </w:p>
    <w:p w:rsidR="00B45BD2" w:rsidRPr="00EE7E9F" w:rsidRDefault="00B45BD2" w:rsidP="004677A3">
      <w:pPr>
        <w:spacing w:after="0" w:line="276" w:lineRule="auto"/>
        <w:ind w:right="-46"/>
        <w:jc w:val="both"/>
        <w:rPr>
          <w:rFonts w:ascii="Times New Roman" w:hAnsi="Times New Roman" w:cs="Times New Roman"/>
          <w:noProof/>
          <w:sz w:val="24"/>
          <w:szCs w:val="23"/>
          <w:highlight w:val="yellow"/>
        </w:rPr>
      </w:pPr>
    </w:p>
    <w:p w:rsidR="00390B72" w:rsidRPr="00EE7E9F" w:rsidRDefault="00390B72" w:rsidP="00FC2F2F">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4"/>
          <w:szCs w:val="24"/>
          <w:highlight w:val="yellow"/>
          <w:lang w:eastAsia="ja-JP"/>
        </w:rPr>
      </w:pPr>
    </w:p>
    <w:p w:rsidR="00390B72" w:rsidRPr="00EE7E9F" w:rsidRDefault="00390B72" w:rsidP="00FC2F2F">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4"/>
          <w:szCs w:val="24"/>
          <w:highlight w:val="yellow"/>
          <w:lang w:eastAsia="ja-JP"/>
        </w:rPr>
      </w:pPr>
    </w:p>
    <w:p w:rsidR="00390B72" w:rsidRPr="00EE7E9F" w:rsidRDefault="00390B72" w:rsidP="00FC2F2F">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4"/>
          <w:szCs w:val="24"/>
          <w:highlight w:val="yellow"/>
          <w:lang w:eastAsia="ja-JP"/>
        </w:rPr>
      </w:pPr>
    </w:p>
    <w:p w:rsidR="00390B72" w:rsidRPr="00EE7E9F" w:rsidRDefault="00390B72" w:rsidP="00FC2F2F">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4"/>
          <w:szCs w:val="24"/>
          <w:highlight w:val="yellow"/>
          <w:lang w:eastAsia="ja-JP"/>
        </w:rPr>
      </w:pPr>
    </w:p>
    <w:p w:rsidR="00BC4D5A" w:rsidRPr="00EE7E9F" w:rsidRDefault="00BC4D5A" w:rsidP="00FC2F2F">
      <w:pPr>
        <w:shd w:val="clear" w:color="auto" w:fill="FFFFFF"/>
        <w:tabs>
          <w:tab w:val="left" w:pos="8647"/>
          <w:tab w:val="left" w:pos="9072"/>
        </w:tabs>
        <w:spacing w:after="0" w:line="276" w:lineRule="auto"/>
        <w:ind w:right="-46"/>
        <w:jc w:val="both"/>
        <w:rPr>
          <w:rFonts w:ascii="Times New Roman" w:eastAsia="SimSun" w:hAnsi="Times New Roman" w:cs="Times New Roman"/>
          <w:noProof/>
          <w:sz w:val="24"/>
          <w:szCs w:val="12"/>
          <w:highlight w:val="yellow"/>
        </w:rPr>
      </w:pPr>
    </w:p>
    <w:p w:rsidR="00640A13" w:rsidRPr="00EE7E9F" w:rsidRDefault="00640A13" w:rsidP="00FC2F2F">
      <w:pPr>
        <w:shd w:val="clear" w:color="auto" w:fill="FFFFFF"/>
        <w:tabs>
          <w:tab w:val="left" w:pos="8647"/>
          <w:tab w:val="left" w:pos="9072"/>
        </w:tabs>
        <w:spacing w:after="0" w:line="276" w:lineRule="auto"/>
        <w:ind w:right="-46"/>
        <w:jc w:val="both"/>
        <w:rPr>
          <w:rFonts w:ascii="Times New Roman" w:eastAsia="SimSun" w:hAnsi="Times New Roman" w:cs="Times New Roman"/>
          <w:noProof/>
          <w:sz w:val="24"/>
          <w:szCs w:val="12"/>
          <w:highlight w:val="yellow"/>
        </w:rPr>
      </w:pPr>
    </w:p>
    <w:p w:rsidR="004F7AA9" w:rsidRPr="00CC54E7" w:rsidRDefault="003C1892" w:rsidP="00E93B2E">
      <w:pPr>
        <w:pStyle w:val="Heading1"/>
        <w:numPr>
          <w:ilvl w:val="0"/>
          <w:numId w:val="5"/>
        </w:numPr>
        <w:spacing w:before="0" w:after="240" w:line="276" w:lineRule="auto"/>
        <w:ind w:left="426" w:right="-46" w:hanging="426"/>
        <w:jc w:val="both"/>
        <w:rPr>
          <w:rFonts w:ascii="Cambria" w:hAnsi="Cambria"/>
          <w:sz w:val="24"/>
          <w:szCs w:val="24"/>
        </w:rPr>
      </w:pPr>
      <w:bookmarkStart w:id="1" w:name="_Toc34645061"/>
      <w:r w:rsidRPr="00CC54E7">
        <w:rPr>
          <w:rFonts w:ascii="Cambria" w:hAnsi="Cambria"/>
          <w:sz w:val="24"/>
          <w:szCs w:val="24"/>
        </w:rPr>
        <w:t>Ecuria e Borxhit</w:t>
      </w:r>
      <w:r w:rsidR="00463C40" w:rsidRPr="00CC54E7">
        <w:rPr>
          <w:rFonts w:ascii="Cambria" w:hAnsi="Cambria"/>
          <w:sz w:val="24"/>
          <w:szCs w:val="24"/>
        </w:rPr>
        <w:t xml:space="preserve"> Publik</w:t>
      </w:r>
      <w:bookmarkEnd w:id="1"/>
    </w:p>
    <w:p w:rsidR="00B45BD2" w:rsidRPr="00CC54E7" w:rsidRDefault="000727E9" w:rsidP="00FB2E3B">
      <w:pPr>
        <w:shd w:val="clear" w:color="auto" w:fill="FFFFFF" w:themeFill="background1"/>
        <w:tabs>
          <w:tab w:val="left" w:pos="0"/>
        </w:tabs>
        <w:ind w:right="-46"/>
        <w:jc w:val="both"/>
        <w:rPr>
          <w:rFonts w:ascii="Times New Roman" w:hAnsi="Times New Roman" w:cs="Times New Roman"/>
          <w:noProof/>
          <w:sz w:val="24"/>
          <w:szCs w:val="24"/>
        </w:rPr>
      </w:pPr>
      <w:r w:rsidRPr="00CC54E7">
        <w:rPr>
          <w:rFonts w:ascii="Times New Roman" w:hAnsi="Times New Roman" w:cs="Times New Roman"/>
          <w:noProof/>
          <w:sz w:val="24"/>
          <w:szCs w:val="24"/>
        </w:rPr>
        <w:t xml:space="preserve">Në fund të </w:t>
      </w:r>
      <w:r w:rsidR="00B65D26">
        <w:rPr>
          <w:rFonts w:ascii="Times New Roman" w:hAnsi="Times New Roman" w:cs="Times New Roman"/>
          <w:noProof/>
          <w:sz w:val="24"/>
          <w:szCs w:val="24"/>
        </w:rPr>
        <w:t>vitit</w:t>
      </w:r>
      <w:r w:rsidR="00EE7E9F" w:rsidRPr="00CC54E7">
        <w:rPr>
          <w:rFonts w:ascii="Times New Roman" w:hAnsi="Times New Roman" w:cs="Times New Roman"/>
          <w:noProof/>
          <w:sz w:val="24"/>
          <w:szCs w:val="24"/>
        </w:rPr>
        <w:t xml:space="preserve"> </w:t>
      </w:r>
      <w:r w:rsidRPr="00CC54E7">
        <w:rPr>
          <w:rFonts w:ascii="Times New Roman" w:hAnsi="Times New Roman" w:cs="Times New Roman"/>
          <w:noProof/>
          <w:sz w:val="24"/>
          <w:szCs w:val="24"/>
        </w:rPr>
        <w:t xml:space="preserve">2021, borxhi </w:t>
      </w:r>
      <w:r w:rsidR="00EE7E9F" w:rsidRPr="00CC54E7">
        <w:rPr>
          <w:rFonts w:ascii="Times New Roman" w:hAnsi="Times New Roman" w:cs="Times New Roman"/>
          <w:noProof/>
          <w:sz w:val="24"/>
          <w:szCs w:val="24"/>
        </w:rPr>
        <w:t>publik</w:t>
      </w:r>
      <w:r w:rsidRPr="00CC54E7">
        <w:rPr>
          <w:rFonts w:ascii="Times New Roman" w:hAnsi="Times New Roman" w:cs="Times New Roman"/>
          <w:noProof/>
          <w:sz w:val="24"/>
          <w:szCs w:val="24"/>
        </w:rPr>
        <w:t xml:space="preserve"> u vlerësua në nivelin </w:t>
      </w:r>
      <w:r w:rsidR="00B65D26">
        <w:rPr>
          <w:rFonts w:ascii="Times New Roman" w:hAnsi="Times New Roman" w:cs="Times New Roman"/>
          <w:noProof/>
          <w:sz w:val="24"/>
          <w:szCs w:val="24"/>
        </w:rPr>
        <w:t>1,38</w:t>
      </w:r>
      <w:r w:rsidR="00C6327E">
        <w:rPr>
          <w:rFonts w:ascii="Times New Roman" w:hAnsi="Times New Roman" w:cs="Times New Roman"/>
          <w:noProof/>
          <w:sz w:val="24"/>
          <w:szCs w:val="24"/>
        </w:rPr>
        <w:t>3.0</w:t>
      </w:r>
      <w:r w:rsidR="00B65D26">
        <w:rPr>
          <w:rFonts w:ascii="Times New Roman" w:hAnsi="Times New Roman" w:cs="Times New Roman"/>
          <w:noProof/>
          <w:sz w:val="24"/>
          <w:szCs w:val="24"/>
        </w:rPr>
        <w:t xml:space="preserve"> miliard Lekë ose </w:t>
      </w:r>
      <w:r w:rsidR="00C6327E">
        <w:rPr>
          <w:rFonts w:ascii="Times New Roman" w:hAnsi="Times New Roman" w:cs="Times New Roman"/>
          <w:noProof/>
          <w:sz w:val="24"/>
          <w:szCs w:val="24"/>
        </w:rPr>
        <w:t>73.2</w:t>
      </w:r>
      <w:r w:rsidRPr="00CC54E7">
        <w:rPr>
          <w:rFonts w:ascii="Times New Roman" w:hAnsi="Times New Roman" w:cs="Times New Roman"/>
          <w:noProof/>
          <w:sz w:val="24"/>
          <w:szCs w:val="24"/>
        </w:rPr>
        <w:t>% e PBB</w:t>
      </w:r>
      <w:r w:rsidR="00C6327E">
        <w:rPr>
          <w:rStyle w:val="FootnoteReference"/>
          <w:rFonts w:ascii="Times New Roman" w:hAnsi="Times New Roman" w:cs="Times New Roman"/>
          <w:noProof/>
          <w:sz w:val="24"/>
          <w:szCs w:val="24"/>
        </w:rPr>
        <w:footnoteReference w:id="1"/>
      </w:r>
      <w:r w:rsidRPr="00CC54E7">
        <w:rPr>
          <w:rFonts w:ascii="Times New Roman" w:hAnsi="Times New Roman" w:cs="Times New Roman"/>
          <w:noProof/>
          <w:sz w:val="24"/>
          <w:szCs w:val="24"/>
        </w:rPr>
        <w:t xml:space="preserve">. Në terma nominal, stoku i borxhit </w:t>
      </w:r>
      <w:r w:rsidR="00EE7E9F" w:rsidRPr="00CC54E7">
        <w:rPr>
          <w:rFonts w:ascii="Times New Roman" w:hAnsi="Times New Roman" w:cs="Times New Roman"/>
          <w:noProof/>
          <w:sz w:val="24"/>
          <w:szCs w:val="24"/>
        </w:rPr>
        <w:t>publik</w:t>
      </w:r>
      <w:r w:rsidRPr="00CC54E7">
        <w:rPr>
          <w:rFonts w:ascii="Times New Roman" w:hAnsi="Times New Roman" w:cs="Times New Roman"/>
          <w:noProof/>
          <w:sz w:val="24"/>
          <w:szCs w:val="24"/>
        </w:rPr>
        <w:t xml:space="preserve"> është rritur m</w:t>
      </w:r>
      <w:r w:rsidR="00851B50" w:rsidRPr="00CC54E7">
        <w:rPr>
          <w:rFonts w:ascii="Times New Roman" w:hAnsi="Times New Roman" w:cs="Times New Roman"/>
          <w:noProof/>
          <w:sz w:val="24"/>
          <w:szCs w:val="24"/>
        </w:rPr>
        <w:t>e</w:t>
      </w:r>
      <w:r w:rsidRPr="00CC54E7">
        <w:rPr>
          <w:rFonts w:ascii="Times New Roman" w:hAnsi="Times New Roman" w:cs="Times New Roman"/>
          <w:noProof/>
          <w:sz w:val="24"/>
          <w:szCs w:val="24"/>
        </w:rPr>
        <w:t xml:space="preserve"> rreth </w:t>
      </w:r>
      <w:r w:rsidR="00B65D26">
        <w:rPr>
          <w:rFonts w:ascii="Times New Roman" w:hAnsi="Times New Roman" w:cs="Times New Roman"/>
          <w:noProof/>
          <w:sz w:val="24"/>
          <w:szCs w:val="24"/>
        </w:rPr>
        <w:t>158.5</w:t>
      </w:r>
      <w:r w:rsidR="00A3461F">
        <w:rPr>
          <w:rFonts w:ascii="Times New Roman" w:hAnsi="Times New Roman" w:cs="Times New Roman"/>
          <w:noProof/>
          <w:sz w:val="24"/>
          <w:szCs w:val="24"/>
        </w:rPr>
        <w:t xml:space="preserve"> </w:t>
      </w:r>
      <w:r w:rsidRPr="00CC54E7">
        <w:rPr>
          <w:rFonts w:ascii="Times New Roman" w:hAnsi="Times New Roman" w:cs="Times New Roman"/>
          <w:noProof/>
          <w:sz w:val="24"/>
          <w:szCs w:val="24"/>
        </w:rPr>
        <w:t xml:space="preserve">miliard Lekë krahasuar me fundin e vitit 2020, nga të cilat </w:t>
      </w:r>
      <w:r w:rsidR="00C6327E">
        <w:rPr>
          <w:rFonts w:ascii="Times New Roman" w:hAnsi="Times New Roman" w:cs="Times New Roman"/>
          <w:noProof/>
          <w:sz w:val="24"/>
          <w:szCs w:val="24"/>
        </w:rPr>
        <w:t>58</w:t>
      </w:r>
      <w:r w:rsidRPr="00CC54E7">
        <w:rPr>
          <w:rFonts w:ascii="Times New Roman" w:hAnsi="Times New Roman" w:cs="Times New Roman"/>
          <w:noProof/>
          <w:sz w:val="24"/>
          <w:szCs w:val="24"/>
        </w:rPr>
        <w:t xml:space="preserve"> miliard Lekë i përkasin borxhit të brendshëm dhe </w:t>
      </w:r>
      <w:r w:rsidR="00C6327E">
        <w:rPr>
          <w:rFonts w:ascii="Times New Roman" w:hAnsi="Times New Roman" w:cs="Times New Roman"/>
          <w:noProof/>
          <w:sz w:val="24"/>
          <w:szCs w:val="24"/>
        </w:rPr>
        <w:t>100.5</w:t>
      </w:r>
      <w:r w:rsidRPr="00CC54E7">
        <w:rPr>
          <w:rFonts w:ascii="Times New Roman" w:hAnsi="Times New Roman" w:cs="Times New Roman"/>
          <w:noProof/>
          <w:sz w:val="24"/>
          <w:szCs w:val="24"/>
        </w:rPr>
        <w:t xml:space="preserve"> miliard Lekë borxhit të jashtëm. </w:t>
      </w:r>
      <w:r w:rsidR="00C6327E" w:rsidRPr="00FB2E3B">
        <w:rPr>
          <w:rFonts w:ascii="Times New Roman" w:hAnsi="Times New Roman" w:cs="Times New Roman"/>
          <w:noProof/>
          <w:sz w:val="24"/>
          <w:szCs w:val="24"/>
        </w:rPr>
        <w:t>Rishikimi i projeksioneve për rritjen nominale të rritjes ekonomike ka sjellë një rishikim dhe të treguesit të borxhit ndaj PBB, kur për vitin 2021 borxhi u vlerësua në nivelin 73.2% e PBB, nga 78.1% që ishte sipas parashikimeve të Ministrisë së Financave dhe Ekonomisë me PBB fillestare. Në vitet në vijim, duke filluar nga viti 2022 raporti i borxhit publik ndaj PBB do të planifikohet më i ulët se niveli i vlerësuar për vitin pararendës, deri atëherë kur niveli borxhit të arrijë dhe qëndrojë poshtë nivelit 45% e PBB.</w:t>
      </w:r>
    </w:p>
    <w:p w:rsidR="00640A13" w:rsidRDefault="00640A13" w:rsidP="00B92540">
      <w:pPr>
        <w:pStyle w:val="ListParagraph"/>
        <w:spacing w:after="0" w:line="276" w:lineRule="auto"/>
        <w:ind w:left="0" w:right="-188"/>
        <w:jc w:val="center"/>
        <w:rPr>
          <w:rFonts w:ascii="Cambria" w:hAnsi="Cambria" w:cs="Times New Roman"/>
          <w:i/>
          <w:noProof/>
          <w:sz w:val="20"/>
          <w:szCs w:val="20"/>
        </w:rPr>
      </w:pPr>
      <w:r w:rsidRPr="00CC54E7">
        <w:rPr>
          <w:rFonts w:ascii="Cambria" w:hAnsi="Cambria" w:cs="Times New Roman"/>
          <w:b/>
          <w:noProof/>
          <w:sz w:val="20"/>
          <w:szCs w:val="20"/>
        </w:rPr>
        <w:t xml:space="preserve">Paraqitje Grafike 1 (a): </w:t>
      </w:r>
      <w:r w:rsidRPr="00CC54E7">
        <w:rPr>
          <w:rFonts w:ascii="Cambria" w:hAnsi="Cambria" w:cs="Times New Roman"/>
          <w:i/>
          <w:noProof/>
          <w:sz w:val="20"/>
          <w:szCs w:val="20"/>
        </w:rPr>
        <w:t>Borxhi publik në vlerë abso</w:t>
      </w:r>
      <w:r w:rsidR="00CC54E7">
        <w:rPr>
          <w:rFonts w:ascii="Cambria" w:hAnsi="Cambria" w:cs="Times New Roman"/>
          <w:i/>
          <w:noProof/>
          <w:sz w:val="20"/>
          <w:szCs w:val="20"/>
        </w:rPr>
        <w:t>lute dhe relative ndaj PBB (2017</w:t>
      </w:r>
      <w:r w:rsidRPr="00CC54E7">
        <w:rPr>
          <w:rFonts w:ascii="Cambria" w:hAnsi="Cambria" w:cs="Times New Roman"/>
          <w:i/>
          <w:noProof/>
          <w:sz w:val="20"/>
          <w:szCs w:val="20"/>
        </w:rPr>
        <w:t>–</w:t>
      </w:r>
      <w:r w:rsidR="004B17FB" w:rsidRPr="00CC54E7">
        <w:rPr>
          <w:rFonts w:ascii="Cambria" w:hAnsi="Cambria" w:cs="Times New Roman"/>
          <w:i/>
          <w:noProof/>
          <w:sz w:val="20"/>
          <w:szCs w:val="20"/>
        </w:rPr>
        <w:t>202</w:t>
      </w:r>
      <w:r w:rsidR="00B45BD2" w:rsidRPr="00CC54E7">
        <w:rPr>
          <w:rFonts w:ascii="Cambria" w:hAnsi="Cambria" w:cs="Times New Roman"/>
          <w:i/>
          <w:noProof/>
          <w:sz w:val="20"/>
          <w:szCs w:val="20"/>
        </w:rPr>
        <w:t>1</w:t>
      </w:r>
      <w:r w:rsidRPr="00CC54E7">
        <w:rPr>
          <w:rFonts w:ascii="Cambria" w:hAnsi="Cambria" w:cs="Times New Roman"/>
          <w:i/>
          <w:noProof/>
          <w:sz w:val="20"/>
          <w:szCs w:val="20"/>
        </w:rPr>
        <w:t>)</w:t>
      </w:r>
    </w:p>
    <w:p w:rsidR="00B0489B" w:rsidRPr="00CC54E7" w:rsidRDefault="00AB2030" w:rsidP="00B92540">
      <w:pPr>
        <w:pStyle w:val="ListParagraph"/>
        <w:spacing w:after="0" w:line="276" w:lineRule="auto"/>
        <w:ind w:left="0" w:right="-188"/>
        <w:jc w:val="center"/>
        <w:rPr>
          <w:rFonts w:ascii="Cambria" w:hAnsi="Cambria" w:cs="Times New Roman"/>
          <w:i/>
          <w:noProof/>
          <w:sz w:val="20"/>
          <w:szCs w:val="20"/>
        </w:rPr>
      </w:pPr>
      <w:r w:rsidRPr="00FB2E3B">
        <w:rPr>
          <w:rFonts w:ascii="Cambria" w:hAnsi="Cambria" w:cs="Times New Roman"/>
          <w:i/>
          <w:noProof/>
          <w:sz w:val="20"/>
          <w:szCs w:val="20"/>
          <w:lang w:val="en-US"/>
        </w:rPr>
        <w:drawing>
          <wp:inline distT="0" distB="0" distL="0" distR="0" wp14:anchorId="418DAB96" wp14:editId="72FC66AA">
            <wp:extent cx="5742432" cy="1785620"/>
            <wp:effectExtent l="0" t="0" r="10795" b="5080"/>
            <wp:docPr id="12" name="Chart 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640A13" w:rsidRPr="00CC54E7" w:rsidRDefault="00640A13" w:rsidP="00FB2E3B">
      <w:pPr>
        <w:pStyle w:val="ListParagraph"/>
        <w:tabs>
          <w:tab w:val="left" w:pos="970"/>
        </w:tabs>
        <w:spacing w:after="0" w:line="276" w:lineRule="auto"/>
        <w:ind w:left="0" w:right="-188"/>
        <w:jc w:val="center"/>
        <w:rPr>
          <w:i/>
          <w:noProof/>
          <w:lang w:eastAsia="sq-AL"/>
        </w:rPr>
      </w:pPr>
      <w:r w:rsidRPr="00CC54E7">
        <w:rPr>
          <w:rFonts w:ascii="Cambria" w:hAnsi="Cambria" w:cs="Times New Roman"/>
          <w:b/>
          <w:noProof/>
          <w:sz w:val="20"/>
          <w:szCs w:val="20"/>
        </w:rPr>
        <w:t xml:space="preserve">Burimi: </w:t>
      </w:r>
      <w:r w:rsidRPr="00CC54E7">
        <w:rPr>
          <w:rFonts w:ascii="Cambria" w:hAnsi="Cambria" w:cs="Times New Roman"/>
          <w:i/>
          <w:noProof/>
          <w:sz w:val="20"/>
          <w:szCs w:val="20"/>
        </w:rPr>
        <w:t>Ministria e Financave dhe Ekonomisë (202</w:t>
      </w:r>
      <w:r w:rsidR="00A7181D">
        <w:rPr>
          <w:rFonts w:ascii="Cambria" w:hAnsi="Cambria" w:cs="Times New Roman"/>
          <w:i/>
          <w:noProof/>
          <w:sz w:val="20"/>
          <w:szCs w:val="20"/>
        </w:rPr>
        <w:t>2</w:t>
      </w:r>
      <w:r w:rsidRPr="00CC54E7">
        <w:rPr>
          <w:rFonts w:ascii="Cambria" w:hAnsi="Cambria" w:cs="Times New Roman"/>
          <w:i/>
          <w:noProof/>
          <w:sz w:val="20"/>
          <w:szCs w:val="20"/>
        </w:rPr>
        <w:t>)</w:t>
      </w:r>
    </w:p>
    <w:p w:rsidR="000D58DD" w:rsidRPr="00EE7E9F" w:rsidRDefault="000D58DD" w:rsidP="00B92540">
      <w:pPr>
        <w:pStyle w:val="ListParagraph"/>
        <w:spacing w:after="0" w:line="276" w:lineRule="auto"/>
        <w:ind w:left="0" w:right="-188"/>
        <w:rPr>
          <w:i/>
          <w:noProof/>
          <w:sz w:val="20"/>
          <w:szCs w:val="20"/>
          <w:highlight w:val="yellow"/>
          <w:lang w:eastAsia="sq-AL"/>
        </w:rPr>
      </w:pPr>
    </w:p>
    <w:p w:rsidR="00640A13" w:rsidRPr="00CC54E7" w:rsidRDefault="00B45BD2" w:rsidP="00B45BD2">
      <w:pPr>
        <w:pStyle w:val="ListParagraph"/>
        <w:tabs>
          <w:tab w:val="left" w:pos="990"/>
          <w:tab w:val="left" w:pos="1080"/>
        </w:tabs>
        <w:spacing w:line="276" w:lineRule="auto"/>
        <w:ind w:left="0" w:right="-46"/>
        <w:jc w:val="both"/>
        <w:rPr>
          <w:rFonts w:ascii="Times New Roman" w:hAnsi="Times New Roman" w:cs="Times New Roman"/>
          <w:noProof/>
          <w:sz w:val="24"/>
          <w:szCs w:val="24"/>
        </w:rPr>
      </w:pPr>
      <w:r w:rsidRPr="00CC54E7">
        <w:rPr>
          <w:rFonts w:ascii="Times New Roman" w:hAnsi="Times New Roman" w:cs="Times New Roman"/>
          <w:noProof/>
          <w:sz w:val="24"/>
          <w:szCs w:val="24"/>
        </w:rPr>
        <w:t>Niveli i borxhit të brendshëm dhe atij të jashtëm në raport me totalin</w:t>
      </w:r>
      <w:r w:rsidR="00F85296">
        <w:rPr>
          <w:rFonts w:ascii="Times New Roman" w:hAnsi="Times New Roman" w:cs="Times New Roman"/>
          <w:noProof/>
          <w:sz w:val="24"/>
          <w:szCs w:val="24"/>
        </w:rPr>
        <w:t xml:space="preserve"> e borxhit publik</w:t>
      </w:r>
      <w:r w:rsidRPr="00CC54E7">
        <w:rPr>
          <w:rFonts w:ascii="Times New Roman" w:hAnsi="Times New Roman" w:cs="Times New Roman"/>
          <w:noProof/>
          <w:sz w:val="24"/>
          <w:szCs w:val="24"/>
        </w:rPr>
        <w:t xml:space="preserve"> janë përkatësisht rreth </w:t>
      </w:r>
      <w:r w:rsidR="001A3DD8">
        <w:rPr>
          <w:rFonts w:ascii="Times New Roman" w:hAnsi="Times New Roman" w:cs="Times New Roman"/>
          <w:noProof/>
          <w:sz w:val="24"/>
          <w:szCs w:val="24"/>
        </w:rPr>
        <w:t>50.8</w:t>
      </w:r>
      <w:r w:rsidRPr="00CC54E7">
        <w:rPr>
          <w:rFonts w:ascii="Times New Roman" w:hAnsi="Times New Roman" w:cs="Times New Roman"/>
          <w:noProof/>
          <w:sz w:val="24"/>
          <w:szCs w:val="24"/>
        </w:rPr>
        <w:t xml:space="preserve">% dhe </w:t>
      </w:r>
      <w:r w:rsidR="001A3DD8">
        <w:rPr>
          <w:rFonts w:ascii="Times New Roman" w:hAnsi="Times New Roman" w:cs="Times New Roman"/>
          <w:noProof/>
          <w:sz w:val="24"/>
          <w:szCs w:val="24"/>
        </w:rPr>
        <w:t>49.2</w:t>
      </w:r>
      <w:r w:rsidRPr="00CC54E7">
        <w:rPr>
          <w:rFonts w:ascii="Times New Roman" w:hAnsi="Times New Roman" w:cs="Times New Roman"/>
          <w:noProof/>
          <w:sz w:val="24"/>
          <w:szCs w:val="24"/>
        </w:rPr>
        <w:t xml:space="preserve">%, duke </w:t>
      </w:r>
      <w:r w:rsidR="001A3DD8">
        <w:rPr>
          <w:rFonts w:ascii="Times New Roman" w:hAnsi="Times New Roman" w:cs="Times New Roman"/>
          <w:noProof/>
          <w:sz w:val="24"/>
          <w:szCs w:val="24"/>
        </w:rPr>
        <w:t>reflektuar një rritje</w:t>
      </w:r>
      <w:r w:rsidR="005C4A05" w:rsidRPr="00CC54E7">
        <w:rPr>
          <w:rFonts w:ascii="Times New Roman" w:hAnsi="Times New Roman" w:cs="Times New Roman"/>
          <w:noProof/>
          <w:sz w:val="24"/>
          <w:szCs w:val="24"/>
        </w:rPr>
        <w:t xml:space="preserve"> </w:t>
      </w:r>
      <w:r w:rsidR="00E27474">
        <w:rPr>
          <w:rFonts w:ascii="Times New Roman" w:hAnsi="Times New Roman" w:cs="Times New Roman"/>
          <w:noProof/>
          <w:sz w:val="24"/>
          <w:szCs w:val="24"/>
        </w:rPr>
        <w:t>me 1.8 p</w:t>
      </w:r>
      <w:r w:rsidR="003F3A3F">
        <w:rPr>
          <w:rFonts w:ascii="Times New Roman" w:hAnsi="Times New Roman" w:cs="Times New Roman"/>
          <w:noProof/>
          <w:sz w:val="24"/>
          <w:szCs w:val="24"/>
        </w:rPr>
        <w:t xml:space="preserve">p </w:t>
      </w:r>
      <w:r w:rsidR="005C4A05" w:rsidRPr="00CC54E7">
        <w:rPr>
          <w:rFonts w:ascii="Times New Roman" w:hAnsi="Times New Roman" w:cs="Times New Roman"/>
          <w:noProof/>
          <w:sz w:val="24"/>
          <w:szCs w:val="24"/>
        </w:rPr>
        <w:t>n</w:t>
      </w:r>
      <w:r w:rsidR="00851B50" w:rsidRPr="00CC54E7">
        <w:rPr>
          <w:rFonts w:ascii="Times New Roman" w:hAnsi="Times New Roman" w:cs="Times New Roman"/>
          <w:noProof/>
          <w:sz w:val="24"/>
          <w:szCs w:val="24"/>
        </w:rPr>
        <w:t>ë</w:t>
      </w:r>
      <w:r w:rsidR="005C4A05" w:rsidRPr="00CC54E7">
        <w:rPr>
          <w:rFonts w:ascii="Times New Roman" w:hAnsi="Times New Roman" w:cs="Times New Roman"/>
          <w:noProof/>
          <w:sz w:val="24"/>
          <w:szCs w:val="24"/>
        </w:rPr>
        <w:t xml:space="preserve"> drej</w:t>
      </w:r>
      <w:r w:rsidR="00851B50" w:rsidRPr="00CC54E7">
        <w:rPr>
          <w:rFonts w:ascii="Times New Roman" w:hAnsi="Times New Roman" w:cs="Times New Roman"/>
          <w:noProof/>
          <w:sz w:val="24"/>
          <w:szCs w:val="24"/>
        </w:rPr>
        <w:t>t</w:t>
      </w:r>
      <w:r w:rsidR="005C4A05" w:rsidRPr="00CC54E7">
        <w:rPr>
          <w:rFonts w:ascii="Times New Roman" w:hAnsi="Times New Roman" w:cs="Times New Roman"/>
          <w:noProof/>
          <w:sz w:val="24"/>
          <w:szCs w:val="24"/>
        </w:rPr>
        <w:t xml:space="preserve">im të peshës së borxhit të </w:t>
      </w:r>
      <w:r w:rsidR="001A3DD8">
        <w:rPr>
          <w:rFonts w:ascii="Times New Roman" w:hAnsi="Times New Roman" w:cs="Times New Roman"/>
          <w:noProof/>
          <w:sz w:val="24"/>
          <w:szCs w:val="24"/>
        </w:rPr>
        <w:t>jashtëm</w:t>
      </w:r>
      <w:r w:rsidRPr="00CC54E7">
        <w:rPr>
          <w:rFonts w:ascii="Times New Roman" w:hAnsi="Times New Roman" w:cs="Times New Roman"/>
          <w:noProof/>
          <w:sz w:val="24"/>
          <w:szCs w:val="24"/>
        </w:rPr>
        <w:t xml:space="preserve"> në</w:t>
      </w:r>
      <w:r w:rsidR="005C4A05" w:rsidRPr="00CC54E7">
        <w:rPr>
          <w:rFonts w:ascii="Times New Roman" w:hAnsi="Times New Roman" w:cs="Times New Roman"/>
          <w:noProof/>
          <w:sz w:val="24"/>
          <w:szCs w:val="24"/>
        </w:rPr>
        <w:t xml:space="preserve"> krahasim me atë në </w:t>
      </w:r>
      <w:r w:rsidRPr="00CC54E7">
        <w:rPr>
          <w:rFonts w:ascii="Times New Roman" w:hAnsi="Times New Roman" w:cs="Times New Roman"/>
          <w:noProof/>
          <w:sz w:val="24"/>
          <w:szCs w:val="24"/>
        </w:rPr>
        <w:t>fund të vitit 2020. Për sa i përket kompozimit të portofolit të borxhit publik sipas instrumenteve, më shumë se gjysmën e peshës vazhdojnë ta mbajnë instrumentet e tregtueshme (</w:t>
      </w:r>
      <w:r w:rsidRPr="00FB2E3B">
        <w:rPr>
          <w:rFonts w:ascii="Times New Roman" w:hAnsi="Times New Roman" w:cs="Times New Roman"/>
          <w:i/>
          <w:noProof/>
          <w:sz w:val="24"/>
          <w:szCs w:val="24"/>
        </w:rPr>
        <w:t>bono thesari, obligacione, eurobond</w:t>
      </w:r>
      <w:r w:rsidRPr="00CC54E7">
        <w:rPr>
          <w:rFonts w:ascii="Times New Roman" w:hAnsi="Times New Roman" w:cs="Times New Roman"/>
          <w:noProof/>
          <w:sz w:val="24"/>
          <w:szCs w:val="24"/>
        </w:rPr>
        <w:t>), ndjekur nga huatë e huaja me destinacion financimin e projekteve dhe huatë në formën e mbështetjes buxhetore.</w:t>
      </w:r>
    </w:p>
    <w:p w:rsidR="00B45BD2" w:rsidRPr="00EE7E9F" w:rsidRDefault="00B45BD2" w:rsidP="00863417">
      <w:pPr>
        <w:pStyle w:val="ListParagraph"/>
        <w:tabs>
          <w:tab w:val="left" w:pos="990"/>
          <w:tab w:val="left" w:pos="1080"/>
        </w:tabs>
        <w:spacing w:after="0"/>
        <w:ind w:left="0" w:right="-46"/>
        <w:jc w:val="both"/>
        <w:rPr>
          <w:highlight w:val="yellow"/>
        </w:rPr>
      </w:pPr>
    </w:p>
    <w:p w:rsidR="00640A13" w:rsidRPr="00CC54E7" w:rsidRDefault="00640A13" w:rsidP="00B92540">
      <w:pPr>
        <w:spacing w:after="0" w:line="276" w:lineRule="auto"/>
        <w:ind w:right="-188"/>
        <w:jc w:val="center"/>
        <w:rPr>
          <w:rFonts w:ascii="Cambria" w:hAnsi="Cambria" w:cs="Times New Roman"/>
          <w:i/>
          <w:noProof/>
          <w:sz w:val="20"/>
          <w:szCs w:val="20"/>
        </w:rPr>
      </w:pPr>
      <w:r w:rsidRPr="00CC54E7">
        <w:rPr>
          <w:rFonts w:ascii="Cambria" w:hAnsi="Cambria" w:cs="Times New Roman"/>
          <w:b/>
          <w:noProof/>
          <w:sz w:val="20"/>
          <w:szCs w:val="20"/>
        </w:rPr>
        <w:t xml:space="preserve">Paraqitje Grafike 1 (b): </w:t>
      </w:r>
      <w:r w:rsidRPr="00CC54E7">
        <w:rPr>
          <w:rFonts w:ascii="Cambria" w:hAnsi="Cambria" w:cs="Times New Roman"/>
          <w:i/>
          <w:noProof/>
          <w:sz w:val="20"/>
          <w:szCs w:val="20"/>
        </w:rPr>
        <w:t>Përbërja e borxhit p</w:t>
      </w:r>
      <w:r w:rsidR="00CC54E7">
        <w:rPr>
          <w:rFonts w:ascii="Cambria" w:hAnsi="Cambria" w:cs="Times New Roman"/>
          <w:i/>
          <w:noProof/>
          <w:sz w:val="20"/>
          <w:szCs w:val="20"/>
        </w:rPr>
        <w:t>ublik sipas instrumenteve (2017</w:t>
      </w:r>
      <w:r w:rsidR="006A0CA6" w:rsidRPr="00CC54E7">
        <w:rPr>
          <w:rFonts w:ascii="Cambria" w:hAnsi="Cambria" w:cs="Times New Roman"/>
          <w:i/>
          <w:noProof/>
          <w:sz w:val="20"/>
          <w:szCs w:val="20"/>
        </w:rPr>
        <w:t>–202</w:t>
      </w:r>
      <w:r w:rsidR="00B45BD2" w:rsidRPr="00CC54E7">
        <w:rPr>
          <w:rFonts w:ascii="Cambria" w:hAnsi="Cambria" w:cs="Times New Roman"/>
          <w:i/>
          <w:noProof/>
          <w:sz w:val="20"/>
          <w:szCs w:val="20"/>
        </w:rPr>
        <w:t>1</w:t>
      </w:r>
      <w:r w:rsidRPr="00CC54E7">
        <w:rPr>
          <w:rFonts w:ascii="Cambria" w:hAnsi="Cambria" w:cs="Times New Roman"/>
          <w:i/>
          <w:noProof/>
          <w:sz w:val="20"/>
          <w:szCs w:val="20"/>
        </w:rPr>
        <w:t>)</w:t>
      </w:r>
    </w:p>
    <w:p w:rsidR="005C4A05" w:rsidRPr="00EE7E9F" w:rsidRDefault="004748D6" w:rsidP="00B92540">
      <w:pPr>
        <w:spacing w:after="0" w:line="276" w:lineRule="auto"/>
        <w:ind w:right="-188"/>
        <w:jc w:val="center"/>
        <w:rPr>
          <w:rFonts w:ascii="Cambria" w:hAnsi="Cambria" w:cs="Times New Roman"/>
          <w:i/>
          <w:noProof/>
          <w:sz w:val="20"/>
          <w:szCs w:val="20"/>
          <w:highlight w:val="yellow"/>
        </w:rPr>
      </w:pPr>
      <w:r w:rsidRPr="00FB2E3B">
        <w:rPr>
          <w:rFonts w:ascii="Cambria" w:hAnsi="Cambria" w:cs="Times New Roman"/>
          <w:i/>
          <w:noProof/>
          <w:sz w:val="20"/>
          <w:szCs w:val="20"/>
          <w:highlight w:val="yellow"/>
          <w:lang w:val="en-US"/>
        </w:rPr>
        <w:drawing>
          <wp:inline distT="0" distB="0" distL="0" distR="0" wp14:anchorId="57FB8B68" wp14:editId="681FF42A">
            <wp:extent cx="5731510" cy="2038350"/>
            <wp:effectExtent l="0" t="0" r="2540" b="0"/>
            <wp:docPr id="13" name="Chart 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7326C" w:rsidRDefault="00640A13" w:rsidP="00FB2E3B">
      <w:pPr>
        <w:spacing w:after="0" w:line="276" w:lineRule="auto"/>
        <w:ind w:right="-188"/>
        <w:jc w:val="center"/>
        <w:rPr>
          <w:rFonts w:ascii="Times New Roman" w:hAnsi="Times New Roman" w:cs="Times New Roman"/>
          <w:noProof/>
          <w:sz w:val="24"/>
          <w:szCs w:val="24"/>
        </w:rPr>
      </w:pPr>
      <w:r w:rsidRPr="00CC54E7">
        <w:rPr>
          <w:rFonts w:ascii="Cambria" w:hAnsi="Cambria" w:cs="Times New Roman"/>
          <w:b/>
          <w:noProof/>
          <w:sz w:val="20"/>
          <w:szCs w:val="20"/>
        </w:rPr>
        <w:t xml:space="preserve">Burimi: </w:t>
      </w:r>
      <w:r w:rsidRPr="00CC54E7">
        <w:rPr>
          <w:rFonts w:ascii="Cambria" w:hAnsi="Cambria" w:cs="Times New Roman"/>
          <w:i/>
          <w:noProof/>
          <w:sz w:val="20"/>
          <w:szCs w:val="20"/>
        </w:rPr>
        <w:t>Ministria e Financave dhe Ekonomisë (202</w:t>
      </w:r>
      <w:r w:rsidR="00A7181D">
        <w:rPr>
          <w:rFonts w:ascii="Cambria" w:hAnsi="Cambria" w:cs="Times New Roman"/>
          <w:i/>
          <w:noProof/>
          <w:sz w:val="20"/>
          <w:szCs w:val="20"/>
        </w:rPr>
        <w:t>2</w:t>
      </w:r>
      <w:r w:rsidRPr="00CC54E7">
        <w:rPr>
          <w:rFonts w:ascii="Cambria" w:hAnsi="Cambria" w:cs="Times New Roman"/>
          <w:i/>
          <w:noProof/>
          <w:sz w:val="20"/>
          <w:szCs w:val="20"/>
        </w:rPr>
        <w:t>)</w:t>
      </w:r>
    </w:p>
    <w:p w:rsidR="0017729B" w:rsidRPr="00CC54E7" w:rsidRDefault="00640A13" w:rsidP="00B92540">
      <w:pPr>
        <w:spacing w:after="0" w:line="276" w:lineRule="auto"/>
        <w:ind w:right="-46"/>
        <w:jc w:val="both"/>
        <w:rPr>
          <w:rFonts w:ascii="Times New Roman" w:hAnsi="Times New Roman" w:cs="Times New Roman"/>
          <w:sz w:val="20"/>
          <w:szCs w:val="20"/>
        </w:rPr>
      </w:pPr>
      <w:r w:rsidRPr="00CC54E7">
        <w:rPr>
          <w:rFonts w:ascii="Times New Roman" w:hAnsi="Times New Roman" w:cs="Times New Roman"/>
          <w:noProof/>
          <w:sz w:val="24"/>
          <w:szCs w:val="24"/>
        </w:rPr>
        <w:t xml:space="preserve">Borxhi i pushtetit lokal vazhdon të qëndrojë në nivele të ulëta </w:t>
      </w:r>
      <w:r w:rsidR="006A0CA6" w:rsidRPr="00CC54E7">
        <w:rPr>
          <w:rFonts w:ascii="Times New Roman" w:hAnsi="Times New Roman" w:cs="Times New Roman"/>
          <w:i/>
          <w:noProof/>
          <w:sz w:val="24"/>
          <w:szCs w:val="24"/>
        </w:rPr>
        <w:t xml:space="preserve">(rreth </w:t>
      </w:r>
      <w:r w:rsidR="005C4A05" w:rsidRPr="00CC54E7">
        <w:rPr>
          <w:rFonts w:ascii="Times New Roman" w:hAnsi="Times New Roman" w:cs="Times New Roman"/>
          <w:i/>
          <w:noProof/>
          <w:sz w:val="24"/>
          <w:szCs w:val="24"/>
        </w:rPr>
        <w:t>3</w:t>
      </w:r>
      <w:r w:rsidR="001A3DD8">
        <w:rPr>
          <w:rFonts w:ascii="Times New Roman" w:hAnsi="Times New Roman" w:cs="Times New Roman"/>
          <w:i/>
          <w:noProof/>
          <w:sz w:val="24"/>
          <w:szCs w:val="24"/>
        </w:rPr>
        <w:t>14.9</w:t>
      </w:r>
      <w:r w:rsidRPr="00CC54E7">
        <w:rPr>
          <w:rFonts w:ascii="Times New Roman" w:hAnsi="Times New Roman" w:cs="Times New Roman"/>
          <w:i/>
          <w:noProof/>
          <w:sz w:val="24"/>
          <w:szCs w:val="24"/>
        </w:rPr>
        <w:t xml:space="preserve"> milion Lekë)</w:t>
      </w:r>
      <w:r w:rsidRPr="00CC54E7">
        <w:rPr>
          <w:rFonts w:ascii="Times New Roman" w:hAnsi="Times New Roman" w:cs="Times New Roman"/>
          <w:noProof/>
          <w:sz w:val="24"/>
          <w:szCs w:val="24"/>
        </w:rPr>
        <w:t xml:space="preserve">, kryesisht për shkak të kapaciteteve të ulëta që kanë njësitë e qeverisjes vendore për të </w:t>
      </w:r>
      <w:r w:rsidR="00C10DC7" w:rsidRPr="00CC54E7">
        <w:rPr>
          <w:rFonts w:ascii="Times New Roman" w:hAnsi="Times New Roman" w:cs="Times New Roman"/>
          <w:noProof/>
          <w:sz w:val="24"/>
          <w:szCs w:val="24"/>
        </w:rPr>
        <w:t>siguruar</w:t>
      </w:r>
      <w:r w:rsidRPr="00CC54E7">
        <w:rPr>
          <w:rFonts w:ascii="Times New Roman" w:hAnsi="Times New Roman" w:cs="Times New Roman"/>
          <w:noProof/>
          <w:sz w:val="24"/>
          <w:szCs w:val="24"/>
        </w:rPr>
        <w:t xml:space="preserve"> borxh t</w:t>
      </w:r>
      <w:r w:rsidR="00A70F29" w:rsidRPr="00CC54E7">
        <w:rPr>
          <w:rFonts w:ascii="Times New Roman" w:hAnsi="Times New Roman" w:cs="Times New Roman"/>
          <w:noProof/>
          <w:sz w:val="24"/>
          <w:szCs w:val="24"/>
        </w:rPr>
        <w:t>ë</w:t>
      </w:r>
      <w:r w:rsidRPr="00CC54E7">
        <w:rPr>
          <w:rFonts w:ascii="Times New Roman" w:hAnsi="Times New Roman" w:cs="Times New Roman"/>
          <w:noProof/>
          <w:sz w:val="24"/>
          <w:szCs w:val="24"/>
        </w:rPr>
        <w:t xml:space="preserve"> ri</w:t>
      </w:r>
      <w:r w:rsidRPr="00772EBA">
        <w:rPr>
          <w:rFonts w:ascii="Times New Roman" w:hAnsi="Times New Roman" w:cs="Times New Roman"/>
          <w:noProof/>
          <w:sz w:val="24"/>
          <w:szCs w:val="24"/>
        </w:rPr>
        <w:t xml:space="preserve">. </w:t>
      </w:r>
      <w:r w:rsidRPr="00FB2E3B">
        <w:rPr>
          <w:rFonts w:ascii="Times New Roman" w:hAnsi="Times New Roman" w:cs="Times New Roman"/>
          <w:noProof/>
          <w:sz w:val="24"/>
          <w:szCs w:val="24"/>
        </w:rPr>
        <w:t xml:space="preserve">Gjatë </w:t>
      </w:r>
      <w:r w:rsidR="006A0CA6" w:rsidRPr="00FB2E3B">
        <w:rPr>
          <w:rFonts w:ascii="Times New Roman" w:hAnsi="Times New Roman" w:cs="Times New Roman"/>
          <w:noProof/>
          <w:sz w:val="24"/>
          <w:szCs w:val="24"/>
        </w:rPr>
        <w:t>vitit 202</w:t>
      </w:r>
      <w:r w:rsidR="00B45BD2" w:rsidRPr="00FB2E3B">
        <w:rPr>
          <w:rFonts w:ascii="Times New Roman" w:hAnsi="Times New Roman" w:cs="Times New Roman"/>
          <w:noProof/>
          <w:sz w:val="24"/>
          <w:szCs w:val="24"/>
        </w:rPr>
        <w:t>1</w:t>
      </w:r>
      <w:r w:rsidRPr="00FB2E3B">
        <w:rPr>
          <w:rFonts w:ascii="Times New Roman" w:hAnsi="Times New Roman" w:cs="Times New Roman"/>
          <w:noProof/>
          <w:sz w:val="24"/>
          <w:szCs w:val="24"/>
        </w:rPr>
        <w:t xml:space="preserve"> nuk ka pasur asnjë kërkesë nga njësitë e qeverisjes vendore për huamarrje të re.</w:t>
      </w:r>
    </w:p>
    <w:p w:rsidR="00EE07CF" w:rsidRPr="00EE7E9F" w:rsidRDefault="00EE07CF" w:rsidP="00B92540">
      <w:pPr>
        <w:spacing w:after="0" w:line="276" w:lineRule="auto"/>
        <w:ind w:right="-188"/>
        <w:jc w:val="both"/>
        <w:rPr>
          <w:rFonts w:ascii="Times New Roman" w:hAnsi="Times New Roman" w:cs="Times New Roman"/>
          <w:sz w:val="16"/>
          <w:szCs w:val="16"/>
          <w:highlight w:val="yellow"/>
        </w:rPr>
      </w:pPr>
    </w:p>
    <w:p w:rsidR="00640A13" w:rsidRPr="000B4CF5" w:rsidRDefault="003C1892" w:rsidP="00B92540">
      <w:pPr>
        <w:pStyle w:val="Heading1"/>
        <w:numPr>
          <w:ilvl w:val="0"/>
          <w:numId w:val="5"/>
        </w:numPr>
        <w:tabs>
          <w:tab w:val="left" w:pos="851"/>
        </w:tabs>
        <w:spacing w:before="0" w:after="240" w:line="276" w:lineRule="auto"/>
        <w:ind w:left="426" w:right="-188" w:hanging="426"/>
        <w:jc w:val="both"/>
        <w:rPr>
          <w:rFonts w:ascii="Cambria" w:hAnsi="Cambria"/>
          <w:sz w:val="24"/>
          <w:szCs w:val="24"/>
        </w:rPr>
      </w:pPr>
      <w:bookmarkStart w:id="2" w:name="_Toc34645062"/>
      <w:r w:rsidRPr="000B4CF5">
        <w:rPr>
          <w:rFonts w:ascii="Cambria" w:hAnsi="Cambria"/>
          <w:sz w:val="24"/>
          <w:szCs w:val="24"/>
        </w:rPr>
        <w:t>Borxhi</w:t>
      </w:r>
      <w:r w:rsidR="00E2745C" w:rsidRPr="000B4CF5">
        <w:rPr>
          <w:rFonts w:ascii="Cambria" w:hAnsi="Cambria"/>
          <w:sz w:val="24"/>
          <w:szCs w:val="24"/>
        </w:rPr>
        <w:t xml:space="preserve"> Shtet</w:t>
      </w:r>
      <w:r w:rsidR="00D7649A" w:rsidRPr="000B4CF5">
        <w:rPr>
          <w:rFonts w:ascii="Cambria" w:hAnsi="Cambria"/>
          <w:sz w:val="24"/>
          <w:szCs w:val="24"/>
        </w:rPr>
        <w:t>ë</w:t>
      </w:r>
      <w:r w:rsidR="00E2745C" w:rsidRPr="000B4CF5">
        <w:rPr>
          <w:rFonts w:ascii="Cambria" w:hAnsi="Cambria"/>
          <w:sz w:val="24"/>
          <w:szCs w:val="24"/>
        </w:rPr>
        <w:t>ror</w:t>
      </w:r>
      <w:bookmarkEnd w:id="2"/>
    </w:p>
    <w:p w:rsidR="00B12F7E" w:rsidRDefault="00B45BD2" w:rsidP="00092C6D">
      <w:pPr>
        <w:tabs>
          <w:tab w:val="left" w:pos="9000"/>
        </w:tabs>
        <w:spacing w:after="0" w:line="276" w:lineRule="auto"/>
        <w:ind w:right="-46"/>
        <w:jc w:val="both"/>
        <w:rPr>
          <w:rFonts w:ascii="Times New Roman" w:hAnsi="Times New Roman" w:cs="Times New Roman"/>
          <w:noProof/>
          <w:sz w:val="24"/>
          <w:szCs w:val="24"/>
        </w:rPr>
      </w:pPr>
      <w:r w:rsidRPr="00CC54E7">
        <w:rPr>
          <w:rFonts w:ascii="Times New Roman" w:hAnsi="Times New Roman" w:cs="Times New Roman"/>
          <w:noProof/>
          <w:sz w:val="24"/>
          <w:szCs w:val="24"/>
        </w:rPr>
        <w:t xml:space="preserve">Gjatë vitit 2021 portofoli i borxhit shtetëror vazhdon të dominohet </w:t>
      </w:r>
      <w:r w:rsidR="00863417" w:rsidRPr="00CC54E7">
        <w:rPr>
          <w:rFonts w:ascii="Times New Roman" w:hAnsi="Times New Roman" w:cs="Times New Roman"/>
          <w:noProof/>
          <w:sz w:val="24"/>
          <w:szCs w:val="24"/>
        </w:rPr>
        <w:t xml:space="preserve">me </w:t>
      </w:r>
      <w:r w:rsidRPr="00CC54E7">
        <w:rPr>
          <w:rFonts w:ascii="Times New Roman" w:hAnsi="Times New Roman" w:cs="Times New Roman"/>
          <w:noProof/>
          <w:sz w:val="24"/>
          <w:szCs w:val="24"/>
        </w:rPr>
        <w:t>mbi 50% nga titujt shtetërorë të tregtuar në tregun vendas, në përputhje me objektivat strategjikë për mbajtjen nën kontroll të riskut të kursit të këmbimit</w:t>
      </w:r>
      <w:r w:rsidR="00640A13" w:rsidRPr="00CC54E7">
        <w:rPr>
          <w:rFonts w:ascii="Times New Roman" w:hAnsi="Times New Roman" w:cs="Times New Roman"/>
          <w:noProof/>
          <w:sz w:val="24"/>
          <w:szCs w:val="24"/>
        </w:rPr>
        <w:t>.</w:t>
      </w:r>
      <w:r w:rsidR="00092C6D" w:rsidRPr="00CC54E7">
        <w:rPr>
          <w:rFonts w:ascii="Times New Roman" w:hAnsi="Times New Roman" w:cs="Times New Roman"/>
          <w:noProof/>
          <w:sz w:val="24"/>
          <w:szCs w:val="24"/>
        </w:rPr>
        <w:t xml:space="preserve"> </w:t>
      </w:r>
      <w:r w:rsidR="003F3A3F">
        <w:rPr>
          <w:rFonts w:ascii="Times New Roman" w:hAnsi="Times New Roman" w:cs="Times New Roman"/>
          <w:noProof/>
          <w:sz w:val="24"/>
          <w:szCs w:val="24"/>
        </w:rPr>
        <w:t xml:space="preserve">Megjithatë gjatë </w:t>
      </w:r>
      <w:r w:rsidR="004748D6">
        <w:rPr>
          <w:rFonts w:ascii="Times New Roman" w:hAnsi="Times New Roman" w:cs="Times New Roman"/>
          <w:noProof/>
          <w:sz w:val="24"/>
          <w:szCs w:val="24"/>
        </w:rPr>
        <w:t>vitit</w:t>
      </w:r>
      <w:r w:rsidR="0027326C">
        <w:rPr>
          <w:rFonts w:ascii="Times New Roman" w:hAnsi="Times New Roman" w:cs="Times New Roman"/>
          <w:noProof/>
          <w:sz w:val="24"/>
          <w:szCs w:val="24"/>
        </w:rPr>
        <w:t xml:space="preserve"> 202</w:t>
      </w:r>
      <w:r w:rsidR="00772EBA">
        <w:rPr>
          <w:rFonts w:ascii="Times New Roman" w:hAnsi="Times New Roman" w:cs="Times New Roman"/>
          <w:noProof/>
          <w:sz w:val="24"/>
          <w:szCs w:val="24"/>
        </w:rPr>
        <w:t xml:space="preserve">1 </w:t>
      </w:r>
      <w:r w:rsidR="003F3A3F">
        <w:rPr>
          <w:rFonts w:ascii="Times New Roman" w:hAnsi="Times New Roman" w:cs="Times New Roman"/>
          <w:noProof/>
          <w:sz w:val="24"/>
          <w:szCs w:val="24"/>
        </w:rPr>
        <w:t xml:space="preserve">pesha e portofolit të </w:t>
      </w:r>
      <w:r w:rsidR="003F3A3F" w:rsidRPr="00CC54E7">
        <w:rPr>
          <w:rFonts w:ascii="Times New Roman" w:hAnsi="Times New Roman" w:cs="Times New Roman"/>
          <w:noProof/>
          <w:sz w:val="24"/>
          <w:szCs w:val="24"/>
        </w:rPr>
        <w:t>tituj</w:t>
      </w:r>
      <w:r w:rsidR="003F3A3F">
        <w:rPr>
          <w:rFonts w:ascii="Times New Roman" w:hAnsi="Times New Roman" w:cs="Times New Roman"/>
          <w:noProof/>
          <w:sz w:val="24"/>
          <w:szCs w:val="24"/>
        </w:rPr>
        <w:t>ve</w:t>
      </w:r>
      <w:r w:rsidR="003F3A3F" w:rsidRPr="00CC54E7">
        <w:rPr>
          <w:rFonts w:ascii="Times New Roman" w:hAnsi="Times New Roman" w:cs="Times New Roman"/>
          <w:noProof/>
          <w:sz w:val="24"/>
          <w:szCs w:val="24"/>
        </w:rPr>
        <w:t xml:space="preserve"> shtetërorë të tregtuar në tregun vendas</w:t>
      </w:r>
      <w:r w:rsidR="003F3A3F">
        <w:rPr>
          <w:rFonts w:ascii="Times New Roman" w:hAnsi="Times New Roman" w:cs="Times New Roman"/>
          <w:noProof/>
          <w:sz w:val="24"/>
          <w:szCs w:val="24"/>
        </w:rPr>
        <w:t xml:space="preserve"> është ulur nga 53.7% në 51.1% ndërkohë ka patur një rritje të </w:t>
      </w:r>
      <w:r w:rsidR="00772EBA">
        <w:rPr>
          <w:rFonts w:ascii="Times New Roman" w:hAnsi="Times New Roman" w:cs="Times New Roman"/>
          <w:noProof/>
          <w:sz w:val="24"/>
          <w:szCs w:val="24"/>
        </w:rPr>
        <w:t>pesh</w:t>
      </w:r>
      <w:r w:rsidR="003F3A3F">
        <w:rPr>
          <w:rFonts w:ascii="Times New Roman" w:hAnsi="Times New Roman" w:cs="Times New Roman"/>
          <w:noProof/>
          <w:sz w:val="24"/>
          <w:szCs w:val="24"/>
        </w:rPr>
        <w:t>ës</w:t>
      </w:r>
      <w:r w:rsidR="00772EBA">
        <w:rPr>
          <w:rFonts w:ascii="Times New Roman" w:hAnsi="Times New Roman" w:cs="Times New Roman"/>
          <w:noProof/>
          <w:sz w:val="24"/>
          <w:szCs w:val="24"/>
        </w:rPr>
        <w:t xml:space="preserve"> </w:t>
      </w:r>
      <w:r w:rsidR="003F3A3F">
        <w:rPr>
          <w:rFonts w:ascii="Times New Roman" w:hAnsi="Times New Roman" w:cs="Times New Roman"/>
          <w:noProof/>
          <w:sz w:val="24"/>
          <w:szCs w:val="24"/>
        </w:rPr>
        <w:t xml:space="preserve">së </w:t>
      </w:r>
      <w:r w:rsidR="00772EBA">
        <w:rPr>
          <w:rFonts w:ascii="Times New Roman" w:hAnsi="Times New Roman" w:cs="Times New Roman"/>
          <w:noProof/>
          <w:sz w:val="24"/>
          <w:szCs w:val="24"/>
        </w:rPr>
        <w:t>titujve nd</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rkomb</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tar</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 xml:space="preserve"> dhe huave me terma jo ko</w:t>
      </w:r>
      <w:r w:rsidR="00A7181D">
        <w:rPr>
          <w:rFonts w:ascii="Times New Roman" w:hAnsi="Times New Roman" w:cs="Times New Roman"/>
          <w:noProof/>
          <w:sz w:val="24"/>
          <w:szCs w:val="24"/>
        </w:rPr>
        <w:t>n</w:t>
      </w:r>
      <w:r w:rsidR="00772EBA">
        <w:rPr>
          <w:rFonts w:ascii="Times New Roman" w:hAnsi="Times New Roman" w:cs="Times New Roman"/>
          <w:noProof/>
          <w:sz w:val="24"/>
          <w:szCs w:val="24"/>
        </w:rPr>
        <w:t>cesionale, p</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rkat</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sisht me 4.3 dhe 1.3 pp, si rezultat e emetimit t</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 xml:space="preserve"> Eurobondit n</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 xml:space="preserve"> n</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ntor 2021, dhe mb</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shtetjeve buxhetor</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 xml:space="preserve"> t</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 xml:space="preserve"> disbursuara.</w:t>
      </w:r>
      <w:r w:rsidR="0027326C">
        <w:rPr>
          <w:rFonts w:ascii="Times New Roman" w:hAnsi="Times New Roman" w:cs="Times New Roman"/>
          <w:noProof/>
          <w:sz w:val="24"/>
          <w:szCs w:val="24"/>
        </w:rPr>
        <w:t xml:space="preserve"> </w:t>
      </w:r>
    </w:p>
    <w:p w:rsidR="00640A13" w:rsidRPr="00CC54E7" w:rsidRDefault="00640A13" w:rsidP="00B92540">
      <w:pPr>
        <w:pStyle w:val="ListParagraph"/>
        <w:tabs>
          <w:tab w:val="left" w:pos="9000"/>
        </w:tabs>
        <w:spacing w:after="0" w:line="276" w:lineRule="auto"/>
        <w:ind w:right="-188"/>
        <w:jc w:val="both"/>
        <w:rPr>
          <w:rFonts w:ascii="Times New Roman" w:hAnsi="Times New Roman" w:cs="Times New Roman"/>
          <w:noProof/>
          <w:sz w:val="16"/>
          <w:szCs w:val="16"/>
        </w:rPr>
      </w:pPr>
    </w:p>
    <w:p w:rsidR="00640A13" w:rsidRDefault="00640A13" w:rsidP="00FB2E3B">
      <w:pPr>
        <w:spacing w:after="0" w:line="276" w:lineRule="auto"/>
        <w:ind w:right="-188"/>
        <w:jc w:val="center"/>
        <w:rPr>
          <w:rFonts w:ascii="Cambria" w:hAnsi="Cambria" w:cs="Times New Roman"/>
          <w:i/>
          <w:noProof/>
          <w:sz w:val="18"/>
          <w:szCs w:val="18"/>
        </w:rPr>
      </w:pPr>
      <w:r w:rsidRPr="00CC54E7">
        <w:rPr>
          <w:rFonts w:ascii="Cambria" w:hAnsi="Cambria" w:cs="Times New Roman"/>
          <w:b/>
          <w:noProof/>
          <w:sz w:val="18"/>
          <w:szCs w:val="18"/>
        </w:rPr>
        <w:t xml:space="preserve">Paraqitje Grafike 2 (a): </w:t>
      </w:r>
      <w:r w:rsidRPr="00CC54E7">
        <w:rPr>
          <w:rFonts w:ascii="Cambria" w:hAnsi="Cambria" w:cs="Times New Roman"/>
          <w:i/>
          <w:noProof/>
          <w:sz w:val="18"/>
          <w:szCs w:val="18"/>
        </w:rPr>
        <w:t>Kompozimi i portofolit të borxhit sht</w:t>
      </w:r>
      <w:r w:rsidR="00CC54E7" w:rsidRPr="00CC54E7">
        <w:rPr>
          <w:rFonts w:ascii="Cambria" w:hAnsi="Cambria" w:cs="Times New Roman"/>
          <w:i/>
          <w:noProof/>
          <w:sz w:val="18"/>
          <w:szCs w:val="18"/>
        </w:rPr>
        <w:t>etëror sipas instrumenteve (2017</w:t>
      </w:r>
      <w:r w:rsidRPr="00CC54E7">
        <w:rPr>
          <w:rFonts w:ascii="Cambria" w:hAnsi="Cambria" w:cs="Times New Roman"/>
          <w:i/>
          <w:noProof/>
          <w:sz w:val="18"/>
          <w:szCs w:val="18"/>
        </w:rPr>
        <w:t>–</w:t>
      </w:r>
      <w:r w:rsidR="005C6B82" w:rsidRPr="00CC54E7">
        <w:rPr>
          <w:rFonts w:ascii="Cambria" w:hAnsi="Cambria" w:cs="Times New Roman"/>
          <w:i/>
          <w:noProof/>
          <w:sz w:val="18"/>
          <w:szCs w:val="18"/>
        </w:rPr>
        <w:t>202</w:t>
      </w:r>
      <w:r w:rsidR="00B45BD2" w:rsidRPr="00CC54E7">
        <w:rPr>
          <w:rFonts w:ascii="Cambria" w:hAnsi="Cambria" w:cs="Times New Roman"/>
          <w:i/>
          <w:noProof/>
          <w:sz w:val="18"/>
          <w:szCs w:val="18"/>
        </w:rPr>
        <w:t>1</w:t>
      </w:r>
      <w:r w:rsidRPr="00CC54E7">
        <w:rPr>
          <w:rFonts w:ascii="Cambria" w:hAnsi="Cambria" w:cs="Times New Roman"/>
          <w:i/>
          <w:noProof/>
          <w:sz w:val="18"/>
          <w:szCs w:val="18"/>
        </w:rPr>
        <w:t>)</w:t>
      </w:r>
    </w:p>
    <w:p w:rsidR="005231E9" w:rsidRPr="00EE7E9F" w:rsidRDefault="004748D6" w:rsidP="00271CCA">
      <w:pPr>
        <w:spacing w:after="0" w:line="276" w:lineRule="auto"/>
        <w:ind w:right="-188"/>
        <w:rPr>
          <w:rFonts w:ascii="Cambria" w:hAnsi="Cambria" w:cs="Times New Roman"/>
          <w:i/>
          <w:noProof/>
          <w:sz w:val="18"/>
          <w:szCs w:val="18"/>
          <w:highlight w:val="yellow"/>
        </w:rPr>
      </w:pPr>
      <w:r w:rsidRPr="00FB2E3B">
        <w:rPr>
          <w:rFonts w:ascii="Cambria" w:hAnsi="Cambria" w:cs="Times New Roman"/>
          <w:i/>
          <w:noProof/>
          <w:sz w:val="18"/>
          <w:szCs w:val="18"/>
          <w:highlight w:val="yellow"/>
          <w:lang w:val="en-US"/>
        </w:rPr>
        <w:drawing>
          <wp:inline distT="0" distB="0" distL="0" distR="0" wp14:anchorId="2CE6D1DD" wp14:editId="2E0DE6A0">
            <wp:extent cx="5844845" cy="1842770"/>
            <wp:effectExtent l="0" t="0" r="3810" b="5080"/>
            <wp:docPr id="16" name="Chart 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40A13" w:rsidRPr="00EE7E9F" w:rsidRDefault="00640A13" w:rsidP="00B92540">
      <w:pPr>
        <w:spacing w:after="0" w:line="276" w:lineRule="auto"/>
        <w:ind w:right="-188"/>
        <w:jc w:val="center"/>
        <w:rPr>
          <w:rFonts w:ascii="Cambria" w:hAnsi="Cambria" w:cs="Times New Roman"/>
          <w:i/>
          <w:noProof/>
          <w:sz w:val="20"/>
          <w:szCs w:val="20"/>
          <w:highlight w:val="yellow"/>
        </w:rPr>
      </w:pPr>
      <w:r w:rsidRPr="00CC54E7">
        <w:rPr>
          <w:rFonts w:ascii="Cambria" w:hAnsi="Cambria" w:cs="Times New Roman"/>
          <w:b/>
          <w:noProof/>
          <w:sz w:val="20"/>
          <w:szCs w:val="20"/>
        </w:rPr>
        <w:t>Burimi:</w:t>
      </w:r>
      <w:r w:rsidRPr="00CC54E7">
        <w:rPr>
          <w:rFonts w:ascii="Cambria" w:hAnsi="Cambria" w:cs="Times New Roman"/>
          <w:i/>
          <w:noProof/>
          <w:sz w:val="20"/>
          <w:szCs w:val="20"/>
        </w:rPr>
        <w:t xml:space="preserve"> Ministria e Financave dhe Ekonomisë (202</w:t>
      </w:r>
      <w:r w:rsidR="00A7181D">
        <w:rPr>
          <w:rFonts w:ascii="Cambria" w:hAnsi="Cambria" w:cs="Times New Roman"/>
          <w:i/>
          <w:noProof/>
          <w:sz w:val="20"/>
          <w:szCs w:val="20"/>
        </w:rPr>
        <w:t>2</w:t>
      </w:r>
      <w:r w:rsidRPr="00CC54E7">
        <w:rPr>
          <w:rFonts w:ascii="Cambria" w:hAnsi="Cambria" w:cs="Times New Roman"/>
          <w:i/>
          <w:noProof/>
          <w:sz w:val="20"/>
          <w:szCs w:val="20"/>
        </w:rPr>
        <w:t>)</w:t>
      </w:r>
      <w:r w:rsidR="005231E9" w:rsidRPr="005231E9">
        <w:rPr>
          <w:noProof/>
          <w:lang w:val="en-GB" w:eastAsia="en-GB"/>
        </w:rPr>
        <w:t xml:space="preserve"> </w:t>
      </w:r>
    </w:p>
    <w:p w:rsidR="00640A13" w:rsidRPr="00EE7E9F" w:rsidRDefault="00640A13" w:rsidP="00B92540">
      <w:pPr>
        <w:pStyle w:val="ListParagraph"/>
        <w:spacing w:after="0" w:line="276" w:lineRule="auto"/>
        <w:ind w:right="-188"/>
        <w:rPr>
          <w:rFonts w:ascii="Cambria" w:hAnsi="Cambria" w:cs="Times New Roman"/>
          <w:noProof/>
          <w:sz w:val="16"/>
          <w:szCs w:val="16"/>
          <w:highlight w:val="yellow"/>
        </w:rPr>
      </w:pPr>
    </w:p>
    <w:p w:rsidR="00640A13" w:rsidRDefault="00ED738F" w:rsidP="00E56838">
      <w:pPr>
        <w:spacing w:after="0" w:line="276" w:lineRule="auto"/>
        <w:ind w:right="-188"/>
        <w:jc w:val="both"/>
        <w:rPr>
          <w:rFonts w:ascii="Times New Roman" w:hAnsi="Times New Roman" w:cs="Times New Roman"/>
          <w:noProof/>
          <w:sz w:val="24"/>
          <w:szCs w:val="24"/>
        </w:rPr>
      </w:pPr>
      <w:r w:rsidRPr="00ED738F">
        <w:rPr>
          <w:rFonts w:ascii="Times New Roman" w:hAnsi="Times New Roman" w:cs="Times New Roman"/>
          <w:noProof/>
          <w:sz w:val="24"/>
          <w:szCs w:val="24"/>
        </w:rPr>
        <w:t xml:space="preserve">Në portofolin e  borxhit të brendshëm shtetëror, gjatë </w:t>
      </w:r>
      <w:r>
        <w:rPr>
          <w:rFonts w:ascii="Times New Roman" w:hAnsi="Times New Roman" w:cs="Times New Roman"/>
          <w:noProof/>
          <w:sz w:val="24"/>
          <w:szCs w:val="24"/>
        </w:rPr>
        <w:t>vitit 2021</w:t>
      </w:r>
      <w:r w:rsidRPr="00ED738F">
        <w:rPr>
          <w:rFonts w:ascii="Times New Roman" w:hAnsi="Times New Roman" w:cs="Times New Roman"/>
          <w:noProof/>
          <w:sz w:val="24"/>
          <w:szCs w:val="24"/>
        </w:rPr>
        <w:t xml:space="preserve">, peshën më të madhe vazhdojnë ta mbajnë titujt </w:t>
      </w:r>
      <w:r w:rsidR="00CD35FA">
        <w:rPr>
          <w:rFonts w:ascii="Times New Roman" w:hAnsi="Times New Roman" w:cs="Times New Roman"/>
          <w:noProof/>
          <w:sz w:val="24"/>
          <w:szCs w:val="24"/>
        </w:rPr>
        <w:t>afatshkurtër</w:t>
      </w:r>
      <w:r w:rsidR="00D12364">
        <w:rPr>
          <w:rFonts w:ascii="Times New Roman" w:hAnsi="Times New Roman" w:cs="Times New Roman"/>
          <w:noProof/>
          <w:sz w:val="24"/>
          <w:szCs w:val="24"/>
        </w:rPr>
        <w:t>, por duke sh</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nuar nj</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r</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nie me </w:t>
      </w:r>
      <w:r w:rsidR="00ED1B1B">
        <w:rPr>
          <w:rFonts w:ascii="Times New Roman" w:hAnsi="Times New Roman" w:cs="Times New Roman"/>
          <w:noProof/>
          <w:sz w:val="24"/>
          <w:szCs w:val="24"/>
        </w:rPr>
        <w:t>2.0</w:t>
      </w:r>
      <w:r w:rsidR="00D12364">
        <w:rPr>
          <w:rFonts w:ascii="Times New Roman" w:hAnsi="Times New Roman" w:cs="Times New Roman"/>
          <w:noProof/>
          <w:sz w:val="24"/>
          <w:szCs w:val="24"/>
        </w:rPr>
        <w:t xml:space="preserve"> pp</w:t>
      </w:r>
      <w:r w:rsidRPr="00ED738F">
        <w:rPr>
          <w:rFonts w:ascii="Times New Roman" w:hAnsi="Times New Roman" w:cs="Times New Roman"/>
          <w:noProof/>
          <w:sz w:val="24"/>
          <w:szCs w:val="24"/>
        </w:rPr>
        <w:t>.</w:t>
      </w:r>
      <w:r w:rsidR="00B45BD2" w:rsidRPr="00ED738F">
        <w:rPr>
          <w:rFonts w:ascii="Times New Roman" w:hAnsi="Times New Roman" w:cs="Times New Roman"/>
          <w:noProof/>
          <w:sz w:val="24"/>
          <w:szCs w:val="24"/>
        </w:rPr>
        <w:t xml:space="preserve"> Ndërkohë, </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sht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rritur pesha e titujve afatgjat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me 1</w:t>
      </w:r>
      <w:r w:rsidR="00FD335A">
        <w:rPr>
          <w:rFonts w:ascii="Times New Roman" w:hAnsi="Times New Roman" w:cs="Times New Roman"/>
          <w:noProof/>
          <w:sz w:val="24"/>
          <w:szCs w:val="24"/>
        </w:rPr>
        <w:t>.0</w:t>
      </w:r>
      <w:r w:rsidR="00D12364">
        <w:rPr>
          <w:rFonts w:ascii="Times New Roman" w:hAnsi="Times New Roman" w:cs="Times New Roman"/>
          <w:noProof/>
          <w:sz w:val="24"/>
          <w:szCs w:val="24"/>
        </w:rPr>
        <w:t xml:space="preserve"> pp, si rezultat i </w:t>
      </w:r>
      <w:r w:rsidR="00E27474">
        <w:rPr>
          <w:rFonts w:ascii="Times New Roman" w:hAnsi="Times New Roman" w:cs="Times New Roman"/>
          <w:noProof/>
          <w:sz w:val="24"/>
          <w:szCs w:val="24"/>
        </w:rPr>
        <w:t xml:space="preserve">sigurimit </w:t>
      </w:r>
      <w:r w:rsidR="00D12364">
        <w:rPr>
          <w:rFonts w:ascii="Times New Roman" w:hAnsi="Times New Roman" w:cs="Times New Roman"/>
          <w:noProof/>
          <w:sz w:val="24"/>
          <w:szCs w:val="24"/>
        </w:rPr>
        <w:t>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w:t>
      </w:r>
      <w:r w:rsidR="00E27474">
        <w:rPr>
          <w:rFonts w:ascii="Times New Roman" w:hAnsi="Times New Roman" w:cs="Times New Roman"/>
          <w:noProof/>
          <w:sz w:val="24"/>
          <w:szCs w:val="24"/>
        </w:rPr>
        <w:t>financimit të ri pothuajse tërësisht në</w:t>
      </w:r>
      <w:r w:rsidR="009220C5">
        <w:rPr>
          <w:rFonts w:ascii="Times New Roman" w:hAnsi="Times New Roman" w:cs="Times New Roman"/>
          <w:noProof/>
          <w:sz w:val="24"/>
          <w:szCs w:val="24"/>
        </w:rPr>
        <w:t>përmjet</w:t>
      </w:r>
      <w:r w:rsidR="00E27474">
        <w:rPr>
          <w:rFonts w:ascii="Times New Roman" w:hAnsi="Times New Roman" w:cs="Times New Roman"/>
          <w:noProof/>
          <w:sz w:val="24"/>
          <w:szCs w:val="24"/>
        </w:rPr>
        <w:t xml:space="preserve"> obligacione</w:t>
      </w:r>
      <w:r w:rsidR="009220C5">
        <w:rPr>
          <w:rFonts w:ascii="Times New Roman" w:hAnsi="Times New Roman" w:cs="Times New Roman"/>
          <w:noProof/>
          <w:sz w:val="24"/>
          <w:szCs w:val="24"/>
        </w:rPr>
        <w:t>ve</w:t>
      </w:r>
      <w:r w:rsidR="00E27474">
        <w:rPr>
          <w:rFonts w:ascii="Times New Roman" w:hAnsi="Times New Roman" w:cs="Times New Roman"/>
          <w:noProof/>
          <w:sz w:val="24"/>
          <w:szCs w:val="24"/>
        </w:rPr>
        <w:t xml:space="preserve"> shtetërore</w:t>
      </w:r>
      <w:r w:rsidR="001F3FE5">
        <w:rPr>
          <w:rFonts w:ascii="Times New Roman" w:hAnsi="Times New Roman" w:cs="Times New Roman"/>
          <w:noProof/>
          <w:sz w:val="24"/>
          <w:szCs w:val="24"/>
        </w:rPr>
        <w:t xml:space="preserve"> afatgjatë</w:t>
      </w:r>
      <w:r w:rsidR="009220C5">
        <w:rPr>
          <w:rFonts w:ascii="Times New Roman" w:hAnsi="Times New Roman" w:cs="Times New Roman"/>
          <w:noProof/>
          <w:sz w:val="24"/>
          <w:szCs w:val="24"/>
        </w:rPr>
        <w:t>, ku gjatë vitit 2021 është mundësuar edhe emetimi i suksesshëm i një obligacioni 15 vjeçar</w:t>
      </w:r>
      <w:r w:rsidR="00D12364">
        <w:rPr>
          <w:rFonts w:ascii="Times New Roman" w:hAnsi="Times New Roman" w:cs="Times New Roman"/>
          <w:noProof/>
          <w:sz w:val="24"/>
          <w:szCs w:val="24"/>
        </w:rPr>
        <w:t>. Prezantimi i instrumentit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ri n</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portofolin e borxhit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brendsh</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m </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sht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n</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p</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rputhje me objektivat e Strategjis</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Afatmesme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Menaxhimit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Borxhit, n</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kuad</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r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p</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rmir</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simit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jet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gjat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sis</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mesatare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portofolit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borxhit. N</w:t>
      </w:r>
      <w:r w:rsidR="00D12364" w:rsidRPr="00D12364">
        <w:rPr>
          <w:rFonts w:ascii="Times New Roman" w:hAnsi="Times New Roman" w:cs="Times New Roman"/>
          <w:noProof/>
          <w:sz w:val="24"/>
          <w:szCs w:val="24"/>
        </w:rPr>
        <w:t>ë përputhje me objektivat për reduktimin e riskut të normave të interesit dhe shmangien e fragmentimit të kërkesës për titujt me maturitet të ngjashëm</w:t>
      </w:r>
      <w:r w:rsidR="00D12364">
        <w:rPr>
          <w:rFonts w:ascii="Times New Roman" w:hAnsi="Times New Roman" w:cs="Times New Roman"/>
          <w:noProof/>
          <w:sz w:val="24"/>
          <w:szCs w:val="24"/>
        </w:rPr>
        <w:t>, p</w:t>
      </w:r>
      <w:r w:rsidR="00B45BD2" w:rsidRPr="00ED738F">
        <w:rPr>
          <w:rFonts w:ascii="Times New Roman" w:hAnsi="Times New Roman" w:cs="Times New Roman"/>
          <w:noProof/>
          <w:sz w:val="24"/>
          <w:szCs w:val="24"/>
        </w:rPr>
        <w:t xml:space="preserve">esha e titujve me norma interesi të ndryshueshme është reduktuar, pasi edhe gjatë </w:t>
      </w:r>
      <w:r w:rsidR="00772EBA">
        <w:rPr>
          <w:rFonts w:ascii="Times New Roman" w:hAnsi="Times New Roman" w:cs="Times New Roman"/>
          <w:noProof/>
          <w:sz w:val="24"/>
          <w:szCs w:val="24"/>
        </w:rPr>
        <w:t>k</w:t>
      </w:r>
      <w:r w:rsidR="00FD335A">
        <w:rPr>
          <w:rFonts w:ascii="Times New Roman" w:hAnsi="Times New Roman" w:cs="Times New Roman"/>
          <w:noProof/>
          <w:sz w:val="24"/>
          <w:szCs w:val="24"/>
        </w:rPr>
        <w:t>ë</w:t>
      </w:r>
      <w:r w:rsidR="00772EBA">
        <w:rPr>
          <w:rFonts w:ascii="Times New Roman" w:hAnsi="Times New Roman" w:cs="Times New Roman"/>
          <w:noProof/>
          <w:sz w:val="24"/>
          <w:szCs w:val="24"/>
        </w:rPr>
        <w:t>tij viti</w:t>
      </w:r>
      <w:r w:rsidR="00B45BD2" w:rsidRPr="00ED738F">
        <w:rPr>
          <w:rFonts w:ascii="Times New Roman" w:hAnsi="Times New Roman" w:cs="Times New Roman"/>
          <w:noProof/>
          <w:sz w:val="24"/>
          <w:szCs w:val="24"/>
        </w:rPr>
        <w:t xml:space="preserve"> nuk ka patur emetime të titujve me norma interesi të ndryshueshme,</w:t>
      </w:r>
      <w:r w:rsidR="00D12364">
        <w:rPr>
          <w:rFonts w:ascii="Times New Roman" w:hAnsi="Times New Roman" w:cs="Times New Roman"/>
          <w:noProof/>
          <w:sz w:val="24"/>
          <w:szCs w:val="24"/>
        </w:rPr>
        <w:t xml:space="preserve"> dhe jan</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maturuar nj</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pjes</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e titujve me norma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ndryshueshme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cilat ishin pjes</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e stokut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portofolit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borxhit t</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 xml:space="preserve"> brendsh</w:t>
      </w:r>
      <w:r w:rsidR="00FD335A">
        <w:rPr>
          <w:rFonts w:ascii="Times New Roman" w:hAnsi="Times New Roman" w:cs="Times New Roman"/>
          <w:noProof/>
          <w:sz w:val="24"/>
          <w:szCs w:val="24"/>
        </w:rPr>
        <w:t>ë</w:t>
      </w:r>
      <w:r w:rsidR="00D12364">
        <w:rPr>
          <w:rFonts w:ascii="Times New Roman" w:hAnsi="Times New Roman" w:cs="Times New Roman"/>
          <w:noProof/>
          <w:sz w:val="24"/>
          <w:szCs w:val="24"/>
        </w:rPr>
        <w:t>m.</w:t>
      </w:r>
      <w:r w:rsidR="00B45BD2" w:rsidRPr="00ED738F">
        <w:rPr>
          <w:rFonts w:ascii="Times New Roman" w:hAnsi="Times New Roman" w:cs="Times New Roman"/>
          <w:noProof/>
          <w:sz w:val="24"/>
          <w:szCs w:val="24"/>
        </w:rPr>
        <w:t xml:space="preserve"> </w:t>
      </w:r>
    </w:p>
    <w:p w:rsidR="00B45BD2" w:rsidRPr="00ED738F" w:rsidRDefault="00B45BD2" w:rsidP="00B92540">
      <w:pPr>
        <w:spacing w:after="0" w:line="276" w:lineRule="auto"/>
        <w:ind w:right="-188"/>
        <w:rPr>
          <w:rFonts w:ascii="Cambria" w:hAnsi="Cambria" w:cs="Times New Roman"/>
          <w:b/>
          <w:noProof/>
          <w:sz w:val="16"/>
          <w:szCs w:val="16"/>
        </w:rPr>
      </w:pPr>
    </w:p>
    <w:p w:rsidR="005C6B82" w:rsidRDefault="001F3FE5" w:rsidP="00165ED2">
      <w:pPr>
        <w:spacing w:after="0" w:line="276" w:lineRule="auto"/>
        <w:ind w:left="2127" w:right="-188" w:hanging="2127"/>
        <w:rPr>
          <w:noProof/>
          <w:lang w:val="en-US"/>
        </w:rPr>
      </w:pPr>
      <w:r w:rsidRPr="00FB2E3B">
        <w:rPr>
          <w:rFonts w:ascii="Cambria" w:hAnsi="Cambria" w:cs="Times New Roman"/>
          <w:i/>
          <w:noProof/>
          <w:sz w:val="18"/>
          <w:szCs w:val="18"/>
          <w:lang w:val="en-US"/>
        </w:rPr>
        <w:drawing>
          <wp:anchor distT="0" distB="0" distL="114300" distR="114300" simplePos="0" relativeHeight="251894784" behindDoc="1" locked="0" layoutInCell="1" allowOverlap="1" wp14:anchorId="2207256C" wp14:editId="07336C4A">
            <wp:simplePos x="0" y="0"/>
            <wp:positionH relativeFrom="column">
              <wp:posOffset>2926080</wp:posOffset>
            </wp:positionH>
            <wp:positionV relativeFrom="paragraph">
              <wp:posOffset>304165</wp:posOffset>
            </wp:positionV>
            <wp:extent cx="2917825" cy="2033270"/>
            <wp:effectExtent l="0" t="0" r="15875" b="5080"/>
            <wp:wrapTight wrapText="bothSides">
              <wp:wrapPolygon edited="0">
                <wp:start x="0" y="0"/>
                <wp:lineTo x="0" y="21452"/>
                <wp:lineTo x="21576" y="21452"/>
                <wp:lineTo x="21576" y="0"/>
                <wp:lineTo x="0" y="0"/>
              </wp:wrapPolygon>
            </wp:wrapTight>
            <wp:docPr id="20" name="Chart 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sidR="00FD335A">
        <w:rPr>
          <w:noProof/>
          <w:lang w:val="en-US"/>
        </w:rPr>
        <w:drawing>
          <wp:anchor distT="0" distB="0" distL="114300" distR="114300" simplePos="0" relativeHeight="251893760" behindDoc="1" locked="0" layoutInCell="1" allowOverlap="1" wp14:anchorId="1C139746" wp14:editId="369F283B">
            <wp:simplePos x="0" y="0"/>
            <wp:positionH relativeFrom="column">
              <wp:posOffset>0</wp:posOffset>
            </wp:positionH>
            <wp:positionV relativeFrom="paragraph">
              <wp:posOffset>304165</wp:posOffset>
            </wp:positionV>
            <wp:extent cx="2926080" cy="2033270"/>
            <wp:effectExtent l="0" t="0" r="7620" b="5080"/>
            <wp:wrapTight wrapText="bothSides">
              <wp:wrapPolygon edited="0">
                <wp:start x="0" y="0"/>
                <wp:lineTo x="0" y="21452"/>
                <wp:lineTo x="21516" y="21452"/>
                <wp:lineTo x="21516" y="0"/>
                <wp:lineTo x="0" y="0"/>
              </wp:wrapPolygon>
            </wp:wrapTight>
            <wp:docPr id="1" name="Chart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anchor>
        </w:drawing>
      </w:r>
      <w:r w:rsidR="00640A13" w:rsidRPr="00ED738F">
        <w:rPr>
          <w:rFonts w:ascii="Cambria" w:hAnsi="Cambria" w:cs="Times New Roman"/>
          <w:b/>
          <w:noProof/>
          <w:sz w:val="18"/>
          <w:szCs w:val="18"/>
        </w:rPr>
        <w:t xml:space="preserve">Paraqitje Grafike 2 (b): </w:t>
      </w:r>
      <w:r w:rsidR="00640A13" w:rsidRPr="00ED738F">
        <w:rPr>
          <w:rFonts w:ascii="Cambria" w:hAnsi="Cambria" w:cs="Times New Roman"/>
          <w:i/>
          <w:noProof/>
          <w:sz w:val="18"/>
          <w:szCs w:val="18"/>
        </w:rPr>
        <w:t>Kompozimi i borxhit të brendshëm shtetëror sipas maturitetit të titu</w:t>
      </w:r>
      <w:r w:rsidR="00ED738F" w:rsidRPr="00ED738F">
        <w:rPr>
          <w:rFonts w:ascii="Cambria" w:hAnsi="Cambria" w:cs="Times New Roman"/>
          <w:i/>
          <w:noProof/>
          <w:sz w:val="18"/>
          <w:szCs w:val="18"/>
        </w:rPr>
        <w:t xml:space="preserve">jve dhe tipit të interesit </w:t>
      </w:r>
      <w:r w:rsidR="00E31FC3" w:rsidRPr="00ED738F">
        <w:rPr>
          <w:rFonts w:ascii="Cambria" w:hAnsi="Cambria" w:cs="Times New Roman"/>
          <w:i/>
          <w:noProof/>
          <w:sz w:val="18"/>
          <w:szCs w:val="18"/>
        </w:rPr>
        <w:t xml:space="preserve"> </w:t>
      </w:r>
      <w:r w:rsidR="00ED738F" w:rsidRPr="00ED738F">
        <w:rPr>
          <w:rFonts w:ascii="Cambria" w:hAnsi="Cambria" w:cs="Times New Roman"/>
          <w:i/>
          <w:noProof/>
          <w:sz w:val="18"/>
          <w:szCs w:val="18"/>
        </w:rPr>
        <w:t>(2017</w:t>
      </w:r>
      <w:r w:rsidR="00FD335A">
        <w:rPr>
          <w:rFonts w:ascii="Cambria" w:hAnsi="Cambria" w:cs="Times New Roman"/>
          <w:i/>
          <w:noProof/>
          <w:sz w:val="18"/>
          <w:szCs w:val="18"/>
        </w:rPr>
        <w:t>-</w:t>
      </w:r>
      <w:r w:rsidR="005C6B82" w:rsidRPr="00ED738F">
        <w:rPr>
          <w:rFonts w:ascii="Cambria" w:hAnsi="Cambria" w:cs="Times New Roman"/>
          <w:i/>
          <w:noProof/>
          <w:sz w:val="18"/>
          <w:szCs w:val="18"/>
        </w:rPr>
        <w:t>202</w:t>
      </w:r>
      <w:r w:rsidR="00E56838" w:rsidRPr="00ED738F">
        <w:rPr>
          <w:rFonts w:ascii="Cambria" w:hAnsi="Cambria" w:cs="Times New Roman"/>
          <w:i/>
          <w:noProof/>
          <w:sz w:val="18"/>
          <w:szCs w:val="18"/>
        </w:rPr>
        <w:t>1</w:t>
      </w:r>
      <w:r w:rsidR="00640A13" w:rsidRPr="00ED738F">
        <w:rPr>
          <w:rFonts w:ascii="Cambria" w:hAnsi="Cambria" w:cs="Times New Roman"/>
          <w:i/>
          <w:noProof/>
          <w:sz w:val="18"/>
          <w:szCs w:val="18"/>
        </w:rPr>
        <w:t>)</w:t>
      </w:r>
      <w:r w:rsidR="00CC54E7" w:rsidRPr="00ED738F">
        <w:rPr>
          <w:noProof/>
          <w:lang w:val="en-US"/>
        </w:rPr>
        <w:t xml:space="preserve"> </w:t>
      </w:r>
    </w:p>
    <w:p w:rsidR="00640A13" w:rsidRPr="00ED738F" w:rsidRDefault="00640A13" w:rsidP="00D12364">
      <w:pPr>
        <w:spacing w:after="0" w:line="276" w:lineRule="auto"/>
        <w:ind w:right="-188"/>
        <w:jc w:val="center"/>
        <w:rPr>
          <w:rFonts w:ascii="Cambria" w:hAnsi="Cambria" w:cs="Times New Roman"/>
          <w:i/>
          <w:noProof/>
          <w:sz w:val="20"/>
          <w:szCs w:val="20"/>
        </w:rPr>
      </w:pPr>
      <w:r w:rsidRPr="00ED738F">
        <w:rPr>
          <w:rFonts w:ascii="Cambria" w:hAnsi="Cambria" w:cs="Times New Roman"/>
          <w:b/>
          <w:noProof/>
          <w:sz w:val="20"/>
          <w:szCs w:val="20"/>
        </w:rPr>
        <w:t>Burimi:</w:t>
      </w:r>
      <w:r w:rsidRPr="00ED738F">
        <w:rPr>
          <w:rFonts w:ascii="Cambria" w:hAnsi="Cambria" w:cs="Times New Roman"/>
          <w:i/>
          <w:noProof/>
          <w:sz w:val="20"/>
          <w:szCs w:val="20"/>
        </w:rPr>
        <w:t xml:space="preserve"> Ministria e Financave dhe Ekonomisë (202</w:t>
      </w:r>
      <w:r w:rsidR="004948A9">
        <w:rPr>
          <w:rFonts w:ascii="Cambria" w:hAnsi="Cambria" w:cs="Times New Roman"/>
          <w:i/>
          <w:noProof/>
          <w:sz w:val="20"/>
          <w:szCs w:val="20"/>
        </w:rPr>
        <w:t>2</w:t>
      </w:r>
      <w:r w:rsidRPr="00ED738F">
        <w:rPr>
          <w:rFonts w:ascii="Cambria" w:hAnsi="Cambria" w:cs="Times New Roman"/>
          <w:i/>
          <w:noProof/>
          <w:sz w:val="20"/>
          <w:szCs w:val="20"/>
        </w:rPr>
        <w:t>)</w:t>
      </w:r>
    </w:p>
    <w:p w:rsidR="00ED738F" w:rsidRDefault="00ED738F" w:rsidP="00BC5BC9">
      <w:pPr>
        <w:spacing w:after="0" w:line="276" w:lineRule="auto"/>
        <w:ind w:right="-46"/>
        <w:jc w:val="both"/>
        <w:rPr>
          <w:rFonts w:ascii="Times New Roman" w:hAnsi="Times New Roman" w:cs="Times New Roman"/>
          <w:noProof/>
          <w:sz w:val="24"/>
          <w:szCs w:val="24"/>
          <w:highlight w:val="yellow"/>
        </w:rPr>
      </w:pPr>
    </w:p>
    <w:p w:rsidR="00640A13" w:rsidRPr="004C25B9" w:rsidRDefault="00B45BD2" w:rsidP="00BC5BC9">
      <w:pPr>
        <w:spacing w:after="0" w:line="276" w:lineRule="auto"/>
        <w:ind w:right="-46"/>
        <w:jc w:val="both"/>
        <w:rPr>
          <w:rFonts w:ascii="Times New Roman" w:hAnsi="Times New Roman" w:cs="Times New Roman"/>
          <w:noProof/>
          <w:sz w:val="24"/>
          <w:szCs w:val="24"/>
        </w:rPr>
      </w:pPr>
      <w:r w:rsidRPr="004C25B9">
        <w:rPr>
          <w:rFonts w:ascii="Times New Roman" w:hAnsi="Times New Roman" w:cs="Times New Roman"/>
          <w:noProof/>
          <w:sz w:val="24"/>
          <w:szCs w:val="24"/>
        </w:rPr>
        <w:t>Në portof</w:t>
      </w:r>
      <w:r w:rsidR="00CD35FA">
        <w:rPr>
          <w:rFonts w:ascii="Times New Roman" w:hAnsi="Times New Roman" w:cs="Times New Roman"/>
          <w:noProof/>
          <w:sz w:val="24"/>
          <w:szCs w:val="24"/>
        </w:rPr>
        <w:t>olin e borxhit të jashtëm, mbi 6</w:t>
      </w:r>
      <w:r w:rsidRPr="004C25B9">
        <w:rPr>
          <w:rFonts w:ascii="Times New Roman" w:hAnsi="Times New Roman" w:cs="Times New Roman"/>
          <w:noProof/>
          <w:sz w:val="24"/>
          <w:szCs w:val="24"/>
        </w:rPr>
        <w:t xml:space="preserve">0% të peshës e mban borxhi me normë interesi fikse. Ndërkohë, për sa i përket kompozimit sipas instrumenteve, </w:t>
      </w:r>
      <w:r w:rsidR="00242FA7">
        <w:rPr>
          <w:rFonts w:ascii="Times New Roman" w:hAnsi="Times New Roman" w:cs="Times New Roman"/>
          <w:noProof/>
          <w:sz w:val="24"/>
          <w:szCs w:val="24"/>
        </w:rPr>
        <w:t>gjat</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 xml:space="preserve"> vitit 2021 </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sht</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 xml:space="preserve"> rritur pesha e Eurobondit dhe Mb</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shtetjeve Buxhetore, p</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rkat</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 xml:space="preserve">sisht me </w:t>
      </w:r>
      <w:r w:rsidR="004948A9">
        <w:rPr>
          <w:rFonts w:ascii="Times New Roman" w:hAnsi="Times New Roman" w:cs="Times New Roman"/>
          <w:noProof/>
          <w:sz w:val="24"/>
          <w:szCs w:val="24"/>
        </w:rPr>
        <w:t>7</w:t>
      </w:r>
      <w:r w:rsidR="00242FA7">
        <w:rPr>
          <w:rFonts w:ascii="Times New Roman" w:hAnsi="Times New Roman" w:cs="Times New Roman"/>
          <w:noProof/>
          <w:sz w:val="24"/>
          <w:szCs w:val="24"/>
        </w:rPr>
        <w:t xml:space="preserve">.4 dhe </w:t>
      </w:r>
      <w:r w:rsidR="004948A9">
        <w:rPr>
          <w:rFonts w:ascii="Times New Roman" w:hAnsi="Times New Roman" w:cs="Times New Roman"/>
          <w:noProof/>
          <w:sz w:val="24"/>
          <w:szCs w:val="24"/>
        </w:rPr>
        <w:t>1</w:t>
      </w:r>
      <w:r w:rsidR="00242FA7">
        <w:rPr>
          <w:rFonts w:ascii="Times New Roman" w:hAnsi="Times New Roman" w:cs="Times New Roman"/>
          <w:noProof/>
          <w:sz w:val="24"/>
          <w:szCs w:val="24"/>
        </w:rPr>
        <w:t>.4 pp. P</w:t>
      </w:r>
      <w:r w:rsidRPr="004C25B9">
        <w:rPr>
          <w:rFonts w:ascii="Times New Roman" w:hAnsi="Times New Roman" w:cs="Times New Roman"/>
          <w:noProof/>
          <w:sz w:val="24"/>
          <w:szCs w:val="24"/>
        </w:rPr>
        <w:t>avarësisht diversifikimit të portofolit drejt instrumenteve të tregtueshme</w:t>
      </w:r>
      <w:r w:rsidR="00242FA7">
        <w:rPr>
          <w:rFonts w:ascii="Times New Roman" w:hAnsi="Times New Roman" w:cs="Times New Roman"/>
          <w:noProof/>
          <w:sz w:val="24"/>
          <w:szCs w:val="24"/>
        </w:rPr>
        <w:t xml:space="preserve">, </w:t>
      </w:r>
      <w:r w:rsidRPr="004C25B9">
        <w:rPr>
          <w:rFonts w:ascii="Times New Roman" w:hAnsi="Times New Roman" w:cs="Times New Roman"/>
          <w:noProof/>
          <w:sz w:val="24"/>
          <w:szCs w:val="24"/>
        </w:rPr>
        <w:t xml:space="preserve">peshën më të madhe vazhdojnë ta mbajnë kreditë me burim kreditorët dypalësh dhe shumëpalësh, me destinacion financimin e projekteve me natyrë zhvillimore. </w:t>
      </w:r>
      <w:r w:rsidR="00640A13" w:rsidRPr="004C25B9">
        <w:rPr>
          <w:rFonts w:ascii="Times New Roman" w:hAnsi="Times New Roman" w:cs="Times New Roman"/>
          <w:noProof/>
          <w:sz w:val="24"/>
          <w:szCs w:val="24"/>
        </w:rPr>
        <w:t xml:space="preserve"> </w:t>
      </w:r>
    </w:p>
    <w:p w:rsidR="00640A13" w:rsidRPr="004C25B9" w:rsidRDefault="00640A13" w:rsidP="00B92540">
      <w:pPr>
        <w:spacing w:after="0" w:line="276" w:lineRule="auto"/>
        <w:ind w:right="-188"/>
        <w:rPr>
          <w:rFonts w:ascii="Cambria" w:hAnsi="Cambria" w:cs="Times New Roman"/>
          <w:b/>
          <w:noProof/>
          <w:sz w:val="20"/>
          <w:szCs w:val="20"/>
        </w:rPr>
      </w:pPr>
    </w:p>
    <w:p w:rsidR="00640A13" w:rsidRPr="004C25B9" w:rsidRDefault="00242FA7" w:rsidP="00B92540">
      <w:pPr>
        <w:spacing w:after="0" w:line="240" w:lineRule="auto"/>
        <w:ind w:left="2127" w:right="-188" w:hanging="2127"/>
        <w:rPr>
          <w:rFonts w:ascii="Cambria" w:hAnsi="Cambria" w:cs="Times New Roman"/>
          <w:i/>
          <w:noProof/>
          <w:sz w:val="20"/>
          <w:szCs w:val="20"/>
        </w:rPr>
      </w:pPr>
      <w:r>
        <w:rPr>
          <w:noProof/>
          <w:lang w:val="en-US"/>
        </w:rPr>
        <w:drawing>
          <wp:anchor distT="0" distB="0" distL="114300" distR="114300" simplePos="0" relativeHeight="251895808" behindDoc="1" locked="0" layoutInCell="1" allowOverlap="1" wp14:anchorId="3839CDC2" wp14:editId="1C976B76">
            <wp:simplePos x="0" y="0"/>
            <wp:positionH relativeFrom="column">
              <wp:posOffset>0</wp:posOffset>
            </wp:positionH>
            <wp:positionV relativeFrom="paragraph">
              <wp:posOffset>310515</wp:posOffset>
            </wp:positionV>
            <wp:extent cx="2896235" cy="1915160"/>
            <wp:effectExtent l="0" t="0" r="18415" b="8890"/>
            <wp:wrapTight wrapText="bothSides">
              <wp:wrapPolygon edited="0">
                <wp:start x="0" y="0"/>
                <wp:lineTo x="0" y="21485"/>
                <wp:lineTo x="21595" y="21485"/>
                <wp:lineTo x="21595" y="0"/>
                <wp:lineTo x="0" y="0"/>
              </wp:wrapPolygon>
            </wp:wrapTight>
            <wp:docPr id="39" name="Chart 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96832" behindDoc="1" locked="0" layoutInCell="1" allowOverlap="1" wp14:anchorId="78025B7D" wp14:editId="0D7CD182">
            <wp:simplePos x="0" y="0"/>
            <wp:positionH relativeFrom="column">
              <wp:posOffset>2896235</wp:posOffset>
            </wp:positionH>
            <wp:positionV relativeFrom="paragraph">
              <wp:posOffset>310515</wp:posOffset>
            </wp:positionV>
            <wp:extent cx="2924810" cy="1915160"/>
            <wp:effectExtent l="0" t="0" r="8890" b="8890"/>
            <wp:wrapTight wrapText="bothSides">
              <wp:wrapPolygon edited="0">
                <wp:start x="0" y="0"/>
                <wp:lineTo x="0" y="21485"/>
                <wp:lineTo x="21525" y="21485"/>
                <wp:lineTo x="21525" y="0"/>
                <wp:lineTo x="0" y="0"/>
              </wp:wrapPolygon>
            </wp:wrapTight>
            <wp:docPr id="40" name="Chart 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V relativeFrom="margin">
              <wp14:pctHeight>0</wp14:pctHeight>
            </wp14:sizeRelV>
          </wp:anchor>
        </w:drawing>
      </w:r>
      <w:r w:rsidR="00640A13" w:rsidRPr="004C25B9">
        <w:rPr>
          <w:rFonts w:ascii="Cambria" w:hAnsi="Cambria" w:cs="Times New Roman"/>
          <w:b/>
          <w:noProof/>
          <w:sz w:val="20"/>
          <w:szCs w:val="20"/>
        </w:rPr>
        <w:t xml:space="preserve"> Paraqitje Grafike 2 (c):</w:t>
      </w:r>
      <w:r w:rsidR="00640A13" w:rsidRPr="004C25B9">
        <w:rPr>
          <w:rFonts w:ascii="Cambria" w:hAnsi="Cambria" w:cs="Times New Roman"/>
          <w:noProof/>
          <w:sz w:val="20"/>
          <w:szCs w:val="20"/>
        </w:rPr>
        <w:t xml:space="preserve"> </w:t>
      </w:r>
      <w:r w:rsidR="00640A13" w:rsidRPr="004C25B9">
        <w:rPr>
          <w:rFonts w:ascii="Cambria" w:hAnsi="Cambria" w:cs="Times New Roman"/>
          <w:i/>
          <w:noProof/>
          <w:sz w:val="20"/>
          <w:szCs w:val="20"/>
        </w:rPr>
        <w:t xml:space="preserve">Kompozimi i borxhit të jashtëm shtetëror sipas tipit të instrumenteve dhe tipit të </w:t>
      </w:r>
      <w:r w:rsidR="004C25B9" w:rsidRPr="004C25B9">
        <w:rPr>
          <w:rFonts w:ascii="Cambria" w:hAnsi="Cambria" w:cs="Times New Roman"/>
          <w:i/>
          <w:noProof/>
          <w:sz w:val="20"/>
          <w:szCs w:val="20"/>
        </w:rPr>
        <w:t>interesit (2017</w:t>
      </w:r>
      <w:r w:rsidR="00640A13" w:rsidRPr="004C25B9">
        <w:rPr>
          <w:rFonts w:ascii="Cambria" w:hAnsi="Cambria" w:cs="Times New Roman"/>
          <w:i/>
          <w:noProof/>
          <w:sz w:val="20"/>
          <w:szCs w:val="20"/>
        </w:rPr>
        <w:t>–</w:t>
      </w:r>
      <w:r w:rsidR="0078555D">
        <w:rPr>
          <w:rFonts w:ascii="Cambria" w:hAnsi="Cambria" w:cs="Times New Roman"/>
          <w:i/>
          <w:noProof/>
          <w:sz w:val="20"/>
          <w:szCs w:val="20"/>
        </w:rPr>
        <w:t>Dhjetor</w:t>
      </w:r>
      <w:r w:rsidR="00265CCD" w:rsidRPr="004C25B9">
        <w:rPr>
          <w:rFonts w:ascii="Cambria" w:hAnsi="Cambria" w:cs="Times New Roman"/>
          <w:i/>
          <w:noProof/>
          <w:sz w:val="20"/>
          <w:szCs w:val="20"/>
        </w:rPr>
        <w:t xml:space="preserve"> </w:t>
      </w:r>
      <w:r w:rsidR="008B1333" w:rsidRPr="004C25B9">
        <w:rPr>
          <w:rFonts w:ascii="Cambria" w:hAnsi="Cambria" w:cs="Times New Roman"/>
          <w:i/>
          <w:noProof/>
          <w:sz w:val="20"/>
          <w:szCs w:val="20"/>
        </w:rPr>
        <w:t>202</w:t>
      </w:r>
      <w:r w:rsidR="00AA57AC" w:rsidRPr="004C25B9">
        <w:rPr>
          <w:rFonts w:ascii="Cambria" w:hAnsi="Cambria" w:cs="Times New Roman"/>
          <w:i/>
          <w:noProof/>
          <w:sz w:val="20"/>
          <w:szCs w:val="20"/>
        </w:rPr>
        <w:t>1</w:t>
      </w:r>
      <w:r w:rsidR="00640A13" w:rsidRPr="004C25B9">
        <w:rPr>
          <w:rFonts w:ascii="Cambria" w:hAnsi="Cambria" w:cs="Times New Roman"/>
          <w:i/>
          <w:noProof/>
          <w:sz w:val="20"/>
          <w:szCs w:val="20"/>
        </w:rPr>
        <w:t>)</w:t>
      </w:r>
    </w:p>
    <w:p w:rsidR="00640A13" w:rsidRDefault="00640A13" w:rsidP="008F4B9F">
      <w:pPr>
        <w:spacing w:after="0" w:line="240" w:lineRule="auto"/>
        <w:ind w:right="-188"/>
        <w:jc w:val="center"/>
        <w:rPr>
          <w:rFonts w:ascii="Cambria" w:hAnsi="Cambria" w:cs="Times New Roman"/>
          <w:i/>
          <w:noProof/>
          <w:sz w:val="20"/>
          <w:szCs w:val="20"/>
        </w:rPr>
      </w:pPr>
      <w:r w:rsidRPr="004C25B9">
        <w:rPr>
          <w:rFonts w:ascii="Cambria" w:hAnsi="Cambria" w:cs="Times New Roman"/>
          <w:b/>
          <w:noProof/>
          <w:sz w:val="20"/>
          <w:szCs w:val="20"/>
        </w:rPr>
        <w:t xml:space="preserve">Burimi: </w:t>
      </w:r>
      <w:r w:rsidRPr="004C25B9">
        <w:rPr>
          <w:rFonts w:ascii="Cambria" w:hAnsi="Cambria" w:cs="Times New Roman"/>
          <w:i/>
          <w:noProof/>
          <w:sz w:val="20"/>
          <w:szCs w:val="20"/>
        </w:rPr>
        <w:t>Ministria e Financave dhe Ekonomisë (202</w:t>
      </w:r>
      <w:r w:rsidR="004948A9">
        <w:rPr>
          <w:rFonts w:ascii="Cambria" w:hAnsi="Cambria" w:cs="Times New Roman"/>
          <w:i/>
          <w:noProof/>
          <w:sz w:val="20"/>
          <w:szCs w:val="20"/>
        </w:rPr>
        <w:t>2</w:t>
      </w:r>
      <w:r w:rsidRPr="004C25B9">
        <w:rPr>
          <w:rFonts w:ascii="Cambria" w:hAnsi="Cambria" w:cs="Times New Roman"/>
          <w:i/>
          <w:noProof/>
          <w:sz w:val="20"/>
          <w:szCs w:val="20"/>
        </w:rPr>
        <w:t>)</w:t>
      </w:r>
    </w:p>
    <w:p w:rsidR="009D7D0F" w:rsidRPr="005F3A4A" w:rsidRDefault="009D7D0F" w:rsidP="00FF0FFD">
      <w:pPr>
        <w:spacing w:after="0" w:line="240" w:lineRule="auto"/>
        <w:ind w:right="-188"/>
        <w:rPr>
          <w:noProof/>
          <w:sz w:val="20"/>
        </w:rPr>
      </w:pPr>
    </w:p>
    <w:p w:rsidR="00640A13" w:rsidRPr="005F3A4A" w:rsidRDefault="00640A13" w:rsidP="00BC5BC9">
      <w:pPr>
        <w:shd w:val="clear" w:color="auto" w:fill="FFFFFF" w:themeFill="background1"/>
        <w:spacing w:after="0" w:line="276" w:lineRule="auto"/>
        <w:ind w:right="-46"/>
        <w:jc w:val="both"/>
        <w:rPr>
          <w:rFonts w:ascii="Times New Roman" w:hAnsi="Times New Roman" w:cs="Times New Roman"/>
          <w:noProof/>
          <w:sz w:val="24"/>
          <w:szCs w:val="24"/>
        </w:rPr>
      </w:pPr>
      <w:r w:rsidRPr="005F3A4A">
        <w:rPr>
          <w:rFonts w:ascii="Times New Roman" w:hAnsi="Times New Roman" w:cs="Times New Roman"/>
          <w:noProof/>
          <w:sz w:val="24"/>
          <w:szCs w:val="24"/>
        </w:rPr>
        <w:t xml:space="preserve">Përbërja e borxhit shtetëror sipas valutave në fund </w:t>
      </w:r>
      <w:r w:rsidR="0012383A" w:rsidRPr="005F3A4A">
        <w:rPr>
          <w:rFonts w:ascii="Times New Roman" w:hAnsi="Times New Roman" w:cs="Times New Roman"/>
          <w:noProof/>
          <w:sz w:val="24"/>
          <w:szCs w:val="24"/>
        </w:rPr>
        <w:t>t</w:t>
      </w:r>
      <w:r w:rsidR="00733141" w:rsidRPr="005F3A4A">
        <w:rPr>
          <w:rFonts w:ascii="Times New Roman" w:hAnsi="Times New Roman" w:cs="Times New Roman"/>
          <w:noProof/>
          <w:sz w:val="24"/>
          <w:szCs w:val="24"/>
        </w:rPr>
        <w:t>ë</w:t>
      </w:r>
      <w:r w:rsidR="0012383A" w:rsidRPr="005F3A4A">
        <w:rPr>
          <w:rFonts w:ascii="Times New Roman" w:hAnsi="Times New Roman" w:cs="Times New Roman"/>
          <w:noProof/>
          <w:sz w:val="24"/>
          <w:szCs w:val="24"/>
        </w:rPr>
        <w:t xml:space="preserve"> </w:t>
      </w:r>
      <w:r w:rsidR="00242FA7">
        <w:rPr>
          <w:rFonts w:ascii="Times New Roman" w:hAnsi="Times New Roman" w:cs="Times New Roman"/>
          <w:noProof/>
          <w:sz w:val="24"/>
          <w:szCs w:val="24"/>
        </w:rPr>
        <w:t>vitit</w:t>
      </w:r>
      <w:r w:rsidR="0012383A" w:rsidRPr="005F3A4A">
        <w:rPr>
          <w:rFonts w:ascii="Times New Roman" w:hAnsi="Times New Roman" w:cs="Times New Roman"/>
          <w:noProof/>
          <w:sz w:val="24"/>
          <w:szCs w:val="24"/>
        </w:rPr>
        <w:t xml:space="preserve"> 202</w:t>
      </w:r>
      <w:r w:rsidR="002D7750" w:rsidRPr="005F3A4A">
        <w:rPr>
          <w:rFonts w:ascii="Times New Roman" w:hAnsi="Times New Roman" w:cs="Times New Roman"/>
          <w:noProof/>
          <w:sz w:val="24"/>
          <w:szCs w:val="24"/>
        </w:rPr>
        <w:t>1</w:t>
      </w:r>
      <w:r w:rsidRPr="005F3A4A">
        <w:rPr>
          <w:rFonts w:ascii="Times New Roman" w:hAnsi="Times New Roman" w:cs="Times New Roman"/>
          <w:noProof/>
          <w:sz w:val="24"/>
          <w:szCs w:val="24"/>
        </w:rPr>
        <w:t xml:space="preserve"> paraqitet pothuajse e njëjtë me atë të </w:t>
      </w:r>
      <w:r w:rsidR="000E720A" w:rsidRPr="005F3A4A">
        <w:rPr>
          <w:rFonts w:ascii="Times New Roman" w:hAnsi="Times New Roman" w:cs="Times New Roman"/>
          <w:noProof/>
          <w:sz w:val="24"/>
          <w:szCs w:val="24"/>
        </w:rPr>
        <w:t xml:space="preserve">fundit të </w:t>
      </w:r>
      <w:r w:rsidRPr="005F3A4A">
        <w:rPr>
          <w:rFonts w:ascii="Times New Roman" w:hAnsi="Times New Roman" w:cs="Times New Roman"/>
          <w:noProof/>
          <w:sz w:val="24"/>
          <w:szCs w:val="24"/>
        </w:rPr>
        <w:t>vitit të kaluar</w:t>
      </w:r>
      <w:r w:rsidR="000E720A" w:rsidRPr="005F3A4A">
        <w:rPr>
          <w:rFonts w:ascii="Times New Roman" w:hAnsi="Times New Roman" w:cs="Times New Roman"/>
          <w:noProof/>
          <w:sz w:val="24"/>
          <w:szCs w:val="24"/>
        </w:rPr>
        <w:t>.</w:t>
      </w:r>
      <w:r w:rsidR="0012383A" w:rsidRPr="005F3A4A">
        <w:rPr>
          <w:rFonts w:ascii="Times New Roman" w:hAnsi="Times New Roman" w:cs="Times New Roman"/>
          <w:noProof/>
          <w:sz w:val="24"/>
          <w:szCs w:val="24"/>
        </w:rPr>
        <w:t xml:space="preserve"> </w:t>
      </w:r>
      <w:r w:rsidRPr="005F3A4A">
        <w:rPr>
          <w:rFonts w:ascii="Times New Roman" w:hAnsi="Times New Roman" w:cs="Times New Roman"/>
          <w:noProof/>
          <w:sz w:val="24"/>
          <w:szCs w:val="24"/>
        </w:rPr>
        <w:t xml:space="preserve">Pjesën më të madhe të portofolit të borxhit shtetëror e </w:t>
      </w:r>
      <w:r w:rsidR="0012383A" w:rsidRPr="005F3A4A">
        <w:rPr>
          <w:rFonts w:ascii="Times New Roman" w:hAnsi="Times New Roman" w:cs="Times New Roman"/>
          <w:noProof/>
          <w:sz w:val="24"/>
          <w:szCs w:val="24"/>
        </w:rPr>
        <w:t xml:space="preserve">zë valuta vendase me </w:t>
      </w:r>
      <w:r w:rsidR="005F3A4A" w:rsidRPr="005F3A4A">
        <w:rPr>
          <w:rFonts w:ascii="Times New Roman" w:hAnsi="Times New Roman" w:cs="Times New Roman"/>
          <w:noProof/>
          <w:sz w:val="24"/>
          <w:szCs w:val="24"/>
        </w:rPr>
        <w:t>5</w:t>
      </w:r>
      <w:r w:rsidR="00242FA7">
        <w:rPr>
          <w:rFonts w:ascii="Times New Roman" w:hAnsi="Times New Roman" w:cs="Times New Roman"/>
          <w:noProof/>
          <w:sz w:val="24"/>
          <w:szCs w:val="24"/>
        </w:rPr>
        <w:t>0.2</w:t>
      </w:r>
      <w:r w:rsidRPr="005F3A4A">
        <w:rPr>
          <w:rFonts w:ascii="Times New Roman" w:hAnsi="Times New Roman" w:cs="Times New Roman"/>
          <w:noProof/>
          <w:sz w:val="24"/>
          <w:szCs w:val="24"/>
        </w:rPr>
        <w:t>% të total</w:t>
      </w:r>
      <w:r w:rsidR="0012383A" w:rsidRPr="005F3A4A">
        <w:rPr>
          <w:rFonts w:ascii="Times New Roman" w:hAnsi="Times New Roman" w:cs="Times New Roman"/>
          <w:noProof/>
          <w:sz w:val="24"/>
          <w:szCs w:val="24"/>
        </w:rPr>
        <w:t xml:space="preserve">it, ndjekur nga valuta EUR me </w:t>
      </w:r>
      <w:r w:rsidR="005F3A4A" w:rsidRPr="005F3A4A">
        <w:rPr>
          <w:rFonts w:ascii="Times New Roman" w:hAnsi="Times New Roman" w:cs="Times New Roman"/>
          <w:noProof/>
          <w:sz w:val="24"/>
          <w:szCs w:val="24"/>
        </w:rPr>
        <w:t>3</w:t>
      </w:r>
      <w:r w:rsidR="00242FA7">
        <w:rPr>
          <w:rFonts w:ascii="Times New Roman" w:hAnsi="Times New Roman" w:cs="Times New Roman"/>
          <w:noProof/>
          <w:sz w:val="24"/>
          <w:szCs w:val="24"/>
        </w:rPr>
        <w:t>7.0</w:t>
      </w:r>
      <w:r w:rsidR="0012383A" w:rsidRPr="005F3A4A">
        <w:rPr>
          <w:rFonts w:ascii="Times New Roman" w:hAnsi="Times New Roman" w:cs="Times New Roman"/>
          <w:noProof/>
          <w:sz w:val="24"/>
          <w:szCs w:val="24"/>
        </w:rPr>
        <w:t xml:space="preserve">% dhe USD me </w:t>
      </w:r>
      <w:r w:rsidR="00242FA7">
        <w:rPr>
          <w:rFonts w:ascii="Times New Roman" w:hAnsi="Times New Roman" w:cs="Times New Roman"/>
          <w:noProof/>
          <w:sz w:val="24"/>
          <w:szCs w:val="24"/>
        </w:rPr>
        <w:t>8.7</w:t>
      </w:r>
      <w:r w:rsidRPr="005F3A4A">
        <w:rPr>
          <w:rFonts w:ascii="Times New Roman" w:hAnsi="Times New Roman" w:cs="Times New Roman"/>
          <w:noProof/>
          <w:sz w:val="24"/>
          <w:szCs w:val="24"/>
        </w:rPr>
        <w:t xml:space="preserve">%. </w:t>
      </w:r>
    </w:p>
    <w:p w:rsidR="00242FA7" w:rsidRPr="005F3A4A" w:rsidRDefault="00640A13" w:rsidP="00BC5BC9">
      <w:pPr>
        <w:shd w:val="clear" w:color="auto" w:fill="FFFFFF" w:themeFill="background1"/>
        <w:spacing w:after="0" w:line="276" w:lineRule="auto"/>
        <w:ind w:right="-46"/>
        <w:jc w:val="both"/>
        <w:rPr>
          <w:rFonts w:ascii="Times New Roman" w:hAnsi="Times New Roman" w:cs="Times New Roman"/>
          <w:noProof/>
          <w:sz w:val="24"/>
          <w:szCs w:val="24"/>
        </w:rPr>
      </w:pPr>
      <w:r w:rsidRPr="005F3A4A">
        <w:rPr>
          <w:rFonts w:ascii="Times New Roman" w:hAnsi="Times New Roman" w:cs="Times New Roman"/>
          <w:noProof/>
          <w:sz w:val="24"/>
          <w:szCs w:val="24"/>
        </w:rPr>
        <w:t xml:space="preserve">Portofoli i borxhit të brendshëm </w:t>
      </w:r>
      <w:r w:rsidR="000E720A" w:rsidRPr="005F3A4A">
        <w:rPr>
          <w:rFonts w:ascii="Times New Roman" w:hAnsi="Times New Roman" w:cs="Times New Roman"/>
          <w:noProof/>
          <w:sz w:val="24"/>
          <w:szCs w:val="24"/>
        </w:rPr>
        <w:t>përbëhet kryesish</w:t>
      </w:r>
      <w:r w:rsidRPr="005F3A4A">
        <w:rPr>
          <w:rFonts w:ascii="Times New Roman" w:hAnsi="Times New Roman" w:cs="Times New Roman"/>
          <w:noProof/>
          <w:sz w:val="24"/>
          <w:szCs w:val="24"/>
        </w:rPr>
        <w:t xml:space="preserve">t nga valuta vendase, </w:t>
      </w:r>
      <w:r w:rsidR="000E720A" w:rsidRPr="005F3A4A">
        <w:rPr>
          <w:rFonts w:ascii="Times New Roman" w:hAnsi="Times New Roman" w:cs="Times New Roman"/>
          <w:noProof/>
          <w:sz w:val="24"/>
          <w:szCs w:val="24"/>
        </w:rPr>
        <w:t>dhe vetëm 1.</w:t>
      </w:r>
      <w:r w:rsidR="0097136D" w:rsidRPr="005F3A4A">
        <w:rPr>
          <w:rFonts w:ascii="Times New Roman" w:hAnsi="Times New Roman" w:cs="Times New Roman"/>
          <w:noProof/>
          <w:sz w:val="24"/>
          <w:szCs w:val="24"/>
        </w:rPr>
        <w:t>8</w:t>
      </w:r>
      <w:r w:rsidR="000E720A" w:rsidRPr="005F3A4A">
        <w:rPr>
          <w:rFonts w:ascii="Times New Roman" w:hAnsi="Times New Roman" w:cs="Times New Roman"/>
          <w:noProof/>
          <w:sz w:val="24"/>
          <w:szCs w:val="24"/>
        </w:rPr>
        <w:t>% është në monedhën EUR</w:t>
      </w:r>
      <w:r w:rsidR="00CA2983" w:rsidRPr="005F3A4A">
        <w:rPr>
          <w:rFonts w:ascii="Times New Roman" w:hAnsi="Times New Roman" w:cs="Times New Roman"/>
          <w:noProof/>
          <w:sz w:val="24"/>
          <w:szCs w:val="24"/>
        </w:rPr>
        <w:t>.</w:t>
      </w:r>
      <w:r w:rsidRPr="005F3A4A">
        <w:rPr>
          <w:rFonts w:ascii="Times New Roman" w:hAnsi="Times New Roman" w:cs="Times New Roman"/>
          <w:noProof/>
          <w:sz w:val="24"/>
          <w:szCs w:val="24"/>
        </w:rPr>
        <w:t xml:space="preserve"> Ndërkohë, portofoli i </w:t>
      </w:r>
      <w:r w:rsidR="00265124" w:rsidRPr="005F3A4A">
        <w:rPr>
          <w:rFonts w:ascii="Times New Roman" w:hAnsi="Times New Roman" w:cs="Times New Roman"/>
          <w:noProof/>
          <w:sz w:val="24"/>
          <w:szCs w:val="24"/>
        </w:rPr>
        <w:t>borxhit të jashtëm kompozohet t</w:t>
      </w:r>
      <w:r w:rsidR="0097136D" w:rsidRPr="005F3A4A">
        <w:rPr>
          <w:rFonts w:ascii="Times New Roman" w:hAnsi="Times New Roman" w:cs="Times New Roman"/>
          <w:noProof/>
          <w:sz w:val="24"/>
          <w:szCs w:val="24"/>
        </w:rPr>
        <w:t>ë</w:t>
      </w:r>
      <w:r w:rsidRPr="005F3A4A">
        <w:rPr>
          <w:rFonts w:ascii="Times New Roman" w:hAnsi="Times New Roman" w:cs="Times New Roman"/>
          <w:noProof/>
          <w:sz w:val="24"/>
          <w:szCs w:val="24"/>
        </w:rPr>
        <w:t>rësisht nga valuta</w:t>
      </w:r>
      <w:r w:rsidR="005E7EA0" w:rsidRPr="005F3A4A">
        <w:rPr>
          <w:rFonts w:ascii="Times New Roman" w:hAnsi="Times New Roman" w:cs="Times New Roman"/>
          <w:noProof/>
          <w:sz w:val="24"/>
          <w:szCs w:val="24"/>
        </w:rPr>
        <w:t xml:space="preserve"> të huaja, ku mbizotëron me </w:t>
      </w:r>
      <w:r w:rsidR="00242FA7">
        <w:rPr>
          <w:rFonts w:ascii="Times New Roman" w:hAnsi="Times New Roman" w:cs="Times New Roman"/>
          <w:noProof/>
          <w:sz w:val="24"/>
          <w:szCs w:val="24"/>
        </w:rPr>
        <w:t>73.9</w:t>
      </w:r>
      <w:r w:rsidRPr="005F3A4A">
        <w:rPr>
          <w:rFonts w:ascii="Times New Roman" w:hAnsi="Times New Roman" w:cs="Times New Roman"/>
          <w:noProof/>
          <w:sz w:val="24"/>
          <w:szCs w:val="24"/>
        </w:rPr>
        <w:t>% valut</w:t>
      </w:r>
      <w:r w:rsidR="005E7EA0" w:rsidRPr="005F3A4A">
        <w:rPr>
          <w:rFonts w:ascii="Times New Roman" w:hAnsi="Times New Roman" w:cs="Times New Roman"/>
          <w:noProof/>
          <w:sz w:val="24"/>
          <w:szCs w:val="24"/>
        </w:rPr>
        <w:t xml:space="preserve">a EUR, e ndjekur nga USD me </w:t>
      </w:r>
      <w:r w:rsidR="00242FA7">
        <w:rPr>
          <w:rFonts w:ascii="Times New Roman" w:hAnsi="Times New Roman" w:cs="Times New Roman"/>
          <w:noProof/>
          <w:sz w:val="24"/>
          <w:szCs w:val="24"/>
        </w:rPr>
        <w:t>17.9</w:t>
      </w:r>
      <w:r w:rsidRPr="005F3A4A">
        <w:rPr>
          <w:rFonts w:ascii="Times New Roman" w:hAnsi="Times New Roman" w:cs="Times New Roman"/>
          <w:noProof/>
          <w:sz w:val="24"/>
          <w:szCs w:val="24"/>
        </w:rPr>
        <w:t xml:space="preserve">%. </w:t>
      </w:r>
      <w:r w:rsidR="00242FA7">
        <w:rPr>
          <w:rFonts w:ascii="Times New Roman" w:hAnsi="Times New Roman" w:cs="Times New Roman"/>
          <w:noProof/>
          <w:sz w:val="24"/>
          <w:szCs w:val="24"/>
        </w:rPr>
        <w:t>Gjta</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 xml:space="preserve"> vitit 2021, vihet re nj</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 xml:space="preserve"> rritje e pesh</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s s</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 xml:space="preserve"> monedh</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s Euro n</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 xml:space="preserve"> portofol, si rezultat i emetimit t</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 xml:space="preserve"> Eurobondit n</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 xml:space="preserve"> monedh</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n Euro, dhe disbursimit t</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 xml:space="preserve"> disa mb</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shtetjeve buxhetore ne monedh</w:t>
      </w:r>
      <w:r w:rsidR="00FD335A">
        <w:rPr>
          <w:rFonts w:ascii="Times New Roman" w:hAnsi="Times New Roman" w:cs="Times New Roman"/>
          <w:noProof/>
          <w:sz w:val="24"/>
          <w:szCs w:val="24"/>
        </w:rPr>
        <w:t>ë</w:t>
      </w:r>
      <w:r w:rsidR="00242FA7">
        <w:rPr>
          <w:rFonts w:ascii="Times New Roman" w:hAnsi="Times New Roman" w:cs="Times New Roman"/>
          <w:noProof/>
          <w:sz w:val="24"/>
          <w:szCs w:val="24"/>
        </w:rPr>
        <w:t xml:space="preserve">n Euro. </w:t>
      </w:r>
      <w:r w:rsidR="00937AD8">
        <w:rPr>
          <w:rFonts w:ascii="Times New Roman" w:hAnsi="Times New Roman" w:cs="Times New Roman"/>
          <w:noProof/>
          <w:sz w:val="24"/>
          <w:szCs w:val="24"/>
        </w:rPr>
        <w:t>P</w:t>
      </w:r>
      <w:r w:rsidR="00FD335A">
        <w:rPr>
          <w:rFonts w:ascii="Times New Roman" w:hAnsi="Times New Roman" w:cs="Times New Roman"/>
          <w:noProof/>
          <w:sz w:val="24"/>
          <w:szCs w:val="24"/>
        </w:rPr>
        <w:t>ë</w:t>
      </w:r>
      <w:r w:rsidR="00937AD8">
        <w:rPr>
          <w:rFonts w:ascii="Times New Roman" w:hAnsi="Times New Roman" w:cs="Times New Roman"/>
          <w:noProof/>
          <w:sz w:val="24"/>
          <w:szCs w:val="24"/>
        </w:rPr>
        <w:t>rq</w:t>
      </w:r>
      <w:r w:rsidR="00FD335A">
        <w:rPr>
          <w:rFonts w:ascii="Times New Roman" w:hAnsi="Times New Roman" w:cs="Times New Roman"/>
          <w:noProof/>
          <w:sz w:val="24"/>
          <w:szCs w:val="24"/>
        </w:rPr>
        <w:t>ë</w:t>
      </w:r>
      <w:r w:rsidR="00937AD8">
        <w:rPr>
          <w:rFonts w:ascii="Times New Roman" w:hAnsi="Times New Roman" w:cs="Times New Roman"/>
          <w:noProof/>
          <w:sz w:val="24"/>
          <w:szCs w:val="24"/>
        </w:rPr>
        <w:t>ndrimi i portofolit kryesisht n</w:t>
      </w:r>
      <w:r w:rsidR="00FD335A">
        <w:rPr>
          <w:rFonts w:ascii="Times New Roman" w:hAnsi="Times New Roman" w:cs="Times New Roman"/>
          <w:noProof/>
          <w:sz w:val="24"/>
          <w:szCs w:val="24"/>
        </w:rPr>
        <w:t>ë</w:t>
      </w:r>
      <w:r w:rsidR="00937AD8">
        <w:rPr>
          <w:rFonts w:ascii="Times New Roman" w:hAnsi="Times New Roman" w:cs="Times New Roman"/>
          <w:noProof/>
          <w:sz w:val="24"/>
          <w:szCs w:val="24"/>
        </w:rPr>
        <w:t xml:space="preserve"> monedh</w:t>
      </w:r>
      <w:r w:rsidR="00FD335A">
        <w:rPr>
          <w:rFonts w:ascii="Times New Roman" w:hAnsi="Times New Roman" w:cs="Times New Roman"/>
          <w:noProof/>
          <w:sz w:val="24"/>
          <w:szCs w:val="24"/>
        </w:rPr>
        <w:t>ë</w:t>
      </w:r>
      <w:r w:rsidR="00937AD8">
        <w:rPr>
          <w:rFonts w:ascii="Times New Roman" w:hAnsi="Times New Roman" w:cs="Times New Roman"/>
          <w:noProof/>
          <w:sz w:val="24"/>
          <w:szCs w:val="24"/>
        </w:rPr>
        <w:t xml:space="preserve">n Euro, </w:t>
      </w:r>
      <w:r w:rsidR="00FD335A">
        <w:rPr>
          <w:rFonts w:ascii="Times New Roman" w:hAnsi="Times New Roman" w:cs="Times New Roman"/>
          <w:noProof/>
          <w:sz w:val="24"/>
          <w:szCs w:val="24"/>
        </w:rPr>
        <w:t>ë</w:t>
      </w:r>
      <w:r w:rsidR="00937AD8">
        <w:rPr>
          <w:rFonts w:ascii="Times New Roman" w:hAnsi="Times New Roman" w:cs="Times New Roman"/>
          <w:noProof/>
          <w:sz w:val="24"/>
          <w:szCs w:val="24"/>
        </w:rPr>
        <w:t>sht</w:t>
      </w:r>
      <w:r w:rsidR="00FD335A">
        <w:rPr>
          <w:rFonts w:ascii="Times New Roman" w:hAnsi="Times New Roman" w:cs="Times New Roman"/>
          <w:noProof/>
          <w:sz w:val="24"/>
          <w:szCs w:val="24"/>
        </w:rPr>
        <w:t>ë</w:t>
      </w:r>
      <w:r w:rsidR="00937AD8">
        <w:rPr>
          <w:rFonts w:ascii="Times New Roman" w:hAnsi="Times New Roman" w:cs="Times New Roman"/>
          <w:noProof/>
          <w:sz w:val="24"/>
          <w:szCs w:val="24"/>
        </w:rPr>
        <w:t xml:space="preserve"> n</w:t>
      </w:r>
      <w:r w:rsidR="00FD335A">
        <w:rPr>
          <w:rFonts w:ascii="Times New Roman" w:hAnsi="Times New Roman" w:cs="Times New Roman"/>
          <w:noProof/>
          <w:sz w:val="24"/>
          <w:szCs w:val="24"/>
        </w:rPr>
        <w:t>ë</w:t>
      </w:r>
      <w:r w:rsidR="00937AD8">
        <w:rPr>
          <w:rFonts w:ascii="Times New Roman" w:hAnsi="Times New Roman" w:cs="Times New Roman"/>
          <w:noProof/>
          <w:sz w:val="24"/>
          <w:szCs w:val="24"/>
        </w:rPr>
        <w:t xml:space="preserve"> p</w:t>
      </w:r>
      <w:r w:rsidR="00FD335A">
        <w:rPr>
          <w:rFonts w:ascii="Times New Roman" w:hAnsi="Times New Roman" w:cs="Times New Roman"/>
          <w:noProof/>
          <w:sz w:val="24"/>
          <w:szCs w:val="24"/>
        </w:rPr>
        <w:t>ë</w:t>
      </w:r>
      <w:r w:rsidR="00937AD8">
        <w:rPr>
          <w:rFonts w:ascii="Times New Roman" w:hAnsi="Times New Roman" w:cs="Times New Roman"/>
          <w:noProof/>
          <w:sz w:val="24"/>
          <w:szCs w:val="24"/>
        </w:rPr>
        <w:t>rputhje me politikat e vendit p</w:t>
      </w:r>
      <w:r w:rsidR="00FD335A">
        <w:rPr>
          <w:rFonts w:ascii="Times New Roman" w:hAnsi="Times New Roman" w:cs="Times New Roman"/>
          <w:noProof/>
          <w:sz w:val="24"/>
          <w:szCs w:val="24"/>
        </w:rPr>
        <w:t>ë</w:t>
      </w:r>
      <w:r w:rsidR="00937AD8">
        <w:rPr>
          <w:rFonts w:ascii="Times New Roman" w:hAnsi="Times New Roman" w:cs="Times New Roman"/>
          <w:noProof/>
          <w:sz w:val="24"/>
          <w:szCs w:val="24"/>
        </w:rPr>
        <w:t>r integrimin n</w:t>
      </w:r>
      <w:r w:rsidR="00FD335A">
        <w:rPr>
          <w:rFonts w:ascii="Times New Roman" w:hAnsi="Times New Roman" w:cs="Times New Roman"/>
          <w:noProof/>
          <w:sz w:val="24"/>
          <w:szCs w:val="24"/>
        </w:rPr>
        <w:t>ë</w:t>
      </w:r>
      <w:r w:rsidR="00937AD8">
        <w:rPr>
          <w:rFonts w:ascii="Times New Roman" w:hAnsi="Times New Roman" w:cs="Times New Roman"/>
          <w:noProof/>
          <w:sz w:val="24"/>
          <w:szCs w:val="24"/>
        </w:rPr>
        <w:t xml:space="preserve"> Bashkimin Evropian.</w:t>
      </w:r>
    </w:p>
    <w:p w:rsidR="00640A13" w:rsidRPr="005F3A4A" w:rsidRDefault="00640A13" w:rsidP="00B92540">
      <w:pPr>
        <w:spacing w:after="0" w:line="276" w:lineRule="auto"/>
        <w:ind w:right="-188"/>
        <w:jc w:val="both"/>
        <w:rPr>
          <w:rFonts w:ascii="Times New Roman" w:hAnsi="Times New Roman" w:cs="Times New Roman"/>
          <w:b/>
          <w:noProof/>
          <w:sz w:val="16"/>
          <w:szCs w:val="20"/>
        </w:rPr>
      </w:pPr>
    </w:p>
    <w:p w:rsidR="00640A13" w:rsidRDefault="00640A13" w:rsidP="00B92540">
      <w:pPr>
        <w:spacing w:after="0" w:line="276" w:lineRule="auto"/>
        <w:ind w:right="-188"/>
        <w:jc w:val="center"/>
        <w:rPr>
          <w:rFonts w:ascii="Cambria" w:hAnsi="Cambria" w:cs="Times New Roman"/>
          <w:i/>
          <w:noProof/>
          <w:sz w:val="20"/>
          <w:szCs w:val="20"/>
        </w:rPr>
      </w:pPr>
      <w:r w:rsidRPr="005F3A4A">
        <w:rPr>
          <w:rFonts w:ascii="Cambria" w:hAnsi="Cambria" w:cs="Times New Roman"/>
          <w:b/>
          <w:noProof/>
          <w:sz w:val="20"/>
          <w:szCs w:val="20"/>
        </w:rPr>
        <w:t>Paraqitje Grafike 2 (d):</w:t>
      </w:r>
      <w:r w:rsidRPr="005F3A4A">
        <w:rPr>
          <w:rFonts w:ascii="Cambria" w:hAnsi="Cambria" w:cs="Times New Roman"/>
          <w:noProof/>
          <w:sz w:val="20"/>
          <w:szCs w:val="20"/>
        </w:rPr>
        <w:t xml:space="preserve"> </w:t>
      </w:r>
      <w:r w:rsidRPr="005F3A4A">
        <w:rPr>
          <w:rFonts w:ascii="Cambria" w:hAnsi="Cambria" w:cs="Times New Roman"/>
          <w:i/>
          <w:noProof/>
          <w:sz w:val="20"/>
          <w:szCs w:val="20"/>
        </w:rPr>
        <w:t>Kompozimi i borxhit shtetëror sipas valutës (</w:t>
      </w:r>
      <w:r w:rsidR="000303AF">
        <w:rPr>
          <w:rFonts w:ascii="Cambria" w:hAnsi="Cambria" w:cs="Times New Roman"/>
          <w:i/>
          <w:noProof/>
          <w:sz w:val="20"/>
          <w:szCs w:val="20"/>
        </w:rPr>
        <w:t>Dhjetor</w:t>
      </w:r>
      <w:r w:rsidR="0012383A" w:rsidRPr="005F3A4A">
        <w:rPr>
          <w:rFonts w:ascii="Cambria" w:hAnsi="Cambria" w:cs="Times New Roman"/>
          <w:i/>
          <w:noProof/>
          <w:sz w:val="20"/>
          <w:szCs w:val="20"/>
        </w:rPr>
        <w:t xml:space="preserve"> 202</w:t>
      </w:r>
      <w:r w:rsidR="00AA57AC" w:rsidRPr="005F3A4A">
        <w:rPr>
          <w:rFonts w:ascii="Cambria" w:hAnsi="Cambria" w:cs="Times New Roman"/>
          <w:i/>
          <w:noProof/>
          <w:sz w:val="20"/>
          <w:szCs w:val="20"/>
        </w:rPr>
        <w:t>1</w:t>
      </w:r>
      <w:r w:rsidRPr="005F3A4A">
        <w:rPr>
          <w:rFonts w:ascii="Cambria" w:hAnsi="Cambria" w:cs="Times New Roman"/>
          <w:i/>
          <w:noProof/>
          <w:sz w:val="20"/>
          <w:szCs w:val="20"/>
        </w:rPr>
        <w:t>)</w:t>
      </w:r>
    </w:p>
    <w:p w:rsidR="00F62C0F" w:rsidRDefault="00937AD8" w:rsidP="00B92540">
      <w:pPr>
        <w:spacing w:after="0" w:line="276" w:lineRule="auto"/>
        <w:ind w:right="-188"/>
        <w:jc w:val="center"/>
        <w:rPr>
          <w:rFonts w:ascii="Cambria" w:hAnsi="Cambria" w:cs="Times New Roman"/>
          <w:i/>
          <w:noProof/>
          <w:sz w:val="20"/>
          <w:szCs w:val="20"/>
        </w:rPr>
      </w:pPr>
      <w:r w:rsidRPr="00FB2E3B">
        <w:rPr>
          <w:rFonts w:ascii="Cambria" w:hAnsi="Cambria" w:cs="Times New Roman"/>
          <w:i/>
          <w:noProof/>
          <w:sz w:val="20"/>
          <w:szCs w:val="20"/>
          <w:lang w:val="en-US"/>
        </w:rPr>
        <mc:AlternateContent>
          <mc:Choice Requires="wps">
            <w:drawing>
              <wp:anchor distT="0" distB="0" distL="114300" distR="114300" simplePos="0" relativeHeight="251897856" behindDoc="0" locked="0" layoutInCell="1" allowOverlap="1" wp14:anchorId="087E2EE3" wp14:editId="6BD978F4">
                <wp:simplePos x="0" y="0"/>
                <wp:positionH relativeFrom="column">
                  <wp:posOffset>36576</wp:posOffset>
                </wp:positionH>
                <wp:positionV relativeFrom="paragraph">
                  <wp:posOffset>24181</wp:posOffset>
                </wp:positionV>
                <wp:extent cx="5771109" cy="2787091"/>
                <wp:effectExtent l="0" t="0" r="20320" b="13335"/>
                <wp:wrapNone/>
                <wp:docPr id="23" name="Rectangle 23"/>
                <wp:cNvGraphicFramePr/>
                <a:graphic xmlns:a="http://schemas.openxmlformats.org/drawingml/2006/main">
                  <a:graphicData uri="http://schemas.microsoft.com/office/word/2010/wordprocessingShape">
                    <wps:wsp>
                      <wps:cNvSpPr/>
                      <wps:spPr>
                        <a:xfrm>
                          <a:off x="0" y="0"/>
                          <a:ext cx="5771109" cy="2787091"/>
                        </a:xfrm>
                        <a:prstGeom prst="rect">
                          <a:avLst/>
                        </a:prstGeom>
                        <a:noFill/>
                        <a:ln w="6350">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07B75" id="Rectangle 23" o:spid="_x0000_s1026" style="position:absolute;margin-left:2.9pt;margin-top:1.9pt;width:454.4pt;height:219.4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" filled="f" strokecolor="#bfbfbf [2412]" strokeweight=".5pt"/>
            </w:pict>
          </mc:Fallback>
        </mc:AlternateContent>
      </w:r>
    </w:p>
    <w:p w:rsidR="00F62C0F" w:rsidRPr="005F3A4A" w:rsidRDefault="00937AD8" w:rsidP="00B92540">
      <w:pPr>
        <w:spacing w:after="0" w:line="276" w:lineRule="auto"/>
        <w:ind w:right="-188"/>
        <w:jc w:val="center"/>
        <w:rPr>
          <w:rFonts w:ascii="Cambria" w:hAnsi="Cambria" w:cs="Times New Roman"/>
          <w:noProof/>
          <w:sz w:val="20"/>
          <w:szCs w:val="20"/>
        </w:rPr>
      </w:pPr>
      <w:r>
        <w:rPr>
          <w:noProof/>
          <w:lang w:val="en-US"/>
        </w:rPr>
        <w:drawing>
          <wp:anchor distT="0" distB="0" distL="114300" distR="114300" simplePos="0" relativeHeight="251887616" behindDoc="0" locked="0" layoutInCell="1" allowOverlap="1" wp14:anchorId="11021537" wp14:editId="17F49A1A">
            <wp:simplePos x="0" y="0"/>
            <wp:positionH relativeFrom="margin">
              <wp:posOffset>101727</wp:posOffset>
            </wp:positionH>
            <wp:positionV relativeFrom="paragraph">
              <wp:posOffset>86487</wp:posOffset>
            </wp:positionV>
            <wp:extent cx="2618740" cy="2187245"/>
            <wp:effectExtent l="0" t="0" r="0" b="0"/>
            <wp:wrapNone/>
            <wp:docPr id="43" name="Chart 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Pr="005F3A4A">
        <w:rPr>
          <w:rFonts w:ascii="Calibri" w:eastAsia="Times New Roman" w:hAnsi="Calibri" w:cs="Times New Roman"/>
          <w:noProof/>
          <w:color w:val="000000"/>
          <w:highlight w:val="yellow"/>
          <w:lang w:val="en-US"/>
        </w:rPr>
        <w:drawing>
          <wp:anchor distT="0" distB="0" distL="114300" distR="114300" simplePos="0" relativeHeight="251883520" behindDoc="1" locked="0" layoutInCell="1" allowOverlap="1" wp14:anchorId="1DC896FD" wp14:editId="33551C96">
            <wp:simplePos x="0" y="0"/>
            <wp:positionH relativeFrom="margin">
              <wp:posOffset>4103370</wp:posOffset>
            </wp:positionH>
            <wp:positionV relativeFrom="paragraph">
              <wp:posOffset>108585</wp:posOffset>
            </wp:positionV>
            <wp:extent cx="1463040" cy="1104265"/>
            <wp:effectExtent l="0" t="0" r="0" b="635"/>
            <wp:wrapTight wrapText="bothSides">
              <wp:wrapPolygon edited="0">
                <wp:start x="3094" y="373"/>
                <wp:lineTo x="3094" y="1863"/>
                <wp:lineTo x="4219" y="7080"/>
                <wp:lineTo x="3094" y="12297"/>
                <wp:lineTo x="3094" y="13787"/>
                <wp:lineTo x="4500" y="19004"/>
                <wp:lineTo x="6469" y="21240"/>
                <wp:lineTo x="14344" y="21240"/>
                <wp:lineTo x="16313" y="19004"/>
                <wp:lineTo x="18000" y="13042"/>
                <wp:lineTo x="16875" y="8943"/>
                <wp:lineTo x="16313" y="1491"/>
                <wp:lineTo x="15188" y="373"/>
                <wp:lineTo x="3094" y="373"/>
              </wp:wrapPolygon>
            </wp:wrapTight>
            <wp:docPr id="3" name="Chart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FA1B06" w:rsidRPr="00EE7E9F">
        <w:rPr>
          <w:noProof/>
          <w:highlight w:val="yellow"/>
          <w:lang w:val="en-US"/>
        </w:rPr>
        <w:drawing>
          <wp:anchor distT="0" distB="0" distL="114300" distR="114300" simplePos="0" relativeHeight="251876352" behindDoc="1" locked="0" layoutInCell="1" allowOverlap="1" wp14:anchorId="63367491" wp14:editId="3B22C2DB">
            <wp:simplePos x="0" y="0"/>
            <wp:positionH relativeFrom="column">
              <wp:posOffset>3949700</wp:posOffset>
            </wp:positionH>
            <wp:positionV relativeFrom="paragraph">
              <wp:posOffset>108585</wp:posOffset>
            </wp:positionV>
            <wp:extent cx="2164715" cy="1097280"/>
            <wp:effectExtent l="0" t="0" r="0" b="0"/>
            <wp:wrapTight wrapText="bothSides">
              <wp:wrapPolygon edited="0">
                <wp:start x="0" y="0"/>
                <wp:lineTo x="0" y="21600"/>
                <wp:lineTo x="21600" y="21600"/>
                <wp:lineTo x="21600" y="0"/>
              </wp:wrapPolygon>
            </wp:wrapTight>
            <wp:docPr id="29" name="Chart 2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rsidR="00640A13" w:rsidRPr="00EE7E9F" w:rsidRDefault="00386E72" w:rsidP="008C0C2D">
      <w:pPr>
        <w:spacing w:after="0" w:line="276" w:lineRule="auto"/>
        <w:ind w:right="-188"/>
        <w:rPr>
          <w:rFonts w:ascii="Times New Roman" w:hAnsi="Times New Roman" w:cs="Times New Roman"/>
          <w:noProof/>
          <w:sz w:val="24"/>
          <w:szCs w:val="24"/>
          <w:highlight w:val="yellow"/>
        </w:rPr>
      </w:pPr>
      <w:r w:rsidRPr="009D0ABE">
        <w:rPr>
          <w:rFonts w:ascii="Cambria" w:hAnsi="Cambria" w:cs="Times New Roman"/>
          <w:b/>
          <w:noProof/>
          <w:sz w:val="20"/>
          <w:szCs w:val="20"/>
          <w:lang w:val="en-US"/>
        </w:rPr>
        <w:drawing>
          <wp:anchor distT="0" distB="0" distL="114300" distR="114300" simplePos="0" relativeHeight="251882496" behindDoc="1" locked="0" layoutInCell="1" allowOverlap="1" wp14:anchorId="3F9A1FC7" wp14:editId="16C1F56E">
            <wp:simplePos x="0" y="0"/>
            <wp:positionH relativeFrom="margin">
              <wp:align>left</wp:align>
            </wp:positionH>
            <wp:positionV relativeFrom="paragraph">
              <wp:posOffset>29820</wp:posOffset>
            </wp:positionV>
            <wp:extent cx="2369185" cy="2332990"/>
            <wp:effectExtent l="0" t="0" r="0" b="0"/>
            <wp:wrapTight wrapText="bothSides">
              <wp:wrapPolygon edited="0">
                <wp:start x="0" y="0"/>
                <wp:lineTo x="0" y="21600"/>
                <wp:lineTo x="21600" y="21600"/>
                <wp:lineTo x="21600" y="0"/>
              </wp:wrapPolygon>
            </wp:wrapTight>
            <wp:docPr id="2" name="Chart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2D7750" w:rsidRPr="00EE7E9F">
        <w:rPr>
          <w:noProof/>
          <w:highlight w:val="yellow"/>
          <w:lang w:val="en-US"/>
        </w:rPr>
        <w:drawing>
          <wp:anchor distT="0" distB="0" distL="114300" distR="114300" simplePos="0" relativeHeight="251871232" behindDoc="0" locked="0" layoutInCell="1" allowOverlap="1" wp14:anchorId="29F13229" wp14:editId="251E2763">
            <wp:simplePos x="0" y="0"/>
            <wp:positionH relativeFrom="column">
              <wp:posOffset>3876675</wp:posOffset>
            </wp:positionH>
            <wp:positionV relativeFrom="paragraph">
              <wp:posOffset>56515</wp:posOffset>
            </wp:positionV>
            <wp:extent cx="1690370" cy="1095375"/>
            <wp:effectExtent l="0" t="0" r="0" b="0"/>
            <wp:wrapSquare wrapText="bothSides"/>
            <wp:docPr id="30" name="Chart 3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3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rsidR="00640A13" w:rsidRPr="00EE7E9F" w:rsidRDefault="00640A13" w:rsidP="00B92540">
      <w:pPr>
        <w:spacing w:after="0" w:line="276" w:lineRule="auto"/>
        <w:ind w:right="-188"/>
        <w:jc w:val="both"/>
        <w:rPr>
          <w:rFonts w:ascii="Cambria" w:hAnsi="Cambria" w:cs="Times New Roman"/>
          <w:b/>
          <w:noProof/>
          <w:sz w:val="20"/>
          <w:szCs w:val="20"/>
          <w:highlight w:val="yellow"/>
        </w:rPr>
      </w:pPr>
    </w:p>
    <w:p w:rsidR="00640A13" w:rsidRPr="00EE7E9F" w:rsidRDefault="00640A13" w:rsidP="00B92540">
      <w:pPr>
        <w:tabs>
          <w:tab w:val="left" w:pos="914"/>
        </w:tabs>
        <w:spacing w:after="0" w:line="276" w:lineRule="auto"/>
        <w:ind w:right="-188"/>
        <w:jc w:val="both"/>
        <w:rPr>
          <w:rFonts w:ascii="Cambria" w:hAnsi="Cambria" w:cs="Times New Roman"/>
          <w:b/>
          <w:noProof/>
          <w:sz w:val="20"/>
          <w:szCs w:val="20"/>
          <w:highlight w:val="yellow"/>
        </w:rPr>
      </w:pPr>
    </w:p>
    <w:p w:rsidR="00640A13" w:rsidRPr="00EE7E9F" w:rsidRDefault="00640A13" w:rsidP="00B92540">
      <w:pPr>
        <w:tabs>
          <w:tab w:val="left" w:pos="914"/>
        </w:tabs>
        <w:spacing w:after="0" w:line="276" w:lineRule="auto"/>
        <w:ind w:right="-188"/>
        <w:jc w:val="both"/>
        <w:rPr>
          <w:rFonts w:ascii="Cambria" w:hAnsi="Cambria" w:cs="Times New Roman"/>
          <w:b/>
          <w:noProof/>
          <w:sz w:val="20"/>
          <w:szCs w:val="20"/>
          <w:highlight w:val="yellow"/>
        </w:rPr>
      </w:pPr>
    </w:p>
    <w:p w:rsidR="00640A13" w:rsidRPr="00F62C0F" w:rsidRDefault="004948A9" w:rsidP="00F62C0F">
      <w:pPr>
        <w:tabs>
          <w:tab w:val="left" w:pos="914"/>
        </w:tabs>
        <w:spacing w:after="0" w:line="276" w:lineRule="auto"/>
        <w:ind w:right="-188"/>
        <w:jc w:val="both"/>
        <w:rPr>
          <w:rFonts w:ascii="Cambria" w:hAnsi="Cambria" w:cs="Times New Roman"/>
          <w:b/>
          <w:noProof/>
          <w:sz w:val="20"/>
          <w:szCs w:val="20"/>
          <w:highlight w:val="yellow"/>
        </w:rPr>
      </w:pPr>
      <w:r>
        <w:rPr>
          <w:noProof/>
          <w:lang w:val="en-US"/>
        </w:rPr>
        <w:drawing>
          <wp:anchor distT="0" distB="0" distL="114300" distR="114300" simplePos="0" relativeHeight="251891712" behindDoc="0" locked="0" layoutInCell="1" allowOverlap="1" wp14:anchorId="10D9C84D" wp14:editId="0DE5E274">
            <wp:simplePos x="0" y="0"/>
            <wp:positionH relativeFrom="column">
              <wp:posOffset>3911651</wp:posOffset>
            </wp:positionH>
            <wp:positionV relativeFrom="paragraph">
              <wp:posOffset>305257</wp:posOffset>
            </wp:positionV>
            <wp:extent cx="2143125" cy="1227455"/>
            <wp:effectExtent l="0" t="0" r="0" b="0"/>
            <wp:wrapSquare wrapText="bothSides"/>
            <wp:docPr id="63" name="Chart 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937AD8" w:rsidRPr="00EE7E9F">
        <w:rPr>
          <w:rFonts w:ascii="Calibri" w:eastAsia="Times New Roman" w:hAnsi="Calibri" w:cs="Times New Roman"/>
          <w:noProof/>
          <w:color w:val="000000"/>
          <w:highlight w:val="yellow"/>
          <w:lang w:val="en-US"/>
        </w:rPr>
        <mc:AlternateContent>
          <mc:Choice Requires="wps">
            <w:drawing>
              <wp:anchor distT="0" distB="0" distL="114300" distR="114300" simplePos="0" relativeHeight="251889664" behindDoc="0" locked="0" layoutInCell="1" allowOverlap="1" wp14:anchorId="472D439F" wp14:editId="2E880F8B">
                <wp:simplePos x="0" y="0"/>
                <wp:positionH relativeFrom="column">
                  <wp:posOffset>2559837</wp:posOffset>
                </wp:positionH>
                <wp:positionV relativeFrom="paragraph">
                  <wp:posOffset>151460</wp:posOffset>
                </wp:positionV>
                <wp:extent cx="1331366" cy="299847"/>
                <wp:effectExtent l="0" t="57150" r="2540" b="24130"/>
                <wp:wrapNone/>
                <wp:docPr id="44" name="Straight Arrow Connector 44"/>
                <wp:cNvGraphicFramePr/>
                <a:graphic xmlns:a="http://schemas.openxmlformats.org/drawingml/2006/main">
                  <a:graphicData uri="http://schemas.microsoft.com/office/word/2010/wordprocessingShape">
                    <wps:wsp>
                      <wps:cNvCnPr/>
                      <wps:spPr>
                        <a:xfrm flipV="1">
                          <a:off x="0" y="0"/>
                          <a:ext cx="1331366" cy="299847"/>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54C01ADF" id="_x0000_t32" coordsize="21600,21600" o:spt="32" o:oned="t" path="m,l21600,21600e" filled="f">
                <v:path arrowok="t" fillok="f" o:connecttype="none"/>
                <o:lock v:ext="edit" shapetype="t"/>
              </v:shapetype>
              <v:shape id="Straight Arrow Connector 44" o:spid="_x0000_s1026" type="#_x0000_t32" style="position:absolute;margin-left:201.55pt;margin-top:11.95pt;width:104.85pt;height:23.6pt;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" strokecolor="windowText" strokeweight=".5pt">
                <v:stroke endarrow="block" joinstyle="miter"/>
              </v:shape>
            </w:pict>
          </mc:Fallback>
        </mc:AlternateContent>
      </w:r>
      <w:r w:rsidR="00937AD8" w:rsidRPr="00EE7E9F">
        <w:rPr>
          <w:rFonts w:ascii="Calibri" w:eastAsia="Times New Roman" w:hAnsi="Calibri" w:cs="Times New Roman"/>
          <w:noProof/>
          <w:color w:val="000000"/>
          <w:highlight w:val="yellow"/>
          <w:lang w:val="en-US"/>
        </w:rPr>
        <mc:AlternateContent>
          <mc:Choice Requires="wps">
            <w:drawing>
              <wp:anchor distT="0" distB="0" distL="114300" distR="114300" simplePos="0" relativeHeight="251848704" behindDoc="0" locked="0" layoutInCell="1" allowOverlap="1" wp14:anchorId="34C906BD" wp14:editId="1F143FD4">
                <wp:simplePos x="0" y="0"/>
                <wp:positionH relativeFrom="margin">
                  <wp:posOffset>2559812</wp:posOffset>
                </wp:positionH>
                <wp:positionV relativeFrom="paragraph">
                  <wp:posOffset>596976</wp:posOffset>
                </wp:positionV>
                <wp:extent cx="1250899" cy="373075"/>
                <wp:effectExtent l="0" t="0" r="83185" b="65405"/>
                <wp:wrapNone/>
                <wp:docPr id="57" name="Straight Arrow Connector 57"/>
                <wp:cNvGraphicFramePr/>
                <a:graphic xmlns:a="http://schemas.openxmlformats.org/drawingml/2006/main">
                  <a:graphicData uri="http://schemas.microsoft.com/office/word/2010/wordprocessingShape">
                    <wps:wsp>
                      <wps:cNvCnPr/>
                      <wps:spPr>
                        <a:xfrm>
                          <a:off x="0" y="0"/>
                          <a:ext cx="1250899" cy="3730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B2FFE3A" id="Straight Arrow Connector 57" o:spid="_x0000_s1026" type="#_x0000_t32" style="position:absolute;margin-left:201.55pt;margin-top:47pt;width:98.5pt;height:29.4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" strokecolor="windowText" strokeweight=".5pt">
                <v:stroke endarrow="block" joinstyle="miter"/>
                <w10:wrap anchorx="margin"/>
              </v:shape>
            </w:pict>
          </mc:Fallback>
        </mc:AlternateContent>
      </w:r>
      <w:r w:rsidR="00FA1B06">
        <w:rPr>
          <w:noProof/>
          <w:lang w:val="en-US"/>
        </w:rPr>
        <w:drawing>
          <wp:anchor distT="0" distB="0" distL="114300" distR="114300" simplePos="0" relativeHeight="251890688" behindDoc="0" locked="0" layoutInCell="1" allowOverlap="1" wp14:anchorId="66E16036" wp14:editId="6F34DA4C">
            <wp:simplePos x="0" y="0"/>
            <wp:positionH relativeFrom="margin">
              <wp:posOffset>4283685</wp:posOffset>
            </wp:positionH>
            <wp:positionV relativeFrom="margin">
              <wp:posOffset>1645920</wp:posOffset>
            </wp:positionV>
            <wp:extent cx="1799488" cy="1594714"/>
            <wp:effectExtent l="0" t="0" r="0" b="0"/>
            <wp:wrapSquare wrapText="bothSides"/>
            <wp:docPr id="62" name="Chart 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r w:rsidR="00F62C0F" w:rsidRPr="005F3A4A">
        <w:rPr>
          <w:rFonts w:ascii="Cambria" w:hAnsi="Cambria" w:cs="Times New Roman"/>
          <w:b/>
          <w:noProof/>
          <w:sz w:val="20"/>
          <w:szCs w:val="20"/>
          <w:lang w:val="en-US"/>
        </w:rPr>
        <w:drawing>
          <wp:anchor distT="0" distB="0" distL="114300" distR="114300" simplePos="0" relativeHeight="251884544" behindDoc="1" locked="0" layoutInCell="1" allowOverlap="1" wp14:anchorId="59A777EA" wp14:editId="08B031D7">
            <wp:simplePos x="0" y="0"/>
            <wp:positionH relativeFrom="column">
              <wp:posOffset>4425315</wp:posOffset>
            </wp:positionH>
            <wp:positionV relativeFrom="paragraph">
              <wp:posOffset>450850</wp:posOffset>
            </wp:positionV>
            <wp:extent cx="1492250" cy="1184910"/>
            <wp:effectExtent l="0" t="0" r="0" b="0"/>
            <wp:wrapTight wrapText="bothSides">
              <wp:wrapPolygon edited="0">
                <wp:start x="0" y="0"/>
                <wp:lineTo x="0" y="21600"/>
                <wp:lineTo x="21600" y="21600"/>
                <wp:lineTo x="21600" y="0"/>
              </wp:wrapPolygon>
            </wp:wrapTight>
            <wp:docPr id="5" name="Chart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rsidR="00F62C0F" w:rsidRPr="00FA1B06" w:rsidRDefault="00F62C0F" w:rsidP="00FA1B06">
      <w:pPr>
        <w:tabs>
          <w:tab w:val="left" w:pos="914"/>
        </w:tabs>
        <w:spacing w:after="0" w:line="276" w:lineRule="auto"/>
        <w:ind w:left="6480" w:right="-188"/>
        <w:jc w:val="both"/>
        <w:rPr>
          <w:rFonts w:ascii="Cambria" w:hAnsi="Cambria" w:cs="Times New Roman"/>
          <w:b/>
          <w:noProof/>
          <w:sz w:val="20"/>
          <w:szCs w:val="20"/>
          <w:highlight w:val="yellow"/>
        </w:rPr>
      </w:pPr>
    </w:p>
    <w:p w:rsidR="00A343E6" w:rsidRDefault="004948A9" w:rsidP="00FB2E3B">
      <w:pPr>
        <w:tabs>
          <w:tab w:val="left" w:pos="914"/>
        </w:tabs>
        <w:spacing w:after="0" w:line="276" w:lineRule="auto"/>
        <w:ind w:right="-188"/>
        <w:jc w:val="center"/>
        <w:rPr>
          <w:rFonts w:ascii="Cambria" w:hAnsi="Cambria" w:cs="Times New Roman"/>
          <w:i/>
          <w:noProof/>
          <w:sz w:val="20"/>
          <w:szCs w:val="20"/>
        </w:rPr>
      </w:pPr>
      <w:r>
        <w:rPr>
          <w:rFonts w:ascii="Cambria" w:hAnsi="Cambria" w:cs="Times New Roman"/>
          <w:b/>
          <w:noProof/>
          <w:sz w:val="20"/>
          <w:szCs w:val="20"/>
        </w:rPr>
        <w:t xml:space="preserve">                                                </w:t>
      </w:r>
      <w:r w:rsidR="00640A13" w:rsidRPr="005F3A4A">
        <w:rPr>
          <w:rFonts w:ascii="Cambria" w:hAnsi="Cambria" w:cs="Times New Roman"/>
          <w:b/>
          <w:noProof/>
          <w:sz w:val="20"/>
          <w:szCs w:val="20"/>
        </w:rPr>
        <w:t xml:space="preserve">Burimi: </w:t>
      </w:r>
      <w:r w:rsidR="00640A13" w:rsidRPr="005F3A4A">
        <w:rPr>
          <w:rFonts w:ascii="Cambria" w:hAnsi="Cambria" w:cs="Times New Roman"/>
          <w:i/>
          <w:noProof/>
          <w:sz w:val="20"/>
          <w:szCs w:val="20"/>
        </w:rPr>
        <w:t>Ministria e Financave dhe Ekonomisë (202</w:t>
      </w:r>
      <w:r>
        <w:rPr>
          <w:rFonts w:ascii="Cambria" w:hAnsi="Cambria" w:cs="Times New Roman"/>
          <w:i/>
          <w:noProof/>
          <w:sz w:val="20"/>
          <w:szCs w:val="20"/>
        </w:rPr>
        <w:t>2</w:t>
      </w:r>
      <w:r w:rsidR="00640A13" w:rsidRPr="005F3A4A">
        <w:rPr>
          <w:rFonts w:ascii="Cambria" w:hAnsi="Cambria" w:cs="Times New Roman"/>
          <w:i/>
          <w:noProof/>
          <w:sz w:val="20"/>
          <w:szCs w:val="20"/>
        </w:rPr>
        <w:t>)</w:t>
      </w:r>
    </w:p>
    <w:p w:rsidR="00A343E6" w:rsidRDefault="00A343E6" w:rsidP="005E7EA0">
      <w:pPr>
        <w:tabs>
          <w:tab w:val="left" w:pos="914"/>
        </w:tabs>
        <w:spacing w:after="0" w:line="276" w:lineRule="auto"/>
        <w:ind w:right="-188"/>
        <w:jc w:val="center"/>
        <w:rPr>
          <w:rFonts w:ascii="Cambria" w:hAnsi="Cambria" w:cs="Times New Roman"/>
          <w:i/>
          <w:noProof/>
          <w:sz w:val="20"/>
          <w:szCs w:val="20"/>
        </w:rPr>
      </w:pPr>
    </w:p>
    <w:p w:rsidR="00A343E6" w:rsidRPr="005F3A4A" w:rsidRDefault="00A343E6" w:rsidP="005E7EA0">
      <w:pPr>
        <w:tabs>
          <w:tab w:val="left" w:pos="914"/>
        </w:tabs>
        <w:spacing w:after="0" w:line="276" w:lineRule="auto"/>
        <w:ind w:right="-188"/>
        <w:jc w:val="center"/>
        <w:rPr>
          <w:rFonts w:ascii="Cambria" w:hAnsi="Cambria" w:cs="Times New Roman"/>
          <w:i/>
          <w:noProof/>
          <w:sz w:val="20"/>
          <w:szCs w:val="20"/>
        </w:rPr>
      </w:pPr>
    </w:p>
    <w:p w:rsidR="00AA203D" w:rsidRPr="005F3A4A" w:rsidRDefault="003C1892" w:rsidP="00B92540">
      <w:pPr>
        <w:pStyle w:val="Heading1"/>
        <w:numPr>
          <w:ilvl w:val="0"/>
          <w:numId w:val="5"/>
        </w:numPr>
        <w:tabs>
          <w:tab w:val="left" w:pos="851"/>
        </w:tabs>
        <w:spacing w:before="0" w:after="240" w:line="276" w:lineRule="auto"/>
        <w:ind w:left="426" w:right="-188" w:hanging="426"/>
        <w:jc w:val="both"/>
        <w:rPr>
          <w:rFonts w:ascii="Cambria" w:hAnsi="Cambria"/>
          <w:sz w:val="24"/>
          <w:szCs w:val="24"/>
        </w:rPr>
      </w:pPr>
      <w:bookmarkStart w:id="3" w:name="_Toc483994729"/>
      <w:bookmarkStart w:id="4" w:name="_Toc491860988"/>
      <w:bookmarkStart w:id="5" w:name="_Toc491954301"/>
      <w:bookmarkStart w:id="6" w:name="_Toc34645063"/>
      <w:r w:rsidRPr="005F3A4A">
        <w:rPr>
          <w:rFonts w:ascii="Cambria" w:hAnsi="Cambria"/>
          <w:sz w:val="24"/>
          <w:szCs w:val="24"/>
        </w:rPr>
        <w:t>Borxhi Shtetëror</w:t>
      </w:r>
      <w:r w:rsidR="00470B7D" w:rsidRPr="005F3A4A">
        <w:rPr>
          <w:rFonts w:ascii="Cambria" w:hAnsi="Cambria"/>
          <w:sz w:val="24"/>
          <w:szCs w:val="24"/>
        </w:rPr>
        <w:t xml:space="preserve"> </w:t>
      </w:r>
      <w:r w:rsidRPr="005F3A4A">
        <w:rPr>
          <w:rFonts w:ascii="Cambria" w:hAnsi="Cambria"/>
          <w:sz w:val="24"/>
          <w:szCs w:val="24"/>
        </w:rPr>
        <w:t>i</w:t>
      </w:r>
      <w:r w:rsidR="00470B7D" w:rsidRPr="005F3A4A">
        <w:rPr>
          <w:rFonts w:ascii="Cambria" w:hAnsi="Cambria"/>
          <w:sz w:val="24"/>
          <w:szCs w:val="24"/>
        </w:rPr>
        <w:t xml:space="preserve"> </w:t>
      </w:r>
      <w:hyperlink w:anchor="_Toc480457956" w:history="1">
        <w:r w:rsidR="00470B7D" w:rsidRPr="005F3A4A">
          <w:rPr>
            <w:rFonts w:ascii="Cambria" w:hAnsi="Cambria"/>
            <w:sz w:val="24"/>
            <w:szCs w:val="24"/>
          </w:rPr>
          <w:t>Garan</w:t>
        </w:r>
      </w:hyperlink>
      <w:bookmarkEnd w:id="3"/>
      <w:r w:rsidR="00470B7D" w:rsidRPr="005F3A4A">
        <w:rPr>
          <w:rFonts w:ascii="Cambria" w:hAnsi="Cambria"/>
          <w:sz w:val="24"/>
          <w:szCs w:val="24"/>
        </w:rPr>
        <w:t>tuar</w:t>
      </w:r>
      <w:bookmarkEnd w:id="4"/>
      <w:bookmarkEnd w:id="5"/>
      <w:bookmarkEnd w:id="6"/>
    </w:p>
    <w:p w:rsidR="00AA203D" w:rsidRPr="00FB2E3B" w:rsidRDefault="00AA203D" w:rsidP="00FB2E3B">
      <w:pPr>
        <w:jc w:val="both"/>
        <w:rPr>
          <w:rFonts w:ascii="Times New Roman" w:hAnsi="Times New Roman" w:cs="Times New Roman"/>
          <w:noProof/>
          <w:sz w:val="24"/>
          <w:szCs w:val="24"/>
        </w:rPr>
      </w:pPr>
      <w:bookmarkStart w:id="7" w:name="_Toc9249203"/>
      <w:r w:rsidRPr="00FB2E3B">
        <w:rPr>
          <w:rFonts w:ascii="Times New Roman" w:hAnsi="Times New Roman" w:cs="Times New Roman"/>
          <w:noProof/>
          <w:sz w:val="24"/>
          <w:szCs w:val="24"/>
        </w:rPr>
        <w:t xml:space="preserve">Në fund të </w:t>
      </w:r>
      <w:r w:rsidR="00937AD8" w:rsidRPr="00FB2E3B">
        <w:rPr>
          <w:rFonts w:ascii="Times New Roman" w:hAnsi="Times New Roman" w:cs="Times New Roman"/>
          <w:noProof/>
          <w:sz w:val="24"/>
          <w:szCs w:val="24"/>
        </w:rPr>
        <w:t>vitit</w:t>
      </w:r>
      <w:r w:rsidR="005E7EA0" w:rsidRPr="00FB2E3B">
        <w:rPr>
          <w:rFonts w:ascii="Times New Roman" w:hAnsi="Times New Roman" w:cs="Times New Roman"/>
          <w:noProof/>
          <w:sz w:val="24"/>
          <w:szCs w:val="24"/>
        </w:rPr>
        <w:t xml:space="preserve"> 202</w:t>
      </w:r>
      <w:r w:rsidR="000E720A" w:rsidRPr="00FB2E3B">
        <w:rPr>
          <w:rFonts w:ascii="Times New Roman" w:hAnsi="Times New Roman" w:cs="Times New Roman"/>
          <w:noProof/>
          <w:sz w:val="24"/>
          <w:szCs w:val="24"/>
        </w:rPr>
        <w:t>1</w:t>
      </w:r>
      <w:r w:rsidRPr="00FB2E3B">
        <w:rPr>
          <w:rFonts w:ascii="Times New Roman" w:hAnsi="Times New Roman" w:cs="Times New Roman"/>
          <w:noProof/>
          <w:sz w:val="24"/>
          <w:szCs w:val="24"/>
        </w:rPr>
        <w:t>, portofoli i borxhit</w:t>
      </w:r>
      <w:r w:rsidR="005E7EA0" w:rsidRPr="00FB2E3B">
        <w:rPr>
          <w:rFonts w:ascii="Times New Roman" w:hAnsi="Times New Roman" w:cs="Times New Roman"/>
          <w:noProof/>
          <w:sz w:val="24"/>
          <w:szCs w:val="24"/>
        </w:rPr>
        <w:t xml:space="preserve"> të garantuar vlerësohet në </w:t>
      </w:r>
      <w:r w:rsidR="00937AD8" w:rsidRPr="00FB2E3B">
        <w:rPr>
          <w:rFonts w:ascii="Times New Roman" w:hAnsi="Times New Roman" w:cs="Times New Roman"/>
          <w:noProof/>
          <w:sz w:val="24"/>
          <w:szCs w:val="24"/>
        </w:rPr>
        <w:t>54.9</w:t>
      </w:r>
      <w:r w:rsidRPr="00FB2E3B">
        <w:rPr>
          <w:rFonts w:ascii="Times New Roman" w:hAnsi="Times New Roman" w:cs="Times New Roman"/>
          <w:noProof/>
          <w:sz w:val="24"/>
          <w:szCs w:val="24"/>
        </w:rPr>
        <w:t xml:space="preserve"> miliard Lekë </w:t>
      </w:r>
      <w:r w:rsidRPr="00FB2E3B">
        <w:rPr>
          <w:rFonts w:ascii="Times New Roman" w:hAnsi="Times New Roman" w:cs="Times New Roman"/>
          <w:i/>
          <w:noProof/>
          <w:sz w:val="24"/>
          <w:szCs w:val="24"/>
        </w:rPr>
        <w:t>(2.</w:t>
      </w:r>
      <w:r w:rsidR="00937AD8" w:rsidRPr="00FB2E3B">
        <w:rPr>
          <w:rFonts w:ascii="Times New Roman" w:hAnsi="Times New Roman" w:cs="Times New Roman"/>
          <w:i/>
          <w:noProof/>
          <w:sz w:val="24"/>
          <w:szCs w:val="24"/>
        </w:rPr>
        <w:t>9</w:t>
      </w:r>
      <w:r w:rsidRPr="00FB2E3B">
        <w:rPr>
          <w:rFonts w:ascii="Times New Roman" w:hAnsi="Times New Roman" w:cs="Times New Roman"/>
          <w:i/>
          <w:noProof/>
          <w:sz w:val="24"/>
          <w:szCs w:val="24"/>
        </w:rPr>
        <w:t>% e PBB)</w:t>
      </w:r>
      <w:r w:rsidRPr="00FB2E3B">
        <w:rPr>
          <w:rFonts w:ascii="Times New Roman" w:hAnsi="Times New Roman" w:cs="Times New Roman"/>
          <w:noProof/>
          <w:sz w:val="24"/>
          <w:szCs w:val="24"/>
        </w:rPr>
        <w:t xml:space="preserve"> ose </w:t>
      </w:r>
      <w:r w:rsidR="00937AD8" w:rsidRPr="00FB2E3B">
        <w:rPr>
          <w:rFonts w:ascii="Times New Roman" w:hAnsi="Times New Roman" w:cs="Times New Roman"/>
          <w:noProof/>
          <w:sz w:val="24"/>
          <w:szCs w:val="24"/>
        </w:rPr>
        <w:t>4.0</w:t>
      </w:r>
      <w:r w:rsidRPr="00FB2E3B">
        <w:rPr>
          <w:rFonts w:ascii="Times New Roman" w:hAnsi="Times New Roman" w:cs="Times New Roman"/>
          <w:noProof/>
          <w:sz w:val="24"/>
          <w:szCs w:val="24"/>
        </w:rPr>
        <w:t xml:space="preserve">% e portofolit të borxhit të qeverisjes qendrore. Krahasuar me fundin e vitit të kaluar, borxhi i garantuar është </w:t>
      </w:r>
      <w:r w:rsidR="00937AD8" w:rsidRPr="00FB2E3B">
        <w:rPr>
          <w:rFonts w:ascii="Times New Roman" w:hAnsi="Times New Roman" w:cs="Times New Roman"/>
          <w:noProof/>
          <w:sz w:val="24"/>
          <w:szCs w:val="24"/>
        </w:rPr>
        <w:t xml:space="preserve">rritur </w:t>
      </w:r>
      <w:r w:rsidR="005E7EA0" w:rsidRPr="00FB2E3B">
        <w:rPr>
          <w:rFonts w:ascii="Times New Roman" w:hAnsi="Times New Roman" w:cs="Times New Roman"/>
          <w:noProof/>
          <w:sz w:val="24"/>
          <w:szCs w:val="24"/>
        </w:rPr>
        <w:t xml:space="preserve">në vlerë absolute me rreth </w:t>
      </w:r>
      <w:r w:rsidR="00937AD8" w:rsidRPr="00FB2E3B">
        <w:rPr>
          <w:rFonts w:ascii="Times New Roman" w:hAnsi="Times New Roman" w:cs="Times New Roman"/>
          <w:noProof/>
          <w:sz w:val="24"/>
          <w:szCs w:val="24"/>
        </w:rPr>
        <w:t>6.1</w:t>
      </w:r>
      <w:r w:rsidRPr="00FB2E3B">
        <w:rPr>
          <w:rFonts w:ascii="Times New Roman" w:hAnsi="Times New Roman" w:cs="Times New Roman"/>
          <w:noProof/>
          <w:sz w:val="24"/>
          <w:szCs w:val="24"/>
        </w:rPr>
        <w:t xml:space="preserve"> miliard Lekë</w:t>
      </w:r>
      <w:bookmarkEnd w:id="7"/>
      <w:r w:rsidR="00937AD8" w:rsidRPr="00FB2E3B">
        <w:rPr>
          <w:rFonts w:ascii="Times New Roman" w:hAnsi="Times New Roman" w:cs="Times New Roman"/>
          <w:noProof/>
          <w:sz w:val="24"/>
          <w:szCs w:val="24"/>
        </w:rPr>
        <w:t>, nga ku 10.</w:t>
      </w:r>
      <w:r w:rsidR="000D657A">
        <w:rPr>
          <w:rFonts w:ascii="Times New Roman" w:hAnsi="Times New Roman" w:cs="Times New Roman"/>
          <w:noProof/>
          <w:sz w:val="24"/>
          <w:szCs w:val="24"/>
        </w:rPr>
        <w:t>1</w:t>
      </w:r>
      <w:r w:rsidR="000D657A" w:rsidRPr="00FB2E3B">
        <w:rPr>
          <w:rFonts w:ascii="Times New Roman" w:hAnsi="Times New Roman" w:cs="Times New Roman"/>
          <w:noProof/>
          <w:sz w:val="24"/>
          <w:szCs w:val="24"/>
        </w:rPr>
        <w:t xml:space="preserve"> </w:t>
      </w:r>
      <w:r w:rsidR="00937AD8" w:rsidRPr="00FB2E3B">
        <w:rPr>
          <w:rFonts w:ascii="Times New Roman" w:hAnsi="Times New Roman" w:cs="Times New Roman"/>
          <w:noProof/>
          <w:sz w:val="24"/>
          <w:szCs w:val="24"/>
        </w:rPr>
        <w:t>miliard Lek</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i korrespondojn</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portofolit t</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borxhit t</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garantuar t</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brendsh</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m dhe -4.0 miliard Lek</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i korrespondojn</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portofolit t</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borxhit t</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garantuar t</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jasht</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m. Rritja e stokut t</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garancive t</w:t>
      </w:r>
      <w:r w:rsidR="00FD335A">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brendshme ka ardhur kry</w:t>
      </w:r>
      <w:r w:rsidR="005502E1">
        <w:rPr>
          <w:rFonts w:ascii="Times New Roman" w:hAnsi="Times New Roman" w:cs="Times New Roman"/>
          <w:noProof/>
          <w:sz w:val="24"/>
          <w:szCs w:val="24"/>
        </w:rPr>
        <w:t>e</w:t>
      </w:r>
      <w:r w:rsidR="00937AD8" w:rsidRPr="00FB2E3B">
        <w:rPr>
          <w:rFonts w:ascii="Times New Roman" w:hAnsi="Times New Roman" w:cs="Times New Roman"/>
          <w:noProof/>
          <w:sz w:val="24"/>
          <w:szCs w:val="24"/>
        </w:rPr>
        <w:t>sisht si rezultat i emetimit t</w:t>
      </w:r>
      <w:r w:rsidR="00FD335A" w:rsidRPr="00FB2E3B">
        <w:rPr>
          <w:rFonts w:ascii="Times New Roman" w:hAnsi="Times New Roman" w:cs="Times New Roman"/>
          <w:noProof/>
          <w:sz w:val="24"/>
          <w:szCs w:val="24"/>
        </w:rPr>
        <w:t>ë</w:t>
      </w:r>
      <w:r w:rsidR="00937AD8" w:rsidRPr="00FB2E3B">
        <w:rPr>
          <w:rFonts w:ascii="Times New Roman" w:hAnsi="Times New Roman" w:cs="Times New Roman"/>
          <w:noProof/>
          <w:sz w:val="24"/>
          <w:szCs w:val="24"/>
        </w:rPr>
        <w:t xml:space="preserve"> </w:t>
      </w:r>
      <w:r w:rsidR="00A14B9E" w:rsidRPr="00FB2E3B">
        <w:rPr>
          <w:rFonts w:ascii="Times New Roman" w:hAnsi="Times New Roman" w:cs="Times New Roman"/>
          <w:noProof/>
          <w:sz w:val="24"/>
          <w:szCs w:val="24"/>
        </w:rPr>
        <w:t>garancis</w:t>
      </w:r>
      <w:r w:rsidR="00FD335A" w:rsidRPr="00FB2E3B">
        <w:rPr>
          <w:rFonts w:ascii="Times New Roman" w:hAnsi="Times New Roman" w:cs="Times New Roman"/>
          <w:noProof/>
          <w:sz w:val="24"/>
          <w:szCs w:val="24"/>
        </w:rPr>
        <w:t>ë</w:t>
      </w:r>
      <w:r w:rsidR="00E13B20" w:rsidRPr="00FB2E3B">
        <w:rPr>
          <w:rFonts w:ascii="Times New Roman" w:hAnsi="Times New Roman" w:cs="Times New Roman"/>
          <w:noProof/>
          <w:sz w:val="24"/>
          <w:szCs w:val="24"/>
        </w:rPr>
        <w:t xml:space="preserve"> </w:t>
      </w:r>
      <w:r w:rsidR="00A14B9E" w:rsidRPr="00FB2E3B">
        <w:rPr>
          <w:rFonts w:ascii="Times New Roman" w:hAnsi="Times New Roman" w:cs="Times New Roman"/>
          <w:noProof/>
          <w:sz w:val="24"/>
          <w:szCs w:val="24"/>
        </w:rPr>
        <w:t>p</w:t>
      </w:r>
      <w:r w:rsidR="00FD335A" w:rsidRPr="00FB2E3B">
        <w:rPr>
          <w:rFonts w:ascii="Times New Roman" w:hAnsi="Times New Roman" w:cs="Times New Roman"/>
          <w:noProof/>
          <w:sz w:val="24"/>
          <w:szCs w:val="24"/>
        </w:rPr>
        <w:t>ë</w:t>
      </w:r>
      <w:r w:rsidR="00A14B9E" w:rsidRPr="00FB2E3B">
        <w:rPr>
          <w:rFonts w:ascii="Times New Roman" w:hAnsi="Times New Roman" w:cs="Times New Roman"/>
          <w:noProof/>
          <w:sz w:val="24"/>
          <w:szCs w:val="24"/>
        </w:rPr>
        <w:t>r OSHEE n</w:t>
      </w:r>
      <w:r w:rsidR="00FD335A" w:rsidRPr="00FB2E3B">
        <w:rPr>
          <w:rFonts w:ascii="Times New Roman" w:hAnsi="Times New Roman" w:cs="Times New Roman"/>
          <w:noProof/>
          <w:sz w:val="24"/>
          <w:szCs w:val="24"/>
        </w:rPr>
        <w:t>ë</w:t>
      </w:r>
      <w:r w:rsidR="00A14B9E" w:rsidRPr="00FB2E3B">
        <w:rPr>
          <w:rFonts w:ascii="Times New Roman" w:hAnsi="Times New Roman" w:cs="Times New Roman"/>
          <w:noProof/>
          <w:sz w:val="24"/>
          <w:szCs w:val="24"/>
        </w:rPr>
        <w:t xml:space="preserve"> vler</w:t>
      </w:r>
      <w:r w:rsidR="00FD335A" w:rsidRPr="00FB2E3B">
        <w:rPr>
          <w:rFonts w:ascii="Times New Roman" w:hAnsi="Times New Roman" w:cs="Times New Roman"/>
          <w:noProof/>
          <w:sz w:val="24"/>
          <w:szCs w:val="24"/>
        </w:rPr>
        <w:t>ë</w:t>
      </w:r>
      <w:r w:rsidR="00A14B9E" w:rsidRPr="00FB2E3B">
        <w:rPr>
          <w:rFonts w:ascii="Times New Roman" w:hAnsi="Times New Roman" w:cs="Times New Roman"/>
          <w:noProof/>
          <w:sz w:val="24"/>
          <w:szCs w:val="24"/>
        </w:rPr>
        <w:t xml:space="preserve">n </w:t>
      </w:r>
      <w:r w:rsidR="00100525" w:rsidRPr="00FB2E3B">
        <w:rPr>
          <w:rFonts w:ascii="Times New Roman" w:hAnsi="Times New Roman" w:cs="Times New Roman"/>
          <w:noProof/>
          <w:sz w:val="24"/>
          <w:szCs w:val="24"/>
        </w:rPr>
        <w:t>81.5</w:t>
      </w:r>
      <w:r w:rsidR="00A14B9E" w:rsidRPr="00FB2E3B">
        <w:rPr>
          <w:rFonts w:ascii="Times New Roman" w:hAnsi="Times New Roman" w:cs="Times New Roman"/>
          <w:noProof/>
          <w:sz w:val="24"/>
          <w:szCs w:val="24"/>
        </w:rPr>
        <w:t xml:space="preserve"> milion Euro</w:t>
      </w:r>
      <w:r w:rsidR="005502E1">
        <w:rPr>
          <w:rFonts w:ascii="Times New Roman" w:hAnsi="Times New Roman" w:cs="Times New Roman"/>
          <w:noProof/>
          <w:sz w:val="24"/>
          <w:szCs w:val="24"/>
        </w:rPr>
        <w:t xml:space="preserve"> ne fund t</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 xml:space="preserve"> vitit 2021. Kjo garanci u emetua n</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 xml:space="preserve"> vijim t</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 xml:space="preserve"> VKM Nr. 584, dat</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 xml:space="preserve"> 08.10.2021 “P</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r shpalljen e gjendjes s</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 xml:space="preserve"> emergjenc</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s n</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 xml:space="preserve"> furnizimin me energji elektrike”, me q</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llim mund</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simin e financimit t</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 xml:space="preserve"> menj</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hersh</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m t</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 xml:space="preserve"> shoq</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ris</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 xml:space="preserve"> p</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r p</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rballimin e rritjes s</w:t>
      </w:r>
      <w:r w:rsidR="00B2242A">
        <w:rPr>
          <w:rFonts w:ascii="Times New Roman" w:hAnsi="Times New Roman" w:cs="Times New Roman"/>
          <w:noProof/>
          <w:sz w:val="24"/>
          <w:szCs w:val="24"/>
        </w:rPr>
        <w:t>ë</w:t>
      </w:r>
      <w:r w:rsidR="005502E1">
        <w:rPr>
          <w:rFonts w:ascii="Times New Roman" w:hAnsi="Times New Roman" w:cs="Times New Roman"/>
          <w:noProof/>
          <w:sz w:val="24"/>
          <w:szCs w:val="24"/>
        </w:rPr>
        <w:t xml:space="preserve"> cmimeve dhe vazhdimin e furnizimit me energji. </w:t>
      </w:r>
      <w:r w:rsidR="00A14B9E" w:rsidRPr="00FB2E3B">
        <w:rPr>
          <w:rFonts w:ascii="Times New Roman" w:hAnsi="Times New Roman" w:cs="Times New Roman"/>
          <w:noProof/>
          <w:sz w:val="24"/>
          <w:szCs w:val="24"/>
        </w:rPr>
        <w:t xml:space="preserve"> </w:t>
      </w:r>
    </w:p>
    <w:p w:rsidR="00AA203D" w:rsidRPr="005F3A4A" w:rsidRDefault="00AA203D" w:rsidP="00B92540">
      <w:pPr>
        <w:tabs>
          <w:tab w:val="left" w:pos="270"/>
        </w:tabs>
        <w:spacing w:after="0" w:line="276" w:lineRule="auto"/>
        <w:ind w:right="-188"/>
        <w:jc w:val="center"/>
        <w:rPr>
          <w:rFonts w:ascii="Times New Roman" w:hAnsi="Times New Roman" w:cs="Times New Roman"/>
          <w:i/>
          <w:noProof/>
          <w:sz w:val="20"/>
          <w:szCs w:val="20"/>
        </w:rPr>
      </w:pPr>
      <w:r w:rsidRPr="005F3A4A">
        <w:rPr>
          <w:rFonts w:ascii="Cambria" w:hAnsi="Cambria" w:cs="Times New Roman"/>
          <w:b/>
          <w:noProof/>
          <w:sz w:val="20"/>
          <w:szCs w:val="20"/>
        </w:rPr>
        <w:t>Paraqitje Grafike 3 (a):</w:t>
      </w:r>
      <w:r w:rsidRPr="005F3A4A">
        <w:rPr>
          <w:rFonts w:ascii="Cambria" w:hAnsi="Cambria" w:cs="Times New Roman"/>
          <w:noProof/>
          <w:sz w:val="20"/>
          <w:szCs w:val="20"/>
        </w:rPr>
        <w:t xml:space="preserve"> </w:t>
      </w:r>
      <w:r w:rsidRPr="005F3A4A">
        <w:rPr>
          <w:rFonts w:ascii="Cambria" w:hAnsi="Cambria" w:cs="Times New Roman"/>
          <w:i/>
          <w:noProof/>
          <w:sz w:val="20"/>
          <w:szCs w:val="20"/>
        </w:rPr>
        <w:t>Portofoli i borxhit t</w:t>
      </w:r>
      <w:r w:rsidR="00A70F29" w:rsidRPr="005F3A4A">
        <w:rPr>
          <w:rFonts w:ascii="Cambria" w:hAnsi="Cambria" w:cs="Times New Roman"/>
          <w:i/>
          <w:noProof/>
          <w:sz w:val="20"/>
          <w:szCs w:val="20"/>
        </w:rPr>
        <w:t>ë</w:t>
      </w:r>
      <w:r w:rsidRPr="005F3A4A">
        <w:rPr>
          <w:rFonts w:ascii="Cambria" w:hAnsi="Cambria" w:cs="Times New Roman"/>
          <w:i/>
          <w:noProof/>
          <w:sz w:val="20"/>
          <w:szCs w:val="20"/>
        </w:rPr>
        <w:t xml:space="preserve"> garantuar sipas rezidenc</w:t>
      </w:r>
      <w:r w:rsidR="00A70F29" w:rsidRPr="005F3A4A">
        <w:rPr>
          <w:rFonts w:ascii="Cambria" w:hAnsi="Cambria" w:cs="Times New Roman"/>
          <w:i/>
          <w:noProof/>
          <w:sz w:val="20"/>
          <w:szCs w:val="20"/>
        </w:rPr>
        <w:t>ë</w:t>
      </w:r>
      <w:r w:rsidRPr="005F3A4A">
        <w:rPr>
          <w:rFonts w:ascii="Cambria" w:hAnsi="Cambria" w:cs="Times New Roman"/>
          <w:i/>
          <w:noProof/>
          <w:sz w:val="20"/>
          <w:szCs w:val="20"/>
        </w:rPr>
        <w:t>s s</w:t>
      </w:r>
      <w:r w:rsidR="00A70F29" w:rsidRPr="005F3A4A">
        <w:rPr>
          <w:rFonts w:ascii="Cambria" w:hAnsi="Cambria" w:cs="Times New Roman"/>
          <w:i/>
          <w:noProof/>
          <w:sz w:val="20"/>
          <w:szCs w:val="20"/>
        </w:rPr>
        <w:t>ë</w:t>
      </w:r>
      <w:r w:rsidR="00263448" w:rsidRPr="005F3A4A">
        <w:rPr>
          <w:rFonts w:ascii="Cambria" w:hAnsi="Cambria" w:cs="Times New Roman"/>
          <w:i/>
          <w:noProof/>
          <w:sz w:val="20"/>
          <w:szCs w:val="20"/>
        </w:rPr>
        <w:t xml:space="preserve"> kreditorit </w:t>
      </w:r>
      <w:r w:rsidR="005F3A4A" w:rsidRPr="005F3A4A">
        <w:rPr>
          <w:rFonts w:ascii="Cambria" w:hAnsi="Cambria" w:cs="Times New Roman"/>
          <w:i/>
          <w:noProof/>
          <w:sz w:val="20"/>
          <w:szCs w:val="20"/>
        </w:rPr>
        <w:t>(2017</w:t>
      </w:r>
      <w:r w:rsidRPr="005F3A4A">
        <w:rPr>
          <w:rFonts w:ascii="Cambria" w:hAnsi="Cambria" w:cs="Times New Roman"/>
          <w:i/>
          <w:noProof/>
          <w:sz w:val="20"/>
          <w:szCs w:val="20"/>
        </w:rPr>
        <w:t>–</w:t>
      </w:r>
      <w:r w:rsidR="00263448" w:rsidRPr="005F3A4A">
        <w:rPr>
          <w:rFonts w:ascii="Cambria" w:hAnsi="Cambria" w:cs="Times New Roman"/>
          <w:i/>
          <w:noProof/>
          <w:sz w:val="20"/>
          <w:szCs w:val="20"/>
        </w:rPr>
        <w:t xml:space="preserve"> 202</w:t>
      </w:r>
      <w:r w:rsidR="00BF54BB" w:rsidRPr="005F3A4A">
        <w:rPr>
          <w:rFonts w:ascii="Cambria" w:hAnsi="Cambria" w:cs="Times New Roman"/>
          <w:i/>
          <w:noProof/>
          <w:sz w:val="20"/>
          <w:szCs w:val="20"/>
        </w:rPr>
        <w:t>1</w:t>
      </w:r>
      <w:r w:rsidRPr="005F3A4A">
        <w:rPr>
          <w:rFonts w:ascii="Times New Roman" w:hAnsi="Times New Roman" w:cs="Times New Roman"/>
          <w:i/>
          <w:noProof/>
          <w:sz w:val="20"/>
          <w:szCs w:val="20"/>
        </w:rPr>
        <w:t>)</w:t>
      </w:r>
    </w:p>
    <w:p w:rsidR="006A17A2" w:rsidRPr="005F3A4A" w:rsidRDefault="000303AF" w:rsidP="00B92540">
      <w:pPr>
        <w:tabs>
          <w:tab w:val="left" w:pos="270"/>
        </w:tabs>
        <w:spacing w:after="0" w:line="276" w:lineRule="auto"/>
        <w:ind w:right="-188"/>
        <w:jc w:val="center"/>
        <w:rPr>
          <w:rFonts w:ascii="Times New Roman" w:hAnsi="Times New Roman" w:cs="Times New Roman"/>
          <w:i/>
          <w:noProof/>
          <w:sz w:val="20"/>
          <w:szCs w:val="20"/>
        </w:rPr>
      </w:pPr>
      <w:r>
        <w:rPr>
          <w:noProof/>
          <w:lang w:val="en-US"/>
        </w:rPr>
        <w:drawing>
          <wp:inline distT="0" distB="0" distL="0" distR="0" wp14:anchorId="6A74B2CF" wp14:editId="19FCA7C3">
            <wp:extent cx="5771692" cy="2348179"/>
            <wp:effectExtent l="0" t="0" r="635" b="14605"/>
            <wp:docPr id="192" name="Chart 1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A203D" w:rsidRPr="005F3A4A" w:rsidRDefault="00AA203D" w:rsidP="00B92540">
      <w:pPr>
        <w:tabs>
          <w:tab w:val="left" w:pos="914"/>
        </w:tabs>
        <w:spacing w:after="0" w:line="276" w:lineRule="auto"/>
        <w:ind w:right="-188"/>
        <w:jc w:val="center"/>
        <w:rPr>
          <w:rFonts w:ascii="Cambria" w:hAnsi="Cambria" w:cs="Times New Roman"/>
          <w:i/>
          <w:noProof/>
          <w:sz w:val="20"/>
          <w:szCs w:val="20"/>
        </w:rPr>
      </w:pPr>
      <w:r w:rsidRPr="005F3A4A">
        <w:rPr>
          <w:rFonts w:ascii="Cambria" w:hAnsi="Cambria" w:cs="Times New Roman"/>
          <w:b/>
          <w:noProof/>
          <w:sz w:val="20"/>
          <w:szCs w:val="20"/>
        </w:rPr>
        <w:t xml:space="preserve">Burimi: </w:t>
      </w:r>
      <w:r w:rsidRPr="005F3A4A">
        <w:rPr>
          <w:rFonts w:ascii="Cambria" w:hAnsi="Cambria" w:cs="Times New Roman"/>
          <w:i/>
          <w:noProof/>
          <w:sz w:val="20"/>
          <w:szCs w:val="20"/>
        </w:rPr>
        <w:t>Ministria e Financave dhe Ekonomisë (202</w:t>
      </w:r>
      <w:r w:rsidR="005502E1">
        <w:rPr>
          <w:rFonts w:ascii="Cambria" w:hAnsi="Cambria" w:cs="Times New Roman"/>
          <w:i/>
          <w:noProof/>
          <w:sz w:val="20"/>
          <w:szCs w:val="20"/>
        </w:rPr>
        <w:t>2</w:t>
      </w:r>
      <w:r w:rsidRPr="005F3A4A">
        <w:rPr>
          <w:rFonts w:ascii="Cambria" w:hAnsi="Cambria" w:cs="Times New Roman"/>
          <w:i/>
          <w:noProof/>
          <w:sz w:val="20"/>
          <w:szCs w:val="20"/>
        </w:rPr>
        <w:t>)</w:t>
      </w:r>
    </w:p>
    <w:p w:rsidR="00AA203D" w:rsidRPr="00EE7E9F" w:rsidRDefault="00AA203D" w:rsidP="00B92540">
      <w:pPr>
        <w:pStyle w:val="ListParagraph"/>
        <w:tabs>
          <w:tab w:val="left" w:pos="914"/>
        </w:tabs>
        <w:spacing w:after="0" w:line="276" w:lineRule="auto"/>
        <w:ind w:right="-188"/>
        <w:rPr>
          <w:rFonts w:ascii="Times New Roman" w:hAnsi="Times New Roman" w:cs="Times New Roman"/>
          <w:i/>
          <w:noProof/>
          <w:sz w:val="20"/>
          <w:szCs w:val="20"/>
          <w:highlight w:val="yellow"/>
        </w:rPr>
      </w:pPr>
    </w:p>
    <w:p w:rsidR="00AA203D" w:rsidRPr="005F3A4A" w:rsidRDefault="00AA203D" w:rsidP="00BC5BC9">
      <w:pPr>
        <w:tabs>
          <w:tab w:val="left" w:pos="270"/>
        </w:tabs>
        <w:spacing w:after="0" w:line="276" w:lineRule="auto"/>
        <w:ind w:right="-46"/>
        <w:jc w:val="both"/>
        <w:rPr>
          <w:rFonts w:ascii="Times New Roman" w:hAnsi="Times New Roman" w:cs="Times New Roman"/>
          <w:noProof/>
          <w:sz w:val="24"/>
          <w:szCs w:val="24"/>
        </w:rPr>
      </w:pPr>
      <w:r w:rsidRPr="005F3A4A">
        <w:rPr>
          <w:rFonts w:ascii="Times New Roman" w:hAnsi="Times New Roman" w:cs="Times New Roman"/>
          <w:noProof/>
          <w:sz w:val="24"/>
          <w:szCs w:val="24"/>
        </w:rPr>
        <w:t xml:space="preserve">Më shumë se </w:t>
      </w:r>
      <w:r w:rsidR="00EF7CCE" w:rsidRPr="005F3A4A">
        <w:rPr>
          <w:rFonts w:ascii="Times New Roman" w:hAnsi="Times New Roman" w:cs="Times New Roman"/>
          <w:noProof/>
          <w:sz w:val="24"/>
          <w:szCs w:val="24"/>
        </w:rPr>
        <w:t>6</w:t>
      </w:r>
      <w:r w:rsidRPr="005F3A4A">
        <w:rPr>
          <w:rFonts w:ascii="Times New Roman" w:hAnsi="Times New Roman" w:cs="Times New Roman"/>
          <w:noProof/>
          <w:sz w:val="24"/>
          <w:szCs w:val="24"/>
        </w:rPr>
        <w:t>0% e totalit të garancive shtetërore i përkasin sektorit të energjisë, duke reflektuar politikat e qeverisë në drejtim të mbështetjes së sektorit të energjisë, n</w:t>
      </w:r>
      <w:r w:rsidR="00A70F29" w:rsidRPr="005F3A4A">
        <w:rPr>
          <w:rFonts w:ascii="Times New Roman" w:hAnsi="Times New Roman" w:cs="Times New Roman"/>
          <w:noProof/>
          <w:sz w:val="24"/>
          <w:szCs w:val="24"/>
        </w:rPr>
        <w:t>ë</w:t>
      </w:r>
      <w:r w:rsidRPr="005F3A4A">
        <w:rPr>
          <w:rFonts w:ascii="Times New Roman" w:hAnsi="Times New Roman" w:cs="Times New Roman"/>
          <w:noProof/>
          <w:sz w:val="24"/>
          <w:szCs w:val="24"/>
        </w:rPr>
        <w:t xml:space="preserve"> kuad</w:t>
      </w:r>
      <w:r w:rsidR="00A70F29" w:rsidRPr="005F3A4A">
        <w:rPr>
          <w:rFonts w:ascii="Times New Roman" w:hAnsi="Times New Roman" w:cs="Times New Roman"/>
          <w:noProof/>
          <w:sz w:val="24"/>
          <w:szCs w:val="24"/>
        </w:rPr>
        <w:t>ë</w:t>
      </w:r>
      <w:r w:rsidRPr="005F3A4A">
        <w:rPr>
          <w:rFonts w:ascii="Times New Roman" w:hAnsi="Times New Roman" w:cs="Times New Roman"/>
          <w:noProof/>
          <w:sz w:val="24"/>
          <w:szCs w:val="24"/>
        </w:rPr>
        <w:t>r t</w:t>
      </w:r>
      <w:r w:rsidR="00A70F29" w:rsidRPr="005F3A4A">
        <w:rPr>
          <w:rFonts w:ascii="Times New Roman" w:hAnsi="Times New Roman" w:cs="Times New Roman"/>
          <w:noProof/>
          <w:sz w:val="24"/>
          <w:szCs w:val="24"/>
        </w:rPr>
        <w:t>ë</w:t>
      </w:r>
      <w:r w:rsidRPr="005F3A4A">
        <w:rPr>
          <w:rFonts w:ascii="Times New Roman" w:hAnsi="Times New Roman" w:cs="Times New Roman"/>
          <w:noProof/>
          <w:sz w:val="24"/>
          <w:szCs w:val="24"/>
        </w:rPr>
        <w:t xml:space="preserve"> përmirësimit t</w:t>
      </w:r>
      <w:r w:rsidR="00A70F29" w:rsidRPr="005F3A4A">
        <w:rPr>
          <w:rFonts w:ascii="Times New Roman" w:hAnsi="Times New Roman" w:cs="Times New Roman"/>
          <w:noProof/>
          <w:sz w:val="24"/>
          <w:szCs w:val="24"/>
        </w:rPr>
        <w:t>ë</w:t>
      </w:r>
      <w:r w:rsidRPr="005F3A4A">
        <w:rPr>
          <w:rFonts w:ascii="Times New Roman" w:hAnsi="Times New Roman" w:cs="Times New Roman"/>
          <w:noProof/>
          <w:sz w:val="24"/>
          <w:szCs w:val="24"/>
        </w:rPr>
        <w:t xml:space="preserve"> performancë</w:t>
      </w:r>
      <w:r w:rsidR="00C95202" w:rsidRPr="005F3A4A">
        <w:rPr>
          <w:rFonts w:ascii="Times New Roman" w:hAnsi="Times New Roman" w:cs="Times New Roman"/>
          <w:noProof/>
          <w:sz w:val="24"/>
          <w:szCs w:val="24"/>
        </w:rPr>
        <w:t>s financiare</w:t>
      </w:r>
      <w:r w:rsidR="00F6040F">
        <w:rPr>
          <w:rFonts w:ascii="Times New Roman" w:hAnsi="Times New Roman" w:cs="Times New Roman"/>
          <w:noProof/>
          <w:sz w:val="24"/>
          <w:szCs w:val="24"/>
        </w:rPr>
        <w:t xml:space="preserve">, </w:t>
      </w:r>
      <w:r w:rsidR="00C95202" w:rsidRPr="005F3A4A">
        <w:rPr>
          <w:rFonts w:ascii="Times New Roman" w:hAnsi="Times New Roman" w:cs="Times New Roman"/>
          <w:noProof/>
          <w:sz w:val="24"/>
          <w:szCs w:val="24"/>
        </w:rPr>
        <w:t>rritjes së efic</w:t>
      </w:r>
      <w:r w:rsidRPr="005F3A4A">
        <w:rPr>
          <w:rFonts w:ascii="Times New Roman" w:hAnsi="Times New Roman" w:cs="Times New Roman"/>
          <w:noProof/>
          <w:sz w:val="24"/>
          <w:szCs w:val="24"/>
        </w:rPr>
        <w:t>encës</w:t>
      </w:r>
      <w:r w:rsidR="00F6040F">
        <w:rPr>
          <w:rFonts w:ascii="Times New Roman" w:hAnsi="Times New Roman" w:cs="Times New Roman"/>
          <w:noProof/>
          <w:sz w:val="24"/>
          <w:szCs w:val="24"/>
        </w:rPr>
        <w:t xml:space="preserve"> dhe mb</w:t>
      </w:r>
      <w:r w:rsidR="00B2242A">
        <w:rPr>
          <w:rFonts w:ascii="Times New Roman" w:hAnsi="Times New Roman" w:cs="Times New Roman"/>
          <w:noProof/>
          <w:sz w:val="24"/>
          <w:szCs w:val="24"/>
        </w:rPr>
        <w:t>ë</w:t>
      </w:r>
      <w:r w:rsidR="00F6040F">
        <w:rPr>
          <w:rFonts w:ascii="Times New Roman" w:hAnsi="Times New Roman" w:cs="Times New Roman"/>
          <w:noProof/>
          <w:sz w:val="24"/>
          <w:szCs w:val="24"/>
        </w:rPr>
        <w:t>shtetjes n</w:t>
      </w:r>
      <w:r w:rsidR="00B2242A">
        <w:rPr>
          <w:rFonts w:ascii="Times New Roman" w:hAnsi="Times New Roman" w:cs="Times New Roman"/>
          <w:noProof/>
          <w:sz w:val="24"/>
          <w:szCs w:val="24"/>
        </w:rPr>
        <w:t>ë</w:t>
      </w:r>
      <w:r w:rsidR="00F6040F">
        <w:rPr>
          <w:rFonts w:ascii="Times New Roman" w:hAnsi="Times New Roman" w:cs="Times New Roman"/>
          <w:noProof/>
          <w:sz w:val="24"/>
          <w:szCs w:val="24"/>
        </w:rPr>
        <w:t xml:space="preserve"> kuad</w:t>
      </w:r>
      <w:r w:rsidR="00B2242A">
        <w:rPr>
          <w:rFonts w:ascii="Times New Roman" w:hAnsi="Times New Roman" w:cs="Times New Roman"/>
          <w:noProof/>
          <w:sz w:val="24"/>
          <w:szCs w:val="24"/>
        </w:rPr>
        <w:t>ë</w:t>
      </w:r>
      <w:r w:rsidR="00F6040F">
        <w:rPr>
          <w:rFonts w:ascii="Times New Roman" w:hAnsi="Times New Roman" w:cs="Times New Roman"/>
          <w:noProof/>
          <w:sz w:val="24"/>
          <w:szCs w:val="24"/>
        </w:rPr>
        <w:t>r t</w:t>
      </w:r>
      <w:r w:rsidR="00B2242A">
        <w:rPr>
          <w:rFonts w:ascii="Times New Roman" w:hAnsi="Times New Roman" w:cs="Times New Roman"/>
          <w:noProof/>
          <w:sz w:val="24"/>
          <w:szCs w:val="24"/>
        </w:rPr>
        <w:t>ë</w:t>
      </w:r>
      <w:r w:rsidR="00F6040F">
        <w:rPr>
          <w:rFonts w:ascii="Times New Roman" w:hAnsi="Times New Roman" w:cs="Times New Roman"/>
          <w:noProof/>
          <w:sz w:val="24"/>
          <w:szCs w:val="24"/>
        </w:rPr>
        <w:t xml:space="preserve"> shpaljes s</w:t>
      </w:r>
      <w:r w:rsidR="00B2242A">
        <w:rPr>
          <w:rFonts w:ascii="Times New Roman" w:hAnsi="Times New Roman" w:cs="Times New Roman"/>
          <w:noProof/>
          <w:sz w:val="24"/>
          <w:szCs w:val="24"/>
        </w:rPr>
        <w:t>ë</w:t>
      </w:r>
      <w:r w:rsidR="00F6040F">
        <w:rPr>
          <w:rFonts w:ascii="Times New Roman" w:hAnsi="Times New Roman" w:cs="Times New Roman"/>
          <w:noProof/>
          <w:sz w:val="24"/>
          <w:szCs w:val="24"/>
        </w:rPr>
        <w:t xml:space="preserve"> gjendjes s</w:t>
      </w:r>
      <w:r w:rsidR="00B2242A">
        <w:rPr>
          <w:rFonts w:ascii="Times New Roman" w:hAnsi="Times New Roman" w:cs="Times New Roman"/>
          <w:noProof/>
          <w:sz w:val="24"/>
          <w:szCs w:val="24"/>
        </w:rPr>
        <w:t>ë</w:t>
      </w:r>
      <w:r w:rsidR="00F6040F">
        <w:rPr>
          <w:rFonts w:ascii="Times New Roman" w:hAnsi="Times New Roman" w:cs="Times New Roman"/>
          <w:noProof/>
          <w:sz w:val="24"/>
          <w:szCs w:val="24"/>
        </w:rPr>
        <w:t xml:space="preserve"> emergjenc</w:t>
      </w:r>
      <w:r w:rsidR="00B2242A">
        <w:rPr>
          <w:rFonts w:ascii="Times New Roman" w:hAnsi="Times New Roman" w:cs="Times New Roman"/>
          <w:noProof/>
          <w:sz w:val="24"/>
          <w:szCs w:val="24"/>
        </w:rPr>
        <w:t>ë</w:t>
      </w:r>
      <w:r w:rsidR="00F6040F">
        <w:rPr>
          <w:rFonts w:ascii="Times New Roman" w:hAnsi="Times New Roman" w:cs="Times New Roman"/>
          <w:noProof/>
          <w:sz w:val="24"/>
          <w:szCs w:val="24"/>
        </w:rPr>
        <w:t>s n</w:t>
      </w:r>
      <w:r w:rsidR="00B2242A">
        <w:rPr>
          <w:rFonts w:ascii="Times New Roman" w:hAnsi="Times New Roman" w:cs="Times New Roman"/>
          <w:noProof/>
          <w:sz w:val="24"/>
          <w:szCs w:val="24"/>
        </w:rPr>
        <w:t>ë</w:t>
      </w:r>
      <w:r w:rsidR="00F6040F">
        <w:rPr>
          <w:rFonts w:ascii="Times New Roman" w:hAnsi="Times New Roman" w:cs="Times New Roman"/>
          <w:noProof/>
          <w:sz w:val="24"/>
          <w:szCs w:val="24"/>
        </w:rPr>
        <w:t xml:space="preserve"> furnizimin me energji elektrike</w:t>
      </w:r>
      <w:r w:rsidRPr="005F3A4A">
        <w:rPr>
          <w:rFonts w:ascii="Times New Roman" w:hAnsi="Times New Roman" w:cs="Times New Roman"/>
          <w:noProof/>
          <w:sz w:val="24"/>
          <w:szCs w:val="24"/>
        </w:rPr>
        <w:t>.</w:t>
      </w:r>
      <w:r w:rsidR="00EF7CCE" w:rsidRPr="005F3A4A">
        <w:rPr>
          <w:rFonts w:ascii="Times New Roman" w:hAnsi="Times New Roman" w:cs="Times New Roman"/>
          <w:noProof/>
          <w:sz w:val="24"/>
          <w:szCs w:val="24"/>
        </w:rPr>
        <w:t xml:space="preserve"> Gjithashtu një p</w:t>
      </w:r>
      <w:r w:rsidR="005F3A4A">
        <w:rPr>
          <w:rFonts w:ascii="Times New Roman" w:hAnsi="Times New Roman" w:cs="Times New Roman"/>
          <w:noProof/>
          <w:sz w:val="24"/>
          <w:szCs w:val="24"/>
        </w:rPr>
        <w:t xml:space="preserve">eshë të konsiderueshme prej </w:t>
      </w:r>
      <w:r w:rsidR="00B02FCC">
        <w:rPr>
          <w:rFonts w:ascii="Times New Roman" w:hAnsi="Times New Roman" w:cs="Times New Roman"/>
          <w:noProof/>
          <w:sz w:val="24"/>
          <w:szCs w:val="24"/>
        </w:rPr>
        <w:t>17.4</w:t>
      </w:r>
      <w:r w:rsidR="00EF7CCE" w:rsidRPr="005F3A4A">
        <w:rPr>
          <w:rFonts w:ascii="Times New Roman" w:hAnsi="Times New Roman" w:cs="Times New Roman"/>
          <w:noProof/>
          <w:sz w:val="24"/>
          <w:szCs w:val="24"/>
        </w:rPr>
        <w:t>% në portofolin e borxhit të garantuar, zenë dy skemat e garancive sovrane të emetuara për të mbështetur biznesin në situatën e pandemisë.</w:t>
      </w:r>
    </w:p>
    <w:p w:rsidR="00AA203D" w:rsidRPr="00EE7E9F" w:rsidRDefault="00AA203D" w:rsidP="00B92540">
      <w:pPr>
        <w:tabs>
          <w:tab w:val="left" w:pos="270"/>
        </w:tabs>
        <w:spacing w:after="0" w:line="276" w:lineRule="auto"/>
        <w:ind w:right="-188"/>
        <w:jc w:val="both"/>
        <w:rPr>
          <w:rFonts w:ascii="Times New Roman" w:hAnsi="Times New Roman" w:cs="Times New Roman"/>
          <w:noProof/>
          <w:sz w:val="20"/>
          <w:szCs w:val="20"/>
          <w:highlight w:val="yellow"/>
        </w:rPr>
      </w:pPr>
    </w:p>
    <w:p w:rsidR="00AA203D" w:rsidRPr="005F3A4A" w:rsidRDefault="00AA203D" w:rsidP="00B92540">
      <w:pPr>
        <w:spacing w:after="0" w:line="276" w:lineRule="auto"/>
        <w:ind w:right="-188"/>
        <w:jc w:val="center"/>
        <w:rPr>
          <w:rFonts w:ascii="Cambria" w:eastAsia="Calibri" w:hAnsi="Cambria" w:cs="Times New Roman"/>
          <w:i/>
          <w:noProof/>
          <w:sz w:val="20"/>
          <w:szCs w:val="20"/>
        </w:rPr>
      </w:pPr>
      <w:r w:rsidRPr="005F3A4A">
        <w:rPr>
          <w:rFonts w:ascii="Cambria" w:eastAsia="Calibri" w:hAnsi="Cambria" w:cs="Times New Roman"/>
          <w:b/>
          <w:noProof/>
          <w:sz w:val="20"/>
          <w:szCs w:val="20"/>
        </w:rPr>
        <w:t>Paraqitje Grafike 3 (b):</w:t>
      </w:r>
      <w:r w:rsidRPr="005F3A4A">
        <w:rPr>
          <w:rFonts w:ascii="Cambria" w:eastAsia="Batang" w:hAnsi="Cambria" w:cs="Times New Roman"/>
          <w:b/>
          <w:noProof/>
        </w:rPr>
        <w:t xml:space="preserve"> </w:t>
      </w:r>
      <w:r w:rsidRPr="005F3A4A">
        <w:rPr>
          <w:rFonts w:ascii="Cambria" w:eastAsia="Calibri" w:hAnsi="Cambria" w:cs="Times New Roman"/>
          <w:i/>
          <w:noProof/>
          <w:sz w:val="20"/>
          <w:szCs w:val="20"/>
        </w:rPr>
        <w:t>Garancitë shtetërore sipa</w:t>
      </w:r>
      <w:r w:rsidR="005F3A4A" w:rsidRPr="005F3A4A">
        <w:rPr>
          <w:rFonts w:ascii="Cambria" w:eastAsia="Calibri" w:hAnsi="Cambria" w:cs="Times New Roman"/>
          <w:i/>
          <w:noProof/>
          <w:sz w:val="20"/>
          <w:szCs w:val="20"/>
        </w:rPr>
        <w:t>s sektorëve ekonomikë (2017</w:t>
      </w:r>
      <w:r w:rsidRPr="005F3A4A">
        <w:rPr>
          <w:rFonts w:ascii="Cambria" w:hAnsi="Cambria" w:cs="Times New Roman"/>
          <w:i/>
          <w:noProof/>
          <w:sz w:val="20"/>
          <w:szCs w:val="20"/>
        </w:rPr>
        <w:t>–</w:t>
      </w:r>
      <w:r w:rsidR="00263448" w:rsidRPr="005F3A4A">
        <w:rPr>
          <w:rFonts w:ascii="Cambria" w:hAnsi="Cambria" w:cs="Times New Roman"/>
          <w:i/>
          <w:noProof/>
          <w:sz w:val="20"/>
          <w:szCs w:val="20"/>
        </w:rPr>
        <w:t xml:space="preserve"> </w:t>
      </w:r>
      <w:r w:rsidR="00263448" w:rsidRPr="005F3A4A">
        <w:rPr>
          <w:rFonts w:ascii="Cambria" w:eastAsia="Calibri" w:hAnsi="Cambria" w:cs="Times New Roman"/>
          <w:i/>
          <w:noProof/>
          <w:sz w:val="20"/>
          <w:szCs w:val="20"/>
        </w:rPr>
        <w:t>202</w:t>
      </w:r>
      <w:r w:rsidR="00BF54BB" w:rsidRPr="005F3A4A">
        <w:rPr>
          <w:rFonts w:ascii="Cambria" w:eastAsia="Calibri" w:hAnsi="Cambria" w:cs="Times New Roman"/>
          <w:i/>
          <w:noProof/>
          <w:sz w:val="20"/>
          <w:szCs w:val="20"/>
        </w:rPr>
        <w:t>1</w:t>
      </w:r>
      <w:r w:rsidRPr="005F3A4A">
        <w:rPr>
          <w:rFonts w:ascii="Cambria" w:eastAsia="Calibri" w:hAnsi="Cambria" w:cs="Times New Roman"/>
          <w:i/>
          <w:noProof/>
          <w:sz w:val="20"/>
          <w:szCs w:val="20"/>
        </w:rPr>
        <w:t>)</w:t>
      </w:r>
    </w:p>
    <w:p w:rsidR="00EF7CCE" w:rsidRPr="00EE7E9F" w:rsidRDefault="00F6040F" w:rsidP="00B92540">
      <w:pPr>
        <w:spacing w:after="0" w:line="276" w:lineRule="auto"/>
        <w:ind w:right="-188"/>
        <w:jc w:val="center"/>
        <w:rPr>
          <w:rFonts w:ascii="Cambria" w:eastAsia="Calibri" w:hAnsi="Cambria" w:cs="Times New Roman"/>
          <w:i/>
          <w:noProof/>
          <w:sz w:val="20"/>
          <w:szCs w:val="20"/>
          <w:highlight w:val="yellow"/>
        </w:rPr>
      </w:pPr>
      <w:r w:rsidRPr="00FB2E3B">
        <w:rPr>
          <w:rFonts w:ascii="Cambria" w:eastAsia="Calibri" w:hAnsi="Cambria" w:cs="Times New Roman"/>
          <w:i/>
          <w:noProof/>
          <w:sz w:val="20"/>
          <w:szCs w:val="20"/>
          <w:lang w:val="en-US"/>
        </w:rPr>
        <w:drawing>
          <wp:inline distT="0" distB="0" distL="0" distR="0" wp14:anchorId="0CBCA149" wp14:editId="3B841EE6">
            <wp:extent cx="5731510" cy="2216505"/>
            <wp:effectExtent l="0" t="0" r="2540" b="12700"/>
            <wp:docPr id="48" name="Chart 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F02F54" w:rsidRPr="00EE7E9F" w:rsidRDefault="00AA203D" w:rsidP="005F3A4A">
      <w:pPr>
        <w:spacing w:after="0" w:line="276" w:lineRule="auto"/>
        <w:ind w:right="-188"/>
        <w:jc w:val="center"/>
        <w:rPr>
          <w:rFonts w:ascii="Cambria" w:hAnsi="Cambria" w:cs="Times New Roman"/>
          <w:i/>
          <w:noProof/>
          <w:sz w:val="20"/>
          <w:szCs w:val="20"/>
          <w:highlight w:val="yellow"/>
        </w:rPr>
      </w:pPr>
      <w:r w:rsidRPr="005F3A4A">
        <w:rPr>
          <w:rFonts w:ascii="Cambria" w:hAnsi="Cambria" w:cs="Times New Roman"/>
          <w:b/>
          <w:noProof/>
          <w:sz w:val="20"/>
          <w:szCs w:val="20"/>
        </w:rPr>
        <w:t xml:space="preserve">Burimi: </w:t>
      </w:r>
      <w:r w:rsidRPr="005F3A4A">
        <w:rPr>
          <w:rFonts w:ascii="Cambria" w:hAnsi="Cambria" w:cs="Times New Roman"/>
          <w:i/>
          <w:noProof/>
          <w:sz w:val="20"/>
          <w:szCs w:val="20"/>
        </w:rPr>
        <w:t>Ministria e Financave dhe Ekonomisë (202</w:t>
      </w:r>
      <w:r w:rsidR="00F6040F">
        <w:rPr>
          <w:rFonts w:ascii="Cambria" w:hAnsi="Cambria" w:cs="Times New Roman"/>
          <w:i/>
          <w:noProof/>
          <w:sz w:val="20"/>
          <w:szCs w:val="20"/>
        </w:rPr>
        <w:t>2</w:t>
      </w:r>
      <w:r w:rsidRPr="005F3A4A">
        <w:rPr>
          <w:rFonts w:ascii="Cambria" w:hAnsi="Cambria" w:cs="Times New Roman"/>
          <w:i/>
          <w:noProof/>
          <w:sz w:val="20"/>
          <w:szCs w:val="20"/>
        </w:rPr>
        <w:t>)</w:t>
      </w:r>
    </w:p>
    <w:p w:rsidR="00785F2A" w:rsidRPr="000B4CF5" w:rsidRDefault="00B1244A" w:rsidP="00B92540">
      <w:pPr>
        <w:pStyle w:val="Heading1"/>
        <w:numPr>
          <w:ilvl w:val="0"/>
          <w:numId w:val="5"/>
        </w:numPr>
        <w:spacing w:before="0" w:after="240" w:line="276" w:lineRule="auto"/>
        <w:ind w:left="426" w:right="-188" w:hanging="426"/>
        <w:jc w:val="both"/>
        <w:rPr>
          <w:rFonts w:ascii="Cambria" w:hAnsi="Cambria"/>
          <w:sz w:val="24"/>
          <w:szCs w:val="24"/>
        </w:rPr>
      </w:pPr>
      <w:bookmarkStart w:id="8" w:name="_Toc34645064"/>
      <w:r w:rsidRPr="000B4CF5">
        <w:rPr>
          <w:rFonts w:ascii="Cambria" w:hAnsi="Cambria"/>
          <w:sz w:val="24"/>
          <w:szCs w:val="24"/>
        </w:rPr>
        <w:t>Huamarrj</w:t>
      </w:r>
      <w:r w:rsidR="003C1892" w:rsidRPr="000B4CF5">
        <w:rPr>
          <w:rFonts w:ascii="Cambria" w:hAnsi="Cambria"/>
          <w:sz w:val="24"/>
          <w:szCs w:val="24"/>
        </w:rPr>
        <w:t>a</w:t>
      </w:r>
      <w:bookmarkEnd w:id="8"/>
    </w:p>
    <w:p w:rsidR="004461D8" w:rsidRPr="00FB2E3B" w:rsidRDefault="008F4B9F" w:rsidP="00FB2E3B">
      <w:pPr>
        <w:tabs>
          <w:tab w:val="left" w:pos="8789"/>
        </w:tabs>
        <w:spacing w:after="0" w:line="276" w:lineRule="auto"/>
        <w:ind w:right="-188"/>
        <w:jc w:val="both"/>
        <w:rPr>
          <w:rFonts w:ascii="Times New Roman" w:hAnsi="Times New Roman" w:cs="Times New Roman"/>
          <w:noProof/>
          <w:sz w:val="24"/>
          <w:szCs w:val="24"/>
        </w:rPr>
      </w:pPr>
      <w:r w:rsidRPr="00FB2E3B">
        <w:rPr>
          <w:rFonts w:ascii="Times New Roman" w:hAnsi="Times New Roman" w:cs="Times New Roman"/>
          <w:noProof/>
          <w:sz w:val="24"/>
          <w:szCs w:val="24"/>
        </w:rPr>
        <w:t xml:space="preserve">Gjatë vitit 2021, nevojat për hua vijuan të jenë të larta në krahasim me periudha të zakonshme, si rezultat i situatës së </w:t>
      </w:r>
      <w:r w:rsidR="00B36824">
        <w:rPr>
          <w:rFonts w:ascii="Times New Roman" w:hAnsi="Times New Roman" w:cs="Times New Roman"/>
          <w:noProof/>
          <w:sz w:val="24"/>
          <w:szCs w:val="24"/>
        </w:rPr>
        <w:t>krijuar pas t</w:t>
      </w:r>
      <w:r w:rsidR="00B2242A">
        <w:rPr>
          <w:rFonts w:ascii="Times New Roman" w:hAnsi="Times New Roman" w:cs="Times New Roman"/>
          <w:noProof/>
          <w:sz w:val="24"/>
          <w:szCs w:val="24"/>
        </w:rPr>
        <w:t>ë</w:t>
      </w:r>
      <w:r w:rsidR="00B36824">
        <w:rPr>
          <w:rFonts w:ascii="Times New Roman" w:hAnsi="Times New Roman" w:cs="Times New Roman"/>
          <w:noProof/>
          <w:sz w:val="24"/>
          <w:szCs w:val="24"/>
        </w:rPr>
        <w:t>rmetit t</w:t>
      </w:r>
      <w:r w:rsidR="00B2242A">
        <w:rPr>
          <w:rFonts w:ascii="Times New Roman" w:hAnsi="Times New Roman" w:cs="Times New Roman"/>
          <w:noProof/>
          <w:sz w:val="24"/>
          <w:szCs w:val="24"/>
        </w:rPr>
        <w:t>ë</w:t>
      </w:r>
      <w:r w:rsidR="00B36824">
        <w:rPr>
          <w:rFonts w:ascii="Times New Roman" w:hAnsi="Times New Roman" w:cs="Times New Roman"/>
          <w:noProof/>
          <w:sz w:val="24"/>
          <w:szCs w:val="24"/>
        </w:rPr>
        <w:t xml:space="preserve"> vitit 2019, </w:t>
      </w:r>
      <w:r w:rsidRPr="00FB2E3B">
        <w:rPr>
          <w:rFonts w:ascii="Times New Roman" w:hAnsi="Times New Roman" w:cs="Times New Roman"/>
          <w:noProof/>
          <w:sz w:val="24"/>
          <w:szCs w:val="24"/>
        </w:rPr>
        <w:t>pandemisë Covid-19, si dhe nevojës për të stimuluar rimëkëmbjen e ekonomisë pas rënies së madhe që pati në vitin 2020. Pavarësisht nevojave për financim të rritura, huamarrja ka arritur të përmbush plotësisht nevojat buxhetore, si edhe të gjitha nevojat që burojnë nga detyrimet e borxhit ekzistues.</w:t>
      </w:r>
    </w:p>
    <w:p w:rsidR="004461D8" w:rsidRPr="00EE7E9F" w:rsidRDefault="004461D8" w:rsidP="004461D8">
      <w:pPr>
        <w:pStyle w:val="ListParagraph"/>
        <w:tabs>
          <w:tab w:val="left" w:pos="8789"/>
        </w:tabs>
        <w:spacing w:after="0" w:line="276" w:lineRule="auto"/>
        <w:ind w:left="0" w:right="-188"/>
        <w:jc w:val="both"/>
        <w:rPr>
          <w:rFonts w:ascii="Times New Roman" w:hAnsi="Times New Roman" w:cs="Times New Roman"/>
          <w:noProof/>
          <w:sz w:val="16"/>
          <w:szCs w:val="16"/>
          <w:highlight w:val="yellow"/>
        </w:rPr>
      </w:pPr>
    </w:p>
    <w:p w:rsidR="004461D8" w:rsidRPr="00FB2E3B" w:rsidRDefault="004461D8" w:rsidP="004461D8">
      <w:pPr>
        <w:pStyle w:val="ListParagraph"/>
        <w:tabs>
          <w:tab w:val="left" w:pos="8789"/>
        </w:tabs>
        <w:spacing w:after="0" w:line="276" w:lineRule="auto"/>
        <w:ind w:left="0" w:right="-188"/>
        <w:jc w:val="both"/>
        <w:rPr>
          <w:rFonts w:ascii="Times New Roman" w:hAnsi="Times New Roman" w:cs="Times New Roman"/>
          <w:noProof/>
          <w:sz w:val="24"/>
          <w:szCs w:val="24"/>
        </w:rPr>
      </w:pPr>
      <w:r w:rsidRPr="00FB2E3B">
        <w:rPr>
          <w:rFonts w:ascii="Times New Roman" w:hAnsi="Times New Roman" w:cs="Times New Roman"/>
          <w:noProof/>
          <w:sz w:val="24"/>
          <w:szCs w:val="24"/>
        </w:rPr>
        <w:t xml:space="preserve">Huamarrja në terma bruto u realizua në vlerën </w:t>
      </w:r>
      <w:r w:rsidR="008F4B9F" w:rsidRPr="00FB2E3B">
        <w:rPr>
          <w:rFonts w:ascii="Times New Roman" w:hAnsi="Times New Roman" w:cs="Times New Roman"/>
          <w:noProof/>
          <w:sz w:val="24"/>
          <w:szCs w:val="24"/>
        </w:rPr>
        <w:t xml:space="preserve">481.2 </w:t>
      </w:r>
      <w:r w:rsidRPr="00FB2E3B">
        <w:rPr>
          <w:rFonts w:ascii="Times New Roman" w:hAnsi="Times New Roman" w:cs="Times New Roman"/>
          <w:noProof/>
          <w:sz w:val="24"/>
          <w:szCs w:val="24"/>
        </w:rPr>
        <w:t xml:space="preserve">miliard Lekë, nga të cilat </w:t>
      </w:r>
      <w:r w:rsidR="008F4B9F" w:rsidRPr="00FB2E3B">
        <w:rPr>
          <w:rFonts w:ascii="Times New Roman" w:hAnsi="Times New Roman" w:cs="Times New Roman"/>
          <w:noProof/>
          <w:sz w:val="24"/>
          <w:szCs w:val="24"/>
        </w:rPr>
        <w:t>71.7</w:t>
      </w:r>
      <w:r w:rsidRPr="00FB2E3B">
        <w:rPr>
          <w:rFonts w:ascii="Times New Roman" w:hAnsi="Times New Roman" w:cs="Times New Roman"/>
          <w:noProof/>
          <w:sz w:val="24"/>
          <w:szCs w:val="24"/>
        </w:rPr>
        <w:t>% (</w:t>
      </w:r>
      <w:r w:rsidRPr="00FB2E3B">
        <w:rPr>
          <w:rFonts w:ascii="Times New Roman" w:hAnsi="Times New Roman" w:cs="Times New Roman"/>
          <w:i/>
          <w:noProof/>
          <w:sz w:val="24"/>
          <w:szCs w:val="24"/>
        </w:rPr>
        <w:t xml:space="preserve">ose </w:t>
      </w:r>
      <w:r w:rsidR="008F4B9F" w:rsidRPr="00FB2E3B">
        <w:rPr>
          <w:rFonts w:ascii="Times New Roman" w:hAnsi="Times New Roman" w:cs="Times New Roman"/>
          <w:i/>
          <w:noProof/>
          <w:sz w:val="24"/>
          <w:szCs w:val="24"/>
        </w:rPr>
        <w:t>345.1</w:t>
      </w:r>
      <w:r w:rsidRPr="00FB2E3B">
        <w:rPr>
          <w:rFonts w:ascii="Times New Roman" w:hAnsi="Times New Roman" w:cs="Times New Roman"/>
          <w:i/>
          <w:noProof/>
          <w:sz w:val="24"/>
          <w:szCs w:val="24"/>
        </w:rPr>
        <w:t xml:space="preserve"> miliard Lekë</w:t>
      </w:r>
      <w:r w:rsidRPr="00FB2E3B">
        <w:rPr>
          <w:rFonts w:ascii="Times New Roman" w:hAnsi="Times New Roman" w:cs="Times New Roman"/>
          <w:noProof/>
          <w:sz w:val="24"/>
          <w:szCs w:val="24"/>
        </w:rPr>
        <w:t xml:space="preserve">) u financuan nëpërmjet burimeve të brendshme dhe </w:t>
      </w:r>
      <w:r w:rsidR="008F4B9F" w:rsidRPr="00FB2E3B">
        <w:rPr>
          <w:rFonts w:ascii="Times New Roman" w:hAnsi="Times New Roman" w:cs="Times New Roman"/>
          <w:noProof/>
          <w:sz w:val="24"/>
          <w:szCs w:val="24"/>
        </w:rPr>
        <w:t>28.3</w:t>
      </w:r>
      <w:r w:rsidR="005F3A4A" w:rsidRPr="00FB2E3B">
        <w:rPr>
          <w:rFonts w:ascii="Times New Roman" w:hAnsi="Times New Roman" w:cs="Times New Roman"/>
          <w:noProof/>
          <w:sz w:val="24"/>
          <w:szCs w:val="24"/>
        </w:rPr>
        <w:t>% (</w:t>
      </w:r>
      <w:r w:rsidR="005F3A4A" w:rsidRPr="00FB2E3B">
        <w:rPr>
          <w:rFonts w:ascii="Times New Roman" w:hAnsi="Times New Roman" w:cs="Times New Roman"/>
          <w:i/>
          <w:noProof/>
          <w:sz w:val="24"/>
          <w:szCs w:val="24"/>
        </w:rPr>
        <w:t xml:space="preserve">ose </w:t>
      </w:r>
      <w:r w:rsidR="008F4B9F" w:rsidRPr="00FB2E3B">
        <w:rPr>
          <w:rFonts w:ascii="Times New Roman" w:hAnsi="Times New Roman" w:cs="Times New Roman"/>
          <w:i/>
          <w:noProof/>
          <w:sz w:val="24"/>
          <w:szCs w:val="24"/>
        </w:rPr>
        <w:t>136.1</w:t>
      </w:r>
      <w:r w:rsidRPr="00FB2E3B">
        <w:rPr>
          <w:rFonts w:ascii="Times New Roman" w:hAnsi="Times New Roman" w:cs="Times New Roman"/>
          <w:i/>
          <w:noProof/>
          <w:sz w:val="24"/>
          <w:szCs w:val="24"/>
        </w:rPr>
        <w:t xml:space="preserve"> miliard Lekë</w:t>
      </w:r>
      <w:r w:rsidRPr="00FB2E3B">
        <w:rPr>
          <w:rFonts w:ascii="Times New Roman" w:hAnsi="Times New Roman" w:cs="Times New Roman"/>
          <w:noProof/>
          <w:sz w:val="24"/>
          <w:szCs w:val="24"/>
        </w:rPr>
        <w:t xml:space="preserve">) nëpërmjet burimeve të huaja. </w:t>
      </w:r>
    </w:p>
    <w:p w:rsidR="004461D8" w:rsidRPr="00704F7A" w:rsidRDefault="004461D8" w:rsidP="004461D8">
      <w:pPr>
        <w:pStyle w:val="ListParagraph"/>
        <w:tabs>
          <w:tab w:val="left" w:pos="8789"/>
        </w:tabs>
        <w:spacing w:after="0" w:line="276" w:lineRule="auto"/>
        <w:ind w:right="-188"/>
        <w:jc w:val="both"/>
        <w:rPr>
          <w:rFonts w:ascii="Times New Roman" w:hAnsi="Times New Roman" w:cs="Times New Roman"/>
          <w:noProof/>
          <w:sz w:val="16"/>
          <w:szCs w:val="16"/>
          <w:highlight w:val="yellow"/>
        </w:rPr>
      </w:pPr>
    </w:p>
    <w:p w:rsidR="00AA203D" w:rsidRPr="005F3A4A" w:rsidRDefault="004461D8" w:rsidP="004461D8">
      <w:pPr>
        <w:pStyle w:val="ListParagraph"/>
        <w:tabs>
          <w:tab w:val="left" w:pos="8789"/>
        </w:tabs>
        <w:spacing w:after="0" w:line="276" w:lineRule="auto"/>
        <w:ind w:left="0" w:right="-188"/>
        <w:jc w:val="both"/>
        <w:rPr>
          <w:rFonts w:ascii="Times New Roman" w:hAnsi="Times New Roman" w:cs="Times New Roman"/>
          <w:noProof/>
          <w:sz w:val="24"/>
          <w:szCs w:val="24"/>
        </w:rPr>
      </w:pPr>
      <w:r w:rsidRPr="00FB2E3B">
        <w:rPr>
          <w:rFonts w:ascii="Times New Roman" w:hAnsi="Times New Roman" w:cs="Times New Roman"/>
          <w:noProof/>
          <w:sz w:val="24"/>
          <w:szCs w:val="24"/>
        </w:rPr>
        <w:t xml:space="preserve">Rreth </w:t>
      </w:r>
      <w:r w:rsidR="008F4B9F" w:rsidRPr="00FB2E3B">
        <w:rPr>
          <w:rFonts w:ascii="Times New Roman" w:hAnsi="Times New Roman" w:cs="Times New Roman"/>
          <w:noProof/>
          <w:sz w:val="24"/>
          <w:szCs w:val="24"/>
        </w:rPr>
        <w:t>329.4</w:t>
      </w:r>
      <w:r w:rsidRPr="00FB2E3B">
        <w:rPr>
          <w:rFonts w:ascii="Times New Roman" w:hAnsi="Times New Roman" w:cs="Times New Roman"/>
          <w:noProof/>
          <w:sz w:val="24"/>
          <w:szCs w:val="24"/>
        </w:rPr>
        <w:t xml:space="preserve"> miliard Lekë shërbyen për rifinancimin e borxhit ekzistue</w:t>
      </w:r>
      <w:r w:rsidR="005F3A4A" w:rsidRPr="00FB2E3B">
        <w:rPr>
          <w:rFonts w:ascii="Times New Roman" w:hAnsi="Times New Roman" w:cs="Times New Roman"/>
          <w:noProof/>
          <w:sz w:val="24"/>
          <w:szCs w:val="24"/>
        </w:rPr>
        <w:t xml:space="preserve">s, ndërsa pjesa tjetër prej </w:t>
      </w:r>
      <w:r w:rsidR="008F4B9F" w:rsidRPr="00FB2E3B">
        <w:rPr>
          <w:rFonts w:ascii="Times New Roman" w:hAnsi="Times New Roman" w:cs="Times New Roman"/>
          <w:noProof/>
          <w:sz w:val="24"/>
          <w:szCs w:val="24"/>
        </w:rPr>
        <w:t>151.8</w:t>
      </w:r>
      <w:r w:rsidRPr="00FB2E3B">
        <w:rPr>
          <w:rFonts w:ascii="Times New Roman" w:hAnsi="Times New Roman" w:cs="Times New Roman"/>
          <w:noProof/>
          <w:sz w:val="24"/>
          <w:szCs w:val="24"/>
        </w:rPr>
        <w:t xml:space="preserve"> miliard Lekë, për mbulimin e nevojave të qeverisë për likuiditet</w:t>
      </w:r>
      <w:r w:rsidR="008F4B9F" w:rsidRPr="00FB2E3B">
        <w:rPr>
          <w:rFonts w:ascii="Times New Roman" w:hAnsi="Times New Roman" w:cs="Times New Roman"/>
          <w:noProof/>
          <w:sz w:val="24"/>
          <w:szCs w:val="24"/>
        </w:rPr>
        <w:t>,</w:t>
      </w:r>
      <w:r w:rsidRPr="00FB2E3B">
        <w:rPr>
          <w:rFonts w:ascii="Times New Roman" w:hAnsi="Times New Roman" w:cs="Times New Roman"/>
          <w:noProof/>
          <w:sz w:val="24"/>
          <w:szCs w:val="24"/>
        </w:rPr>
        <w:t xml:space="preserve"> mbulimin e deficitit buxhetor të planifikuar</w:t>
      </w:r>
      <w:r w:rsidR="008F4B9F" w:rsidRPr="00FB2E3B">
        <w:rPr>
          <w:rFonts w:ascii="Times New Roman" w:hAnsi="Times New Roman" w:cs="Times New Roman"/>
          <w:noProof/>
          <w:sz w:val="24"/>
          <w:szCs w:val="24"/>
        </w:rPr>
        <w:t xml:space="preserve"> si edhe parafinancimin e nevojave p</w:t>
      </w:r>
      <w:r w:rsidR="00FD335A">
        <w:rPr>
          <w:rFonts w:ascii="Times New Roman" w:hAnsi="Times New Roman" w:cs="Times New Roman"/>
          <w:noProof/>
          <w:sz w:val="24"/>
          <w:szCs w:val="24"/>
        </w:rPr>
        <w:t>ë</w:t>
      </w:r>
      <w:r w:rsidR="008F4B9F" w:rsidRPr="00FB2E3B">
        <w:rPr>
          <w:rFonts w:ascii="Times New Roman" w:hAnsi="Times New Roman" w:cs="Times New Roman"/>
          <w:noProof/>
          <w:sz w:val="24"/>
          <w:szCs w:val="24"/>
        </w:rPr>
        <w:t>r vitin 2022</w:t>
      </w:r>
      <w:r w:rsidRPr="00FB2E3B">
        <w:rPr>
          <w:rFonts w:ascii="Times New Roman" w:hAnsi="Times New Roman" w:cs="Times New Roman"/>
          <w:noProof/>
          <w:sz w:val="24"/>
          <w:szCs w:val="24"/>
        </w:rPr>
        <w:t>.</w:t>
      </w:r>
    </w:p>
    <w:p w:rsidR="004461D8" w:rsidRPr="00EE7E9F" w:rsidRDefault="004461D8" w:rsidP="004461D8">
      <w:pPr>
        <w:pStyle w:val="ListParagraph"/>
        <w:tabs>
          <w:tab w:val="left" w:pos="8789"/>
        </w:tabs>
        <w:spacing w:after="0" w:line="276" w:lineRule="auto"/>
        <w:ind w:left="0" w:right="-188"/>
        <w:jc w:val="both"/>
        <w:rPr>
          <w:rFonts w:ascii="Times New Roman" w:hAnsi="Times New Roman" w:cs="Times New Roman"/>
          <w:noProof/>
          <w:sz w:val="20"/>
          <w:szCs w:val="20"/>
          <w:highlight w:val="yellow"/>
        </w:rPr>
      </w:pPr>
    </w:p>
    <w:p w:rsidR="008E4B64" w:rsidRPr="00E04332" w:rsidRDefault="00AA203D" w:rsidP="008E4B64">
      <w:pPr>
        <w:pStyle w:val="Heading2"/>
        <w:numPr>
          <w:ilvl w:val="1"/>
          <w:numId w:val="5"/>
        </w:numPr>
        <w:spacing w:before="0" w:after="240" w:line="276" w:lineRule="auto"/>
        <w:ind w:left="0" w:right="-188" w:firstLine="0"/>
        <w:jc w:val="both"/>
        <w:rPr>
          <w:rFonts w:ascii="Cambria" w:hAnsi="Cambria"/>
          <w:noProof/>
          <w:szCs w:val="24"/>
        </w:rPr>
      </w:pPr>
      <w:bookmarkStart w:id="9" w:name="_Toc34645065"/>
      <w:r w:rsidRPr="00411BF1">
        <w:rPr>
          <w:rFonts w:ascii="Cambria" w:hAnsi="Cambria"/>
          <w:noProof/>
          <w:szCs w:val="24"/>
        </w:rPr>
        <w:t>Huamarrja e Brendshme</w:t>
      </w:r>
      <w:bookmarkEnd w:id="9"/>
    </w:p>
    <w:p w:rsidR="004461D8" w:rsidRPr="00EE7E9F" w:rsidRDefault="00704F7A" w:rsidP="004461D8">
      <w:pPr>
        <w:tabs>
          <w:tab w:val="left" w:pos="1182"/>
        </w:tabs>
        <w:spacing w:after="0" w:line="276" w:lineRule="auto"/>
        <w:ind w:right="-46"/>
        <w:jc w:val="both"/>
        <w:rPr>
          <w:rFonts w:ascii="Times New Roman" w:hAnsi="Times New Roman" w:cs="Times New Roman"/>
          <w:noProof/>
          <w:sz w:val="16"/>
          <w:szCs w:val="16"/>
          <w:highlight w:val="yellow"/>
        </w:rPr>
      </w:pPr>
      <w:r>
        <w:rPr>
          <w:rFonts w:ascii="Times New Roman" w:hAnsi="Times New Roman" w:cs="Times New Roman"/>
          <w:noProof/>
          <w:sz w:val="24"/>
          <w:szCs w:val="24"/>
        </w:rPr>
        <w:t xml:space="preserve">Gjatë </w:t>
      </w:r>
      <w:r w:rsidR="00B36824">
        <w:rPr>
          <w:rFonts w:ascii="Times New Roman" w:hAnsi="Times New Roman" w:cs="Times New Roman"/>
          <w:noProof/>
          <w:sz w:val="24"/>
          <w:szCs w:val="24"/>
        </w:rPr>
        <w:t>vitit</w:t>
      </w:r>
      <w:r w:rsidR="004461D8" w:rsidRPr="00411BF1">
        <w:rPr>
          <w:rFonts w:ascii="Times New Roman" w:hAnsi="Times New Roman" w:cs="Times New Roman"/>
          <w:noProof/>
          <w:sz w:val="24"/>
          <w:szCs w:val="24"/>
        </w:rPr>
        <w:t xml:space="preserve"> 2021, Ministria e Financave dhe Ekonomisë ka emetuar në tregun e brendshëm </w:t>
      </w:r>
      <w:r w:rsidR="008F4B9F" w:rsidRPr="008F4B9F">
        <w:rPr>
          <w:rFonts w:ascii="Times New Roman" w:hAnsi="Times New Roman" w:cs="Times New Roman"/>
          <w:noProof/>
          <w:sz w:val="24"/>
          <w:szCs w:val="24"/>
        </w:rPr>
        <w:t xml:space="preserve">tituj shtetërorë në vlerën 345.1 miliard Lekë, nga të cilat  296.3 miliard Lekë shërbyen për rifinancimin e titujve ekzistues. </w:t>
      </w:r>
    </w:p>
    <w:p w:rsidR="00D95BE8" w:rsidRPr="00411BF1" w:rsidRDefault="004461D8" w:rsidP="004461D8">
      <w:pPr>
        <w:tabs>
          <w:tab w:val="left" w:pos="1182"/>
        </w:tabs>
        <w:spacing w:after="0" w:line="276" w:lineRule="auto"/>
        <w:ind w:right="-46"/>
        <w:jc w:val="both"/>
        <w:rPr>
          <w:rFonts w:ascii="Times New Roman" w:hAnsi="Times New Roman" w:cs="Times New Roman"/>
          <w:noProof/>
          <w:sz w:val="24"/>
          <w:szCs w:val="24"/>
        </w:rPr>
      </w:pPr>
      <w:r w:rsidRPr="00411BF1">
        <w:rPr>
          <w:rFonts w:ascii="Times New Roman" w:hAnsi="Times New Roman" w:cs="Times New Roman"/>
          <w:noProof/>
          <w:sz w:val="24"/>
          <w:szCs w:val="24"/>
        </w:rPr>
        <w:t>Pavarësisht nevojave për hua në rritje dhe pasigurisë së krijuar në tregun e titujve shtetërorë pjesa më e madhe e borxhit të ri është huazuar nëpërmjet titujve afatgjatë (</w:t>
      </w:r>
      <w:r w:rsidRPr="00FB2E3B">
        <w:rPr>
          <w:rFonts w:ascii="Times New Roman" w:hAnsi="Times New Roman" w:cs="Times New Roman"/>
          <w:i/>
          <w:noProof/>
          <w:sz w:val="24"/>
          <w:szCs w:val="24"/>
        </w:rPr>
        <w:t xml:space="preserve">rreth </w:t>
      </w:r>
      <w:r w:rsidR="008F4B9F" w:rsidRPr="00FB2E3B">
        <w:rPr>
          <w:rFonts w:ascii="Times New Roman" w:hAnsi="Times New Roman" w:cs="Times New Roman"/>
          <w:i/>
          <w:noProof/>
          <w:sz w:val="24"/>
          <w:szCs w:val="24"/>
        </w:rPr>
        <w:t>96.6</w:t>
      </w:r>
      <w:r w:rsidR="000B4CF5" w:rsidRPr="00FB2E3B">
        <w:rPr>
          <w:rFonts w:ascii="Times New Roman" w:hAnsi="Times New Roman" w:cs="Times New Roman"/>
          <w:i/>
          <w:noProof/>
          <w:sz w:val="24"/>
          <w:szCs w:val="24"/>
        </w:rPr>
        <w:t>% e financimit neto</w:t>
      </w:r>
      <w:r w:rsidR="000B4CF5">
        <w:rPr>
          <w:rFonts w:ascii="Times New Roman" w:hAnsi="Times New Roman" w:cs="Times New Roman"/>
          <w:noProof/>
          <w:sz w:val="24"/>
          <w:szCs w:val="24"/>
        </w:rPr>
        <w:t>), duke qe</w:t>
      </w:r>
      <w:r w:rsidRPr="00411BF1">
        <w:rPr>
          <w:rFonts w:ascii="Times New Roman" w:hAnsi="Times New Roman" w:cs="Times New Roman"/>
          <w:noProof/>
          <w:sz w:val="24"/>
          <w:szCs w:val="24"/>
        </w:rPr>
        <w:t>në në linjë me objektivat strategjikë afatmesëm për reduktimin e riskut të rifinancimit dhe atij të normave të interesit.</w:t>
      </w:r>
    </w:p>
    <w:p w:rsidR="004461D8" w:rsidRPr="00EE7E9F" w:rsidRDefault="004461D8" w:rsidP="004461D8">
      <w:pPr>
        <w:tabs>
          <w:tab w:val="left" w:pos="1182"/>
        </w:tabs>
        <w:spacing w:after="0" w:line="276" w:lineRule="auto"/>
        <w:ind w:right="-46"/>
        <w:jc w:val="both"/>
        <w:rPr>
          <w:rFonts w:ascii="Times New Roman" w:hAnsi="Times New Roman" w:cs="Times New Roman"/>
          <w:noProof/>
          <w:sz w:val="16"/>
          <w:szCs w:val="16"/>
          <w:highlight w:val="yellow"/>
        </w:rPr>
      </w:pPr>
    </w:p>
    <w:p w:rsidR="00F36B8C" w:rsidRPr="00B9327B" w:rsidRDefault="00AA203D" w:rsidP="00D20E82">
      <w:pPr>
        <w:spacing w:after="0" w:line="240" w:lineRule="auto"/>
        <w:ind w:right="-188"/>
        <w:jc w:val="center"/>
        <w:rPr>
          <w:rFonts w:ascii="Cambria" w:eastAsia="Times New Roman" w:hAnsi="Cambria"/>
          <w:i/>
          <w:noProof/>
          <w:sz w:val="20"/>
          <w:szCs w:val="20"/>
        </w:rPr>
      </w:pPr>
      <w:r w:rsidRPr="00B9327B">
        <w:rPr>
          <w:rFonts w:ascii="Cambria" w:hAnsi="Cambria" w:cs="Times New Roman"/>
          <w:b/>
          <w:noProof/>
          <w:sz w:val="20"/>
          <w:szCs w:val="20"/>
        </w:rPr>
        <w:t xml:space="preserve">Tabela 4.1: </w:t>
      </w:r>
      <w:r w:rsidRPr="00B9327B">
        <w:rPr>
          <w:rFonts w:ascii="Cambria" w:eastAsia="Times New Roman" w:hAnsi="Cambria"/>
          <w:i/>
          <w:noProof/>
          <w:sz w:val="20"/>
          <w:szCs w:val="20"/>
        </w:rPr>
        <w:t xml:space="preserve">Huamarrja </w:t>
      </w:r>
      <w:r w:rsidR="00163842" w:rsidRPr="00B9327B">
        <w:rPr>
          <w:rFonts w:ascii="Cambria" w:eastAsia="Times New Roman" w:hAnsi="Cambria"/>
          <w:i/>
          <w:noProof/>
          <w:sz w:val="20"/>
          <w:szCs w:val="20"/>
        </w:rPr>
        <w:t>shtet</w:t>
      </w:r>
      <w:r w:rsidR="00E54CB1" w:rsidRPr="00B9327B">
        <w:rPr>
          <w:rFonts w:ascii="Cambria" w:eastAsia="Times New Roman" w:hAnsi="Cambria"/>
          <w:i/>
          <w:noProof/>
          <w:sz w:val="20"/>
          <w:szCs w:val="20"/>
        </w:rPr>
        <w:t>ë</w:t>
      </w:r>
      <w:r w:rsidR="00163842" w:rsidRPr="00B9327B">
        <w:rPr>
          <w:rFonts w:ascii="Cambria" w:eastAsia="Times New Roman" w:hAnsi="Cambria"/>
          <w:i/>
          <w:noProof/>
          <w:sz w:val="20"/>
          <w:szCs w:val="20"/>
        </w:rPr>
        <w:t>rore nga burim</w:t>
      </w:r>
      <w:r w:rsidRPr="00B9327B">
        <w:rPr>
          <w:rFonts w:ascii="Cambria" w:eastAsia="Times New Roman" w:hAnsi="Cambria"/>
          <w:i/>
          <w:noProof/>
          <w:sz w:val="20"/>
          <w:szCs w:val="20"/>
        </w:rPr>
        <w:t xml:space="preserve">e </w:t>
      </w:r>
      <w:r w:rsidR="00163842" w:rsidRPr="00B9327B">
        <w:rPr>
          <w:rFonts w:ascii="Cambria" w:eastAsia="Times New Roman" w:hAnsi="Cambria"/>
          <w:i/>
          <w:noProof/>
          <w:sz w:val="20"/>
          <w:szCs w:val="20"/>
        </w:rPr>
        <w:t>t</w:t>
      </w:r>
      <w:r w:rsidR="00E54CB1" w:rsidRPr="00B9327B">
        <w:rPr>
          <w:rFonts w:ascii="Cambria" w:eastAsia="Times New Roman" w:hAnsi="Cambria"/>
          <w:i/>
          <w:noProof/>
          <w:sz w:val="20"/>
          <w:szCs w:val="20"/>
        </w:rPr>
        <w:t>ë</w:t>
      </w:r>
      <w:r w:rsidR="00163842" w:rsidRPr="00B9327B">
        <w:rPr>
          <w:rFonts w:ascii="Cambria" w:eastAsia="Times New Roman" w:hAnsi="Cambria"/>
          <w:i/>
          <w:noProof/>
          <w:sz w:val="20"/>
          <w:szCs w:val="20"/>
        </w:rPr>
        <w:t xml:space="preserve"> </w:t>
      </w:r>
      <w:r w:rsidR="00F02F54" w:rsidRPr="00B9327B">
        <w:rPr>
          <w:rFonts w:ascii="Cambria" w:eastAsia="Times New Roman" w:hAnsi="Cambria"/>
          <w:i/>
          <w:noProof/>
          <w:sz w:val="20"/>
          <w:szCs w:val="20"/>
        </w:rPr>
        <w:t>brendshme</w:t>
      </w:r>
      <w:r w:rsidR="00163842" w:rsidRPr="00B9327B">
        <w:rPr>
          <w:rFonts w:ascii="Cambria" w:eastAsia="Times New Roman" w:hAnsi="Cambria"/>
          <w:i/>
          <w:noProof/>
          <w:sz w:val="20"/>
          <w:szCs w:val="20"/>
        </w:rPr>
        <w:t xml:space="preserve"> n</w:t>
      </w:r>
      <w:r w:rsidR="00E54CB1" w:rsidRPr="00B9327B">
        <w:rPr>
          <w:rFonts w:ascii="Cambria" w:eastAsia="Times New Roman" w:hAnsi="Cambria"/>
          <w:i/>
          <w:noProof/>
          <w:sz w:val="20"/>
          <w:szCs w:val="20"/>
        </w:rPr>
        <w:t>ë</w:t>
      </w:r>
      <w:r w:rsidR="00163842" w:rsidRPr="00B9327B">
        <w:rPr>
          <w:rFonts w:ascii="Cambria" w:eastAsia="Times New Roman" w:hAnsi="Cambria"/>
          <w:i/>
          <w:noProof/>
          <w:sz w:val="20"/>
          <w:szCs w:val="20"/>
        </w:rPr>
        <w:t xml:space="preserve"> terma neto dhe bruto</w:t>
      </w:r>
      <w:r w:rsidR="00F02F54" w:rsidRPr="00B9327B">
        <w:rPr>
          <w:rFonts w:ascii="Cambria" w:eastAsia="Times New Roman" w:hAnsi="Cambria"/>
          <w:i/>
          <w:noProof/>
          <w:sz w:val="20"/>
          <w:szCs w:val="20"/>
        </w:rPr>
        <w:t xml:space="preserve"> </w:t>
      </w:r>
    </w:p>
    <w:tbl>
      <w:tblPr>
        <w:tblW w:w="9126" w:type="dxa"/>
        <w:tblLook w:val="04A0" w:firstRow="1" w:lastRow="0" w:firstColumn="1" w:lastColumn="0" w:noHBand="0" w:noVBand="1"/>
      </w:tblPr>
      <w:tblGrid>
        <w:gridCol w:w="3636"/>
        <w:gridCol w:w="1254"/>
        <w:gridCol w:w="1321"/>
        <w:gridCol w:w="1411"/>
        <w:gridCol w:w="1504"/>
      </w:tblGrid>
      <w:tr w:rsidR="008F4B9F" w:rsidRPr="008F4B9F" w:rsidTr="00FB2E3B">
        <w:trPr>
          <w:trHeight w:val="222"/>
        </w:trPr>
        <w:tc>
          <w:tcPr>
            <w:tcW w:w="3636" w:type="dxa"/>
            <w:vMerge w:val="restart"/>
            <w:tcBorders>
              <w:top w:val="nil"/>
              <w:left w:val="nil"/>
              <w:bottom w:val="single" w:sz="8" w:space="0" w:color="FFFFFF"/>
              <w:right w:val="single" w:sz="8" w:space="0" w:color="FFFFFF"/>
            </w:tcBorders>
            <w:shd w:val="clear" w:color="000000" w:fill="4F81BD"/>
            <w:noWrap/>
            <w:vAlign w:val="center"/>
            <w:hideMark/>
          </w:tcPr>
          <w:p w:rsidR="008F4B9F" w:rsidRPr="00FB2E3B" w:rsidRDefault="008F4B9F" w:rsidP="008F4B9F">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Lloji i Titullit</w:t>
            </w:r>
          </w:p>
        </w:tc>
        <w:tc>
          <w:tcPr>
            <w:tcW w:w="5490" w:type="dxa"/>
            <w:gridSpan w:val="4"/>
            <w:tcBorders>
              <w:top w:val="nil"/>
              <w:left w:val="nil"/>
              <w:bottom w:val="single" w:sz="8" w:space="0" w:color="FFFFFF"/>
              <w:right w:val="single" w:sz="8" w:space="0" w:color="FFFFFF"/>
            </w:tcBorders>
            <w:shd w:val="clear" w:color="000000" w:fill="4F81BD"/>
            <w:noWrap/>
            <w:vAlign w:val="center"/>
            <w:hideMark/>
          </w:tcPr>
          <w:p w:rsidR="008F4B9F" w:rsidRPr="00FB2E3B" w:rsidRDefault="008F4B9F" w:rsidP="008F4B9F">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2021</w:t>
            </w:r>
          </w:p>
        </w:tc>
      </w:tr>
      <w:tr w:rsidR="008F4B9F" w:rsidRPr="008F4B9F" w:rsidTr="00FB2E3B">
        <w:trPr>
          <w:trHeight w:val="735"/>
        </w:trPr>
        <w:tc>
          <w:tcPr>
            <w:tcW w:w="3636" w:type="dxa"/>
            <w:vMerge/>
            <w:tcBorders>
              <w:top w:val="nil"/>
              <w:left w:val="nil"/>
              <w:bottom w:val="single" w:sz="8" w:space="0" w:color="FFFFFF"/>
              <w:right w:val="single" w:sz="8" w:space="0" w:color="FFFFFF"/>
            </w:tcBorders>
            <w:vAlign w:val="center"/>
            <w:hideMark/>
          </w:tcPr>
          <w:p w:rsidR="008F4B9F" w:rsidRPr="00FB2E3B" w:rsidRDefault="008F4B9F" w:rsidP="008F4B9F">
            <w:pPr>
              <w:spacing w:after="0" w:line="240" w:lineRule="auto"/>
              <w:rPr>
                <w:rFonts w:eastAsia="Times New Roman" w:cs="Times New Roman"/>
                <w:b/>
                <w:bCs/>
                <w:color w:val="FFFFFF"/>
                <w:sz w:val="18"/>
                <w:szCs w:val="18"/>
                <w:lang w:val="en-US"/>
              </w:rPr>
            </w:pPr>
          </w:p>
        </w:tc>
        <w:tc>
          <w:tcPr>
            <w:tcW w:w="1254" w:type="dxa"/>
            <w:tcBorders>
              <w:top w:val="single" w:sz="8" w:space="0" w:color="FFFFFF"/>
              <w:left w:val="nil"/>
              <w:bottom w:val="single" w:sz="8" w:space="0" w:color="FFFFFF"/>
              <w:right w:val="nil"/>
            </w:tcBorders>
            <w:shd w:val="clear" w:color="000000" w:fill="4F81BD"/>
            <w:vAlign w:val="center"/>
            <w:hideMark/>
          </w:tcPr>
          <w:p w:rsidR="008F4B9F" w:rsidRPr="00FB2E3B" w:rsidRDefault="008F4B9F" w:rsidP="008F4B9F">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 xml:space="preserve">Emetim                                          </w:t>
            </w:r>
            <w:r w:rsidRPr="00FB2E3B">
              <w:rPr>
                <w:rFonts w:eastAsia="Times New Roman" w:cs="Times New Roman"/>
                <w:i/>
                <w:iCs/>
                <w:color w:val="FFFFFF"/>
                <w:sz w:val="18"/>
                <w:szCs w:val="18"/>
                <w:lang w:val="en-US"/>
              </w:rPr>
              <w:t>(në mld Lekë)</w:t>
            </w:r>
          </w:p>
        </w:tc>
        <w:tc>
          <w:tcPr>
            <w:tcW w:w="1321" w:type="dxa"/>
            <w:tcBorders>
              <w:top w:val="single" w:sz="8" w:space="0" w:color="FFFFFF"/>
              <w:left w:val="single" w:sz="8" w:space="0" w:color="FFFFFF"/>
              <w:bottom w:val="single" w:sz="8" w:space="0" w:color="FFFFFF"/>
              <w:right w:val="nil"/>
            </w:tcBorders>
            <w:shd w:val="clear" w:color="000000" w:fill="4F81BD"/>
            <w:vAlign w:val="center"/>
            <w:hideMark/>
          </w:tcPr>
          <w:p w:rsidR="008F4B9F" w:rsidRPr="00FB2E3B" w:rsidRDefault="008F4B9F" w:rsidP="008F4B9F">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 xml:space="preserve">Maturim                                        </w:t>
            </w:r>
            <w:r w:rsidRPr="00FB2E3B">
              <w:rPr>
                <w:rFonts w:eastAsia="Times New Roman" w:cs="Times New Roman"/>
                <w:i/>
                <w:iCs/>
                <w:color w:val="FFFFFF"/>
                <w:sz w:val="18"/>
                <w:szCs w:val="18"/>
                <w:lang w:val="en-US"/>
              </w:rPr>
              <w:t>(në mld Lekë)</w:t>
            </w:r>
          </w:p>
        </w:tc>
        <w:tc>
          <w:tcPr>
            <w:tcW w:w="1411" w:type="dxa"/>
            <w:tcBorders>
              <w:top w:val="single" w:sz="8" w:space="0" w:color="FFFFFF"/>
              <w:left w:val="single" w:sz="8" w:space="0" w:color="FFFFFF"/>
              <w:bottom w:val="single" w:sz="8" w:space="0" w:color="FFFFFF"/>
              <w:right w:val="single" w:sz="8" w:space="0" w:color="FFFFFF"/>
            </w:tcBorders>
            <w:shd w:val="clear" w:color="000000" w:fill="4F81BD"/>
            <w:vAlign w:val="center"/>
            <w:hideMark/>
          </w:tcPr>
          <w:p w:rsidR="008F4B9F" w:rsidRPr="00FB2E3B" w:rsidRDefault="008F4B9F" w:rsidP="008F4B9F">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 xml:space="preserve">Huamarrja Neto                                       </w:t>
            </w:r>
            <w:r w:rsidRPr="00FB2E3B">
              <w:rPr>
                <w:rFonts w:eastAsia="Times New Roman" w:cs="Times New Roman"/>
                <w:i/>
                <w:iCs/>
                <w:color w:val="FFFFFF"/>
                <w:sz w:val="18"/>
                <w:szCs w:val="18"/>
                <w:lang w:val="en-US"/>
              </w:rPr>
              <w:t>(në mld Lekë)</w:t>
            </w:r>
          </w:p>
        </w:tc>
        <w:tc>
          <w:tcPr>
            <w:tcW w:w="1503" w:type="dxa"/>
            <w:tcBorders>
              <w:top w:val="single" w:sz="8" w:space="0" w:color="FFFFFF"/>
              <w:left w:val="nil"/>
              <w:bottom w:val="single" w:sz="8" w:space="0" w:color="FFFFFF"/>
              <w:right w:val="single" w:sz="8" w:space="0" w:color="FFFFFF"/>
            </w:tcBorders>
            <w:shd w:val="clear" w:color="000000" w:fill="4F81BD"/>
            <w:vAlign w:val="center"/>
            <w:hideMark/>
          </w:tcPr>
          <w:p w:rsidR="008F4B9F" w:rsidRPr="00FB2E3B" w:rsidRDefault="008F4B9F" w:rsidP="008F4B9F">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 xml:space="preserve">Huamarrja Neto                                       </w:t>
            </w:r>
            <w:r w:rsidRPr="00FB2E3B">
              <w:rPr>
                <w:rFonts w:eastAsia="Times New Roman" w:cs="Times New Roman"/>
                <w:i/>
                <w:iCs/>
                <w:color w:val="FFFFFF"/>
                <w:sz w:val="18"/>
                <w:szCs w:val="18"/>
                <w:lang w:val="en-US"/>
              </w:rPr>
              <w:t>(në %)</w:t>
            </w:r>
          </w:p>
        </w:tc>
      </w:tr>
      <w:tr w:rsidR="008F4B9F" w:rsidRPr="008F4B9F" w:rsidTr="00FB2E3B">
        <w:trPr>
          <w:trHeight w:val="213"/>
        </w:trPr>
        <w:tc>
          <w:tcPr>
            <w:tcW w:w="3636" w:type="dxa"/>
            <w:tcBorders>
              <w:top w:val="nil"/>
              <w:left w:val="nil"/>
              <w:bottom w:val="nil"/>
              <w:right w:val="single" w:sz="8" w:space="0" w:color="FFFFFF"/>
            </w:tcBorders>
            <w:shd w:val="clear" w:color="000000" w:fill="FFFFFF"/>
            <w:noWrap/>
            <w:vAlign w:val="bottom"/>
            <w:hideMark/>
          </w:tcPr>
          <w:p w:rsidR="008F4B9F" w:rsidRPr="00FB2E3B" w:rsidRDefault="008F4B9F" w:rsidP="008F4B9F">
            <w:pPr>
              <w:spacing w:after="0" w:line="240" w:lineRule="auto"/>
              <w:rPr>
                <w:rFonts w:eastAsia="Times New Roman" w:cs="Times New Roman"/>
                <w:b/>
                <w:bCs/>
                <w:sz w:val="18"/>
                <w:szCs w:val="18"/>
                <w:lang w:val="en-US"/>
              </w:rPr>
            </w:pPr>
            <w:r w:rsidRPr="00FB2E3B">
              <w:rPr>
                <w:rFonts w:eastAsia="Times New Roman" w:cs="Times New Roman"/>
                <w:b/>
                <w:bCs/>
                <w:sz w:val="18"/>
                <w:szCs w:val="18"/>
                <w:lang w:val="en-US"/>
              </w:rPr>
              <w:t>Tituj Afatshkurtër</w:t>
            </w:r>
          </w:p>
        </w:tc>
        <w:tc>
          <w:tcPr>
            <w:tcW w:w="1254"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215.8</w:t>
            </w:r>
          </w:p>
        </w:tc>
        <w:tc>
          <w:tcPr>
            <w:tcW w:w="132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214.2</w:t>
            </w:r>
          </w:p>
        </w:tc>
        <w:tc>
          <w:tcPr>
            <w:tcW w:w="141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1.7</w:t>
            </w:r>
          </w:p>
        </w:tc>
        <w:tc>
          <w:tcPr>
            <w:tcW w:w="1503"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3.4%</w:t>
            </w:r>
          </w:p>
        </w:tc>
      </w:tr>
      <w:tr w:rsidR="008F4B9F" w:rsidRPr="008F4B9F" w:rsidTr="00FB2E3B">
        <w:trPr>
          <w:trHeight w:val="213"/>
        </w:trPr>
        <w:tc>
          <w:tcPr>
            <w:tcW w:w="3636" w:type="dxa"/>
            <w:tcBorders>
              <w:top w:val="nil"/>
              <w:left w:val="nil"/>
              <w:bottom w:val="nil"/>
              <w:right w:val="single" w:sz="8" w:space="0" w:color="FFFFFF"/>
            </w:tcBorders>
            <w:shd w:val="clear" w:color="000000" w:fill="FFFFFF"/>
            <w:noWrap/>
            <w:vAlign w:val="bottom"/>
            <w:hideMark/>
          </w:tcPr>
          <w:p w:rsidR="008F4B9F" w:rsidRPr="00FB2E3B" w:rsidRDefault="008F4B9F" w:rsidP="008F4B9F">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Bono Thesari në Lekë</w:t>
            </w:r>
          </w:p>
        </w:tc>
        <w:tc>
          <w:tcPr>
            <w:tcW w:w="1254"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215.8</w:t>
            </w:r>
          </w:p>
        </w:tc>
        <w:tc>
          <w:tcPr>
            <w:tcW w:w="132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214.2</w:t>
            </w:r>
          </w:p>
        </w:tc>
        <w:tc>
          <w:tcPr>
            <w:tcW w:w="141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1.7</w:t>
            </w:r>
          </w:p>
        </w:tc>
        <w:tc>
          <w:tcPr>
            <w:tcW w:w="1503"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3.4%</w:t>
            </w:r>
          </w:p>
        </w:tc>
      </w:tr>
      <w:tr w:rsidR="008F4B9F" w:rsidRPr="008F4B9F" w:rsidTr="00FB2E3B">
        <w:trPr>
          <w:trHeight w:val="222"/>
        </w:trPr>
        <w:tc>
          <w:tcPr>
            <w:tcW w:w="3636" w:type="dxa"/>
            <w:tcBorders>
              <w:top w:val="nil"/>
              <w:left w:val="nil"/>
              <w:bottom w:val="single" w:sz="8" w:space="0" w:color="auto"/>
              <w:right w:val="single" w:sz="8" w:space="0" w:color="FFFFFF"/>
            </w:tcBorders>
            <w:shd w:val="clear" w:color="000000" w:fill="FFFFFF"/>
            <w:noWrap/>
            <w:vAlign w:val="bottom"/>
            <w:hideMark/>
          </w:tcPr>
          <w:p w:rsidR="008F4B9F" w:rsidRPr="00FB2E3B" w:rsidRDefault="008F4B9F" w:rsidP="008F4B9F">
            <w:pPr>
              <w:spacing w:after="0" w:line="240" w:lineRule="auto"/>
              <w:rPr>
                <w:rFonts w:eastAsia="Times New Roman" w:cs="Times New Roman"/>
                <w:sz w:val="18"/>
                <w:szCs w:val="18"/>
                <w:lang w:val="en-US"/>
              </w:rPr>
            </w:pPr>
            <w:r w:rsidRPr="00FB2E3B">
              <w:rPr>
                <w:rFonts w:eastAsia="Times New Roman" w:cs="Times New Roman"/>
                <w:sz w:val="18"/>
                <w:szCs w:val="18"/>
                <w:lang w:val="en-US"/>
              </w:rPr>
              <w:t xml:space="preserve">    Bono Thesari në Euro</w:t>
            </w:r>
          </w:p>
        </w:tc>
        <w:tc>
          <w:tcPr>
            <w:tcW w:w="1254" w:type="dxa"/>
            <w:tcBorders>
              <w:top w:val="nil"/>
              <w:left w:val="nil"/>
              <w:bottom w:val="single" w:sz="8" w:space="0" w:color="auto"/>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0.0</w:t>
            </w:r>
          </w:p>
        </w:tc>
        <w:tc>
          <w:tcPr>
            <w:tcW w:w="1321" w:type="dxa"/>
            <w:tcBorders>
              <w:top w:val="nil"/>
              <w:left w:val="nil"/>
              <w:bottom w:val="single" w:sz="8" w:space="0" w:color="auto"/>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0.0</w:t>
            </w:r>
          </w:p>
        </w:tc>
        <w:tc>
          <w:tcPr>
            <w:tcW w:w="1411" w:type="dxa"/>
            <w:tcBorders>
              <w:top w:val="nil"/>
              <w:left w:val="nil"/>
              <w:bottom w:val="single" w:sz="8" w:space="0" w:color="auto"/>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0.0</w:t>
            </w:r>
          </w:p>
        </w:tc>
        <w:tc>
          <w:tcPr>
            <w:tcW w:w="1503" w:type="dxa"/>
            <w:tcBorders>
              <w:top w:val="nil"/>
              <w:left w:val="nil"/>
              <w:bottom w:val="single" w:sz="8" w:space="0" w:color="auto"/>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0.0%</w:t>
            </w:r>
          </w:p>
        </w:tc>
      </w:tr>
      <w:tr w:rsidR="008F4B9F" w:rsidRPr="008F4B9F" w:rsidTr="00FB2E3B">
        <w:trPr>
          <w:trHeight w:val="213"/>
        </w:trPr>
        <w:tc>
          <w:tcPr>
            <w:tcW w:w="3636" w:type="dxa"/>
            <w:tcBorders>
              <w:top w:val="nil"/>
              <w:left w:val="nil"/>
              <w:bottom w:val="nil"/>
              <w:right w:val="single" w:sz="8" w:space="0" w:color="FFFFFF"/>
            </w:tcBorders>
            <w:shd w:val="clear" w:color="000000" w:fill="FFFFFF"/>
            <w:noWrap/>
            <w:vAlign w:val="bottom"/>
            <w:hideMark/>
          </w:tcPr>
          <w:p w:rsidR="008F4B9F" w:rsidRPr="00FB2E3B" w:rsidRDefault="008F4B9F" w:rsidP="008F4B9F">
            <w:pPr>
              <w:spacing w:after="0" w:line="240" w:lineRule="auto"/>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Tituj Afatgjatë</w:t>
            </w:r>
          </w:p>
        </w:tc>
        <w:tc>
          <w:tcPr>
            <w:tcW w:w="1254"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129.3</w:t>
            </w:r>
          </w:p>
        </w:tc>
        <w:tc>
          <w:tcPr>
            <w:tcW w:w="132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82.1</w:t>
            </w:r>
          </w:p>
        </w:tc>
        <w:tc>
          <w:tcPr>
            <w:tcW w:w="141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47.2</w:t>
            </w:r>
          </w:p>
        </w:tc>
        <w:tc>
          <w:tcPr>
            <w:tcW w:w="1503"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96.6%</w:t>
            </w:r>
          </w:p>
        </w:tc>
      </w:tr>
      <w:tr w:rsidR="008F4B9F" w:rsidRPr="008F4B9F" w:rsidTr="00FB2E3B">
        <w:trPr>
          <w:trHeight w:val="213"/>
        </w:trPr>
        <w:tc>
          <w:tcPr>
            <w:tcW w:w="3636" w:type="dxa"/>
            <w:tcBorders>
              <w:top w:val="nil"/>
              <w:left w:val="nil"/>
              <w:bottom w:val="nil"/>
              <w:right w:val="single" w:sz="8" w:space="0" w:color="FFFFFF"/>
            </w:tcBorders>
            <w:shd w:val="clear" w:color="000000" w:fill="FFFFFF"/>
            <w:noWrap/>
            <w:vAlign w:val="bottom"/>
            <w:hideMark/>
          </w:tcPr>
          <w:p w:rsidR="008F4B9F" w:rsidRPr="00FB2E3B" w:rsidRDefault="008F4B9F" w:rsidP="008F4B9F">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Obligacione 2 vjeçare</w:t>
            </w:r>
          </w:p>
        </w:tc>
        <w:tc>
          <w:tcPr>
            <w:tcW w:w="1254"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45.7</w:t>
            </w:r>
          </w:p>
        </w:tc>
        <w:tc>
          <w:tcPr>
            <w:tcW w:w="132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40.8</w:t>
            </w:r>
          </w:p>
        </w:tc>
        <w:tc>
          <w:tcPr>
            <w:tcW w:w="141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4.8</w:t>
            </w:r>
          </w:p>
        </w:tc>
        <w:tc>
          <w:tcPr>
            <w:tcW w:w="1503"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9.9%</w:t>
            </w:r>
          </w:p>
        </w:tc>
      </w:tr>
      <w:tr w:rsidR="008F4B9F" w:rsidRPr="008F4B9F" w:rsidTr="00FB2E3B">
        <w:trPr>
          <w:trHeight w:val="213"/>
        </w:trPr>
        <w:tc>
          <w:tcPr>
            <w:tcW w:w="3636" w:type="dxa"/>
            <w:tcBorders>
              <w:top w:val="nil"/>
              <w:left w:val="nil"/>
              <w:bottom w:val="nil"/>
              <w:right w:val="single" w:sz="8" w:space="0" w:color="FFFFFF"/>
            </w:tcBorders>
            <w:shd w:val="clear" w:color="000000" w:fill="FFFFFF"/>
            <w:noWrap/>
            <w:vAlign w:val="bottom"/>
            <w:hideMark/>
          </w:tcPr>
          <w:p w:rsidR="008F4B9F" w:rsidRPr="00FB2E3B" w:rsidRDefault="008F4B9F" w:rsidP="008F4B9F">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Obligacione 2 vjeçare Euro</w:t>
            </w:r>
          </w:p>
        </w:tc>
        <w:tc>
          <w:tcPr>
            <w:tcW w:w="1254"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0.0</w:t>
            </w:r>
          </w:p>
        </w:tc>
        <w:tc>
          <w:tcPr>
            <w:tcW w:w="132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0.0</w:t>
            </w:r>
          </w:p>
        </w:tc>
        <w:tc>
          <w:tcPr>
            <w:tcW w:w="141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0.0</w:t>
            </w:r>
          </w:p>
        </w:tc>
        <w:tc>
          <w:tcPr>
            <w:tcW w:w="1503"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0.0%</w:t>
            </w:r>
          </w:p>
        </w:tc>
      </w:tr>
      <w:tr w:rsidR="008F4B9F" w:rsidRPr="008F4B9F" w:rsidTr="00FB2E3B">
        <w:trPr>
          <w:trHeight w:val="213"/>
        </w:trPr>
        <w:tc>
          <w:tcPr>
            <w:tcW w:w="3636" w:type="dxa"/>
            <w:tcBorders>
              <w:top w:val="nil"/>
              <w:left w:val="nil"/>
              <w:bottom w:val="nil"/>
              <w:right w:val="single" w:sz="8" w:space="0" w:color="FFFFFF"/>
            </w:tcBorders>
            <w:shd w:val="clear" w:color="000000" w:fill="FFFFFF"/>
            <w:noWrap/>
            <w:vAlign w:val="bottom"/>
            <w:hideMark/>
          </w:tcPr>
          <w:p w:rsidR="008F4B9F" w:rsidRPr="00FB2E3B" w:rsidRDefault="008F4B9F" w:rsidP="008F4B9F">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Obligacione 3 vjeçare</w:t>
            </w:r>
          </w:p>
        </w:tc>
        <w:tc>
          <w:tcPr>
            <w:tcW w:w="1254"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21.5</w:t>
            </w:r>
          </w:p>
        </w:tc>
        <w:tc>
          <w:tcPr>
            <w:tcW w:w="132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5.0</w:t>
            </w:r>
          </w:p>
        </w:tc>
        <w:tc>
          <w:tcPr>
            <w:tcW w:w="141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16.5</w:t>
            </w:r>
          </w:p>
        </w:tc>
        <w:tc>
          <w:tcPr>
            <w:tcW w:w="1503"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33.9%</w:t>
            </w:r>
          </w:p>
        </w:tc>
      </w:tr>
      <w:tr w:rsidR="008F4B9F" w:rsidRPr="008F4B9F" w:rsidTr="00FB2E3B">
        <w:trPr>
          <w:trHeight w:val="213"/>
        </w:trPr>
        <w:tc>
          <w:tcPr>
            <w:tcW w:w="3636" w:type="dxa"/>
            <w:tcBorders>
              <w:top w:val="nil"/>
              <w:left w:val="nil"/>
              <w:bottom w:val="nil"/>
              <w:right w:val="single" w:sz="8" w:space="0" w:color="FFFFFF"/>
            </w:tcBorders>
            <w:shd w:val="clear" w:color="000000" w:fill="FFFFFF"/>
            <w:noWrap/>
            <w:vAlign w:val="bottom"/>
            <w:hideMark/>
          </w:tcPr>
          <w:p w:rsidR="008F4B9F" w:rsidRPr="00FB2E3B" w:rsidRDefault="008F4B9F" w:rsidP="008F4B9F">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Obligacione 5 vjeçare</w:t>
            </w:r>
          </w:p>
        </w:tc>
        <w:tc>
          <w:tcPr>
            <w:tcW w:w="1254"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24.4</w:t>
            </w:r>
          </w:p>
        </w:tc>
        <w:tc>
          <w:tcPr>
            <w:tcW w:w="132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19.2</w:t>
            </w:r>
          </w:p>
        </w:tc>
        <w:tc>
          <w:tcPr>
            <w:tcW w:w="141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5.2</w:t>
            </w:r>
          </w:p>
        </w:tc>
        <w:tc>
          <w:tcPr>
            <w:tcW w:w="1503"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10.6%</w:t>
            </w:r>
          </w:p>
        </w:tc>
      </w:tr>
      <w:tr w:rsidR="008F4B9F" w:rsidRPr="008F4B9F" w:rsidTr="00FB2E3B">
        <w:trPr>
          <w:trHeight w:val="213"/>
        </w:trPr>
        <w:tc>
          <w:tcPr>
            <w:tcW w:w="3636" w:type="dxa"/>
            <w:tcBorders>
              <w:top w:val="nil"/>
              <w:left w:val="nil"/>
              <w:bottom w:val="nil"/>
              <w:right w:val="single" w:sz="8" w:space="0" w:color="FFFFFF"/>
            </w:tcBorders>
            <w:shd w:val="clear" w:color="000000" w:fill="FFFFFF"/>
            <w:noWrap/>
            <w:vAlign w:val="bottom"/>
            <w:hideMark/>
          </w:tcPr>
          <w:p w:rsidR="008F4B9F" w:rsidRPr="00FB2E3B" w:rsidRDefault="008F4B9F" w:rsidP="008F4B9F">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Obligacione 7 vjeçare</w:t>
            </w:r>
          </w:p>
        </w:tc>
        <w:tc>
          <w:tcPr>
            <w:tcW w:w="1254"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18.1</w:t>
            </w:r>
          </w:p>
        </w:tc>
        <w:tc>
          <w:tcPr>
            <w:tcW w:w="132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17.0</w:t>
            </w:r>
          </w:p>
        </w:tc>
        <w:tc>
          <w:tcPr>
            <w:tcW w:w="141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1.1</w:t>
            </w:r>
          </w:p>
        </w:tc>
        <w:tc>
          <w:tcPr>
            <w:tcW w:w="1503"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2.3%</w:t>
            </w:r>
          </w:p>
        </w:tc>
      </w:tr>
      <w:tr w:rsidR="008F4B9F" w:rsidRPr="008F4B9F" w:rsidTr="00FB2E3B">
        <w:trPr>
          <w:trHeight w:val="213"/>
        </w:trPr>
        <w:tc>
          <w:tcPr>
            <w:tcW w:w="3636" w:type="dxa"/>
            <w:tcBorders>
              <w:top w:val="nil"/>
              <w:left w:val="nil"/>
              <w:bottom w:val="nil"/>
              <w:right w:val="single" w:sz="8" w:space="0" w:color="FFFFFF"/>
            </w:tcBorders>
            <w:shd w:val="clear" w:color="000000" w:fill="FFFFFF"/>
            <w:noWrap/>
            <w:vAlign w:val="bottom"/>
            <w:hideMark/>
          </w:tcPr>
          <w:p w:rsidR="008F4B9F" w:rsidRPr="00FB2E3B" w:rsidRDefault="008F4B9F" w:rsidP="008F4B9F">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Obligacione 10 vjeçare</w:t>
            </w:r>
          </w:p>
        </w:tc>
        <w:tc>
          <w:tcPr>
            <w:tcW w:w="1254"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18.3</w:t>
            </w:r>
          </w:p>
        </w:tc>
        <w:tc>
          <w:tcPr>
            <w:tcW w:w="132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0.0</w:t>
            </w:r>
          </w:p>
        </w:tc>
        <w:tc>
          <w:tcPr>
            <w:tcW w:w="1411"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18.3</w:t>
            </w:r>
          </w:p>
        </w:tc>
        <w:tc>
          <w:tcPr>
            <w:tcW w:w="1503" w:type="dxa"/>
            <w:tcBorders>
              <w:top w:val="nil"/>
              <w:left w:val="nil"/>
              <w:bottom w:val="nil"/>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37.6%</w:t>
            </w:r>
          </w:p>
        </w:tc>
      </w:tr>
      <w:tr w:rsidR="008F4B9F" w:rsidRPr="008F4B9F" w:rsidTr="00FB2E3B">
        <w:trPr>
          <w:trHeight w:val="222"/>
        </w:trPr>
        <w:tc>
          <w:tcPr>
            <w:tcW w:w="3636" w:type="dxa"/>
            <w:tcBorders>
              <w:top w:val="nil"/>
              <w:left w:val="nil"/>
              <w:bottom w:val="single" w:sz="8" w:space="0" w:color="auto"/>
              <w:right w:val="single" w:sz="8" w:space="0" w:color="FFFFFF"/>
            </w:tcBorders>
            <w:shd w:val="clear" w:color="000000" w:fill="FFFFFF"/>
            <w:noWrap/>
            <w:vAlign w:val="bottom"/>
            <w:hideMark/>
          </w:tcPr>
          <w:p w:rsidR="008F4B9F" w:rsidRPr="00FB2E3B" w:rsidRDefault="008F4B9F" w:rsidP="008F4B9F">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Obligacione 15 vjeçare</w:t>
            </w:r>
          </w:p>
        </w:tc>
        <w:tc>
          <w:tcPr>
            <w:tcW w:w="1254" w:type="dxa"/>
            <w:tcBorders>
              <w:top w:val="nil"/>
              <w:left w:val="nil"/>
              <w:bottom w:val="single" w:sz="8" w:space="0" w:color="auto"/>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1.2</w:t>
            </w:r>
          </w:p>
        </w:tc>
        <w:tc>
          <w:tcPr>
            <w:tcW w:w="1321" w:type="dxa"/>
            <w:tcBorders>
              <w:top w:val="nil"/>
              <w:left w:val="nil"/>
              <w:bottom w:val="single" w:sz="8" w:space="0" w:color="auto"/>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0.0</w:t>
            </w:r>
          </w:p>
        </w:tc>
        <w:tc>
          <w:tcPr>
            <w:tcW w:w="1411" w:type="dxa"/>
            <w:tcBorders>
              <w:top w:val="nil"/>
              <w:left w:val="nil"/>
              <w:bottom w:val="single" w:sz="8" w:space="0" w:color="auto"/>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1.2</w:t>
            </w:r>
          </w:p>
        </w:tc>
        <w:tc>
          <w:tcPr>
            <w:tcW w:w="1503" w:type="dxa"/>
            <w:tcBorders>
              <w:top w:val="nil"/>
              <w:left w:val="nil"/>
              <w:bottom w:val="single" w:sz="8" w:space="0" w:color="auto"/>
              <w:right w:val="nil"/>
            </w:tcBorders>
            <w:shd w:val="clear" w:color="000000" w:fill="FFFFFF"/>
            <w:noWrap/>
            <w:vAlign w:val="bottom"/>
            <w:hideMark/>
          </w:tcPr>
          <w:p w:rsidR="008F4B9F" w:rsidRPr="00FB2E3B" w:rsidRDefault="008F4B9F" w:rsidP="008F4B9F">
            <w:pPr>
              <w:spacing w:after="0" w:line="240" w:lineRule="auto"/>
              <w:jc w:val="right"/>
              <w:rPr>
                <w:rFonts w:eastAsia="Times New Roman" w:cs="Times New Roman"/>
                <w:color w:val="000000"/>
                <w:sz w:val="18"/>
                <w:szCs w:val="18"/>
                <w:lang w:val="en-US"/>
              </w:rPr>
            </w:pPr>
            <w:r w:rsidRPr="00FB2E3B">
              <w:rPr>
                <w:rFonts w:eastAsia="Times New Roman" w:cs="Times New Roman"/>
                <w:color w:val="000000"/>
                <w:sz w:val="18"/>
                <w:szCs w:val="18"/>
                <w:lang w:val="en-US"/>
              </w:rPr>
              <w:t>2.4%</w:t>
            </w:r>
          </w:p>
        </w:tc>
      </w:tr>
      <w:tr w:rsidR="008F4B9F" w:rsidRPr="008F4B9F" w:rsidTr="00FB2E3B">
        <w:trPr>
          <w:trHeight w:val="45"/>
        </w:trPr>
        <w:tc>
          <w:tcPr>
            <w:tcW w:w="3636" w:type="dxa"/>
            <w:tcBorders>
              <w:top w:val="nil"/>
              <w:left w:val="nil"/>
              <w:bottom w:val="single" w:sz="8" w:space="0" w:color="auto"/>
              <w:right w:val="single" w:sz="8" w:space="0" w:color="FFFFFF"/>
            </w:tcBorders>
            <w:shd w:val="clear" w:color="000000" w:fill="F2DCDB"/>
            <w:noWrap/>
            <w:vAlign w:val="bottom"/>
            <w:hideMark/>
          </w:tcPr>
          <w:p w:rsidR="008F4B9F" w:rsidRPr="00FB2E3B" w:rsidRDefault="008F4B9F" w:rsidP="008F4B9F">
            <w:pPr>
              <w:spacing w:after="0" w:line="240" w:lineRule="auto"/>
              <w:rPr>
                <w:rFonts w:eastAsia="Times New Roman" w:cs="Times New Roman"/>
                <w:b/>
                <w:bCs/>
                <w:sz w:val="18"/>
                <w:szCs w:val="18"/>
                <w:lang w:val="en-US"/>
              </w:rPr>
            </w:pPr>
            <w:r w:rsidRPr="00FB2E3B">
              <w:rPr>
                <w:rFonts w:eastAsia="Times New Roman" w:cs="Times New Roman"/>
                <w:b/>
                <w:bCs/>
                <w:sz w:val="18"/>
                <w:szCs w:val="18"/>
                <w:lang w:val="en-US"/>
              </w:rPr>
              <w:t xml:space="preserve">Gjithsej Tituj Shtetërorë </w:t>
            </w:r>
          </w:p>
        </w:tc>
        <w:tc>
          <w:tcPr>
            <w:tcW w:w="1254" w:type="dxa"/>
            <w:tcBorders>
              <w:top w:val="nil"/>
              <w:left w:val="nil"/>
              <w:bottom w:val="single" w:sz="8" w:space="0" w:color="auto"/>
              <w:right w:val="nil"/>
            </w:tcBorders>
            <w:shd w:val="clear" w:color="000000" w:fill="F2DCDB"/>
            <w:noWrap/>
            <w:vAlign w:val="bottom"/>
            <w:hideMark/>
          </w:tcPr>
          <w:p w:rsidR="008F4B9F" w:rsidRPr="00FB2E3B" w:rsidRDefault="008F4B9F" w:rsidP="008F4B9F">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345.1</w:t>
            </w:r>
          </w:p>
        </w:tc>
        <w:tc>
          <w:tcPr>
            <w:tcW w:w="1321" w:type="dxa"/>
            <w:tcBorders>
              <w:top w:val="nil"/>
              <w:left w:val="nil"/>
              <w:bottom w:val="single" w:sz="8" w:space="0" w:color="auto"/>
              <w:right w:val="nil"/>
            </w:tcBorders>
            <w:shd w:val="clear" w:color="000000" w:fill="F2DCDB"/>
            <w:noWrap/>
            <w:vAlign w:val="bottom"/>
            <w:hideMark/>
          </w:tcPr>
          <w:p w:rsidR="008F4B9F" w:rsidRPr="00FB2E3B" w:rsidRDefault="008F4B9F" w:rsidP="008F4B9F">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296.3</w:t>
            </w:r>
          </w:p>
        </w:tc>
        <w:tc>
          <w:tcPr>
            <w:tcW w:w="1411" w:type="dxa"/>
            <w:tcBorders>
              <w:top w:val="nil"/>
              <w:left w:val="nil"/>
              <w:bottom w:val="single" w:sz="8" w:space="0" w:color="auto"/>
              <w:right w:val="nil"/>
            </w:tcBorders>
            <w:shd w:val="clear" w:color="000000" w:fill="F2DCDB"/>
            <w:noWrap/>
            <w:vAlign w:val="bottom"/>
            <w:hideMark/>
          </w:tcPr>
          <w:p w:rsidR="008F4B9F" w:rsidRPr="00FB2E3B" w:rsidRDefault="008F4B9F" w:rsidP="008F4B9F">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48.9</w:t>
            </w:r>
          </w:p>
        </w:tc>
        <w:tc>
          <w:tcPr>
            <w:tcW w:w="1503" w:type="dxa"/>
            <w:tcBorders>
              <w:top w:val="nil"/>
              <w:left w:val="nil"/>
              <w:bottom w:val="single" w:sz="8" w:space="0" w:color="auto"/>
              <w:right w:val="nil"/>
            </w:tcBorders>
            <w:shd w:val="clear" w:color="000000" w:fill="F2DCDB"/>
            <w:noWrap/>
            <w:vAlign w:val="bottom"/>
            <w:hideMark/>
          </w:tcPr>
          <w:p w:rsidR="008F4B9F" w:rsidRPr="00FB2E3B" w:rsidRDefault="008F4B9F" w:rsidP="008F4B9F">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100.0%</w:t>
            </w:r>
          </w:p>
        </w:tc>
      </w:tr>
    </w:tbl>
    <w:p w:rsidR="00AA203D" w:rsidRPr="00B9327B" w:rsidRDefault="00AA203D">
      <w:pPr>
        <w:spacing w:after="0" w:line="240" w:lineRule="auto"/>
        <w:ind w:right="-46"/>
        <w:jc w:val="center"/>
        <w:rPr>
          <w:rFonts w:ascii="Cambria" w:eastAsia="Times New Roman" w:hAnsi="Cambria"/>
          <w:noProof/>
          <w:sz w:val="32"/>
          <w:szCs w:val="20"/>
        </w:rPr>
      </w:pPr>
      <w:r w:rsidRPr="00B9327B">
        <w:rPr>
          <w:rFonts w:ascii="Cambria" w:hAnsi="Cambria" w:cs="Times New Roman"/>
          <w:b/>
          <w:noProof/>
          <w:sz w:val="20"/>
          <w:szCs w:val="20"/>
        </w:rPr>
        <w:t xml:space="preserve">Burimi: </w:t>
      </w:r>
      <w:r w:rsidRPr="00B9327B">
        <w:rPr>
          <w:rFonts w:ascii="Cambria" w:hAnsi="Cambria" w:cs="Times New Roman"/>
          <w:i/>
          <w:noProof/>
          <w:sz w:val="20"/>
          <w:szCs w:val="20"/>
        </w:rPr>
        <w:t>Ministria e Financave dhe Ekonomisë (202</w:t>
      </w:r>
      <w:r w:rsidR="00B36824">
        <w:rPr>
          <w:rFonts w:ascii="Cambria" w:hAnsi="Cambria" w:cs="Times New Roman"/>
          <w:i/>
          <w:noProof/>
          <w:sz w:val="20"/>
          <w:szCs w:val="20"/>
        </w:rPr>
        <w:t>2</w:t>
      </w:r>
      <w:r w:rsidRPr="00B9327B">
        <w:rPr>
          <w:rFonts w:ascii="Cambria" w:hAnsi="Cambria" w:cs="Times New Roman"/>
          <w:i/>
          <w:noProof/>
          <w:sz w:val="20"/>
          <w:szCs w:val="20"/>
        </w:rPr>
        <w:t>)</w:t>
      </w:r>
    </w:p>
    <w:p w:rsidR="00163842" w:rsidRPr="00EE7E9F" w:rsidRDefault="00163842" w:rsidP="00CE670F">
      <w:pPr>
        <w:tabs>
          <w:tab w:val="left" w:pos="1182"/>
        </w:tabs>
        <w:spacing w:after="0" w:line="276" w:lineRule="auto"/>
        <w:ind w:right="-46"/>
        <w:jc w:val="both"/>
        <w:rPr>
          <w:rFonts w:ascii="Times New Roman" w:hAnsi="Times New Roman" w:cs="Times New Roman"/>
          <w:noProof/>
          <w:sz w:val="16"/>
          <w:szCs w:val="16"/>
          <w:highlight w:val="yellow"/>
          <w:lang w:val="en-US"/>
        </w:rPr>
      </w:pPr>
    </w:p>
    <w:p w:rsidR="00166B85" w:rsidRPr="009B5D93" w:rsidRDefault="00166B85" w:rsidP="00F36B8C">
      <w:pPr>
        <w:tabs>
          <w:tab w:val="left" w:pos="1182"/>
        </w:tabs>
        <w:spacing w:after="0" w:line="276" w:lineRule="auto"/>
        <w:ind w:right="-46"/>
        <w:jc w:val="both"/>
        <w:rPr>
          <w:rFonts w:ascii="Times New Roman" w:hAnsi="Times New Roman" w:cs="Times New Roman"/>
          <w:noProof/>
          <w:sz w:val="24"/>
          <w:szCs w:val="24"/>
        </w:rPr>
      </w:pPr>
      <w:r w:rsidRPr="00DD5758">
        <w:rPr>
          <w:rFonts w:ascii="Times New Roman" w:hAnsi="Times New Roman" w:cs="Times New Roman"/>
          <w:noProof/>
          <w:sz w:val="24"/>
          <w:szCs w:val="24"/>
        </w:rPr>
        <w:t>P</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r sa i p</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rket raportit t</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 xml:space="preserve"> huamarrjes s</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 xml:space="preserve"> brendshme me t</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 xml:space="preserve"> ardhurat tatimore v</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rehet nj</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 xml:space="preserve"> </w:t>
      </w:r>
      <w:r w:rsidR="00F36B8C" w:rsidRPr="00DD5758">
        <w:rPr>
          <w:rFonts w:ascii="Times New Roman" w:hAnsi="Times New Roman" w:cs="Times New Roman"/>
          <w:noProof/>
          <w:sz w:val="24"/>
          <w:szCs w:val="24"/>
        </w:rPr>
        <w:t>rënie</w:t>
      </w:r>
      <w:r w:rsidRPr="00DD5758">
        <w:rPr>
          <w:rFonts w:ascii="Times New Roman" w:hAnsi="Times New Roman" w:cs="Times New Roman"/>
          <w:noProof/>
          <w:sz w:val="24"/>
          <w:szCs w:val="24"/>
        </w:rPr>
        <w:t xml:space="preserve"> e </w:t>
      </w:r>
      <w:r w:rsidR="00680401" w:rsidRPr="00DD5758">
        <w:rPr>
          <w:rFonts w:ascii="Times New Roman" w:hAnsi="Times New Roman" w:cs="Times New Roman"/>
          <w:noProof/>
          <w:sz w:val="24"/>
          <w:szCs w:val="24"/>
        </w:rPr>
        <w:t>konsiderueshme</w:t>
      </w:r>
      <w:r w:rsidRPr="00DD5758">
        <w:rPr>
          <w:rFonts w:ascii="Times New Roman" w:hAnsi="Times New Roman" w:cs="Times New Roman"/>
          <w:noProof/>
          <w:sz w:val="24"/>
          <w:szCs w:val="24"/>
        </w:rPr>
        <w:t xml:space="preserve"> e k</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tij raporti krahasuar me viti</w:t>
      </w:r>
      <w:r w:rsidR="00DD5758" w:rsidRPr="00FB2E3B">
        <w:rPr>
          <w:rFonts w:ascii="Times New Roman" w:hAnsi="Times New Roman" w:cs="Times New Roman"/>
          <w:noProof/>
          <w:sz w:val="24"/>
          <w:szCs w:val="24"/>
        </w:rPr>
        <w:t>n</w:t>
      </w:r>
      <w:r w:rsidRPr="00DD5758">
        <w:rPr>
          <w:rFonts w:ascii="Times New Roman" w:hAnsi="Times New Roman" w:cs="Times New Roman"/>
          <w:noProof/>
          <w:sz w:val="24"/>
          <w:szCs w:val="24"/>
        </w:rPr>
        <w:t xml:space="preserve"> </w:t>
      </w:r>
      <w:r w:rsidR="00DD5758" w:rsidRPr="00FB2E3B">
        <w:rPr>
          <w:rFonts w:ascii="Times New Roman" w:hAnsi="Times New Roman" w:cs="Times New Roman"/>
          <w:noProof/>
          <w:sz w:val="24"/>
          <w:szCs w:val="24"/>
        </w:rPr>
        <w:t>e</w:t>
      </w:r>
      <w:r w:rsidRPr="00DD5758">
        <w:rPr>
          <w:rFonts w:ascii="Times New Roman" w:hAnsi="Times New Roman" w:cs="Times New Roman"/>
          <w:noProof/>
          <w:sz w:val="24"/>
          <w:szCs w:val="24"/>
        </w:rPr>
        <w:t xml:space="preserve"> m</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parsh</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 xml:space="preserve">m, i ndikuar kryesisht nga </w:t>
      </w:r>
      <w:r w:rsidR="00F36B8C" w:rsidRPr="00DD5758">
        <w:rPr>
          <w:rFonts w:ascii="Times New Roman" w:hAnsi="Times New Roman" w:cs="Times New Roman"/>
          <w:noProof/>
          <w:sz w:val="24"/>
          <w:szCs w:val="24"/>
        </w:rPr>
        <w:t>r</w:t>
      </w:r>
      <w:r w:rsidR="00A343E6" w:rsidRPr="00DD5758">
        <w:rPr>
          <w:rFonts w:ascii="Times New Roman" w:hAnsi="Times New Roman" w:cs="Times New Roman"/>
          <w:noProof/>
          <w:sz w:val="24"/>
          <w:szCs w:val="24"/>
        </w:rPr>
        <w:t>r</w:t>
      </w:r>
      <w:r w:rsidR="00F36B8C" w:rsidRPr="00DD5758">
        <w:rPr>
          <w:rFonts w:ascii="Times New Roman" w:hAnsi="Times New Roman" w:cs="Times New Roman"/>
          <w:noProof/>
          <w:sz w:val="24"/>
          <w:szCs w:val="24"/>
        </w:rPr>
        <w:t>itja</w:t>
      </w:r>
      <w:r w:rsidRPr="00DD5758">
        <w:rPr>
          <w:rFonts w:ascii="Times New Roman" w:hAnsi="Times New Roman" w:cs="Times New Roman"/>
          <w:noProof/>
          <w:sz w:val="24"/>
          <w:szCs w:val="24"/>
        </w:rPr>
        <w:t xml:space="preserve"> e nivelit t</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 xml:space="preserve"> t</w:t>
      </w:r>
      <w:r w:rsidR="00E502E6" w:rsidRPr="00DD5758">
        <w:rPr>
          <w:rFonts w:ascii="Times New Roman" w:hAnsi="Times New Roman" w:cs="Times New Roman"/>
          <w:noProof/>
          <w:sz w:val="24"/>
          <w:szCs w:val="24"/>
        </w:rPr>
        <w:t>ë</w:t>
      </w:r>
      <w:r w:rsidRPr="00DD5758">
        <w:rPr>
          <w:rFonts w:ascii="Times New Roman" w:hAnsi="Times New Roman" w:cs="Times New Roman"/>
          <w:noProof/>
          <w:sz w:val="24"/>
          <w:szCs w:val="24"/>
        </w:rPr>
        <w:t xml:space="preserve"> ardhurave</w:t>
      </w:r>
      <w:r w:rsidR="00E502E6" w:rsidRPr="00DD5758">
        <w:rPr>
          <w:rFonts w:ascii="Times New Roman" w:hAnsi="Times New Roman" w:cs="Times New Roman"/>
          <w:noProof/>
          <w:sz w:val="24"/>
          <w:szCs w:val="24"/>
        </w:rPr>
        <w:t>,</w:t>
      </w:r>
      <w:r w:rsidRPr="00DD5758">
        <w:rPr>
          <w:rFonts w:ascii="Times New Roman" w:hAnsi="Times New Roman" w:cs="Times New Roman"/>
          <w:noProof/>
          <w:sz w:val="24"/>
          <w:szCs w:val="24"/>
        </w:rPr>
        <w:t xml:space="preserve"> </w:t>
      </w:r>
      <w:r w:rsidR="000B4CF5" w:rsidRPr="00DD5758">
        <w:rPr>
          <w:rFonts w:ascii="Times New Roman" w:hAnsi="Times New Roman" w:cs="Times New Roman"/>
          <w:noProof/>
          <w:sz w:val="24"/>
          <w:szCs w:val="24"/>
        </w:rPr>
        <w:t xml:space="preserve">në krahasim me </w:t>
      </w:r>
      <w:r w:rsidR="00F36B8C" w:rsidRPr="00DD5758">
        <w:rPr>
          <w:rFonts w:ascii="Times New Roman" w:hAnsi="Times New Roman" w:cs="Times New Roman"/>
          <w:noProof/>
          <w:sz w:val="24"/>
          <w:szCs w:val="24"/>
        </w:rPr>
        <w:t>viti</w:t>
      </w:r>
      <w:r w:rsidR="00DD5758" w:rsidRPr="00FB2E3B">
        <w:rPr>
          <w:rFonts w:ascii="Times New Roman" w:hAnsi="Times New Roman" w:cs="Times New Roman"/>
          <w:noProof/>
          <w:sz w:val="24"/>
          <w:szCs w:val="24"/>
        </w:rPr>
        <w:t>n</w:t>
      </w:r>
      <w:r w:rsidR="00F36B8C" w:rsidRPr="00DD5758">
        <w:rPr>
          <w:rFonts w:ascii="Times New Roman" w:hAnsi="Times New Roman" w:cs="Times New Roman"/>
          <w:noProof/>
          <w:sz w:val="24"/>
          <w:szCs w:val="24"/>
        </w:rPr>
        <w:t xml:space="preserve"> </w:t>
      </w:r>
      <w:r w:rsidR="00DD5758" w:rsidRPr="00FB2E3B">
        <w:rPr>
          <w:rFonts w:ascii="Times New Roman" w:hAnsi="Times New Roman" w:cs="Times New Roman"/>
          <w:noProof/>
          <w:sz w:val="24"/>
          <w:szCs w:val="24"/>
        </w:rPr>
        <w:t>e</w:t>
      </w:r>
      <w:r w:rsidR="00F36B8C" w:rsidRPr="00DD5758">
        <w:rPr>
          <w:rFonts w:ascii="Times New Roman" w:hAnsi="Times New Roman" w:cs="Times New Roman"/>
          <w:noProof/>
          <w:sz w:val="24"/>
          <w:szCs w:val="24"/>
        </w:rPr>
        <w:t xml:space="preserve"> kaluar, ku masat e marra kundrejt përhapjes së pandemisë në vend, impaktuan në mënyrë të menjëhershme treguesin e të ardhurave tatimore.</w:t>
      </w:r>
      <w:r w:rsidR="00F36B8C" w:rsidRPr="009B5D93">
        <w:rPr>
          <w:rFonts w:ascii="Times New Roman" w:hAnsi="Times New Roman" w:cs="Times New Roman"/>
          <w:noProof/>
          <w:sz w:val="24"/>
          <w:szCs w:val="24"/>
        </w:rPr>
        <w:t xml:space="preserve"> </w:t>
      </w:r>
    </w:p>
    <w:p w:rsidR="00680401" w:rsidRPr="00FB2E3B" w:rsidRDefault="00680401" w:rsidP="00F36B8C">
      <w:pPr>
        <w:tabs>
          <w:tab w:val="left" w:pos="1182"/>
        </w:tabs>
        <w:spacing w:after="0" w:line="276" w:lineRule="auto"/>
        <w:ind w:right="-46"/>
        <w:jc w:val="both"/>
        <w:rPr>
          <w:rFonts w:ascii="Times New Roman" w:hAnsi="Times New Roman" w:cs="Times New Roman"/>
          <w:noProof/>
          <w:sz w:val="14"/>
          <w:szCs w:val="14"/>
        </w:rPr>
      </w:pPr>
    </w:p>
    <w:p w:rsidR="00CE670F" w:rsidRPr="00BC4D5A" w:rsidRDefault="00CE670F" w:rsidP="00CE670F">
      <w:pPr>
        <w:spacing w:after="0" w:line="276" w:lineRule="auto"/>
        <w:ind w:left="2410" w:right="-188" w:hanging="2410"/>
        <w:rPr>
          <w:rFonts w:ascii="Cambria" w:eastAsia="Calibri" w:hAnsi="Cambria" w:cs="Times New Roman"/>
          <w:i/>
          <w:noProof/>
          <w:sz w:val="20"/>
          <w:szCs w:val="20"/>
        </w:rPr>
      </w:pPr>
      <w:r w:rsidRPr="009B5D93">
        <w:rPr>
          <w:rFonts w:ascii="Cambria" w:eastAsia="Calibri" w:hAnsi="Cambria" w:cs="Times New Roman"/>
          <w:b/>
          <w:noProof/>
          <w:sz w:val="20"/>
          <w:szCs w:val="20"/>
        </w:rPr>
        <w:t xml:space="preserve">          </w:t>
      </w:r>
      <w:r w:rsidR="00AA203D" w:rsidRPr="009B5D93">
        <w:rPr>
          <w:rFonts w:ascii="Cambria" w:eastAsia="Calibri" w:hAnsi="Cambria" w:cs="Times New Roman"/>
          <w:b/>
          <w:noProof/>
          <w:sz w:val="20"/>
          <w:szCs w:val="20"/>
        </w:rPr>
        <w:t xml:space="preserve">Paraqitje Grafike </w:t>
      </w:r>
      <w:r w:rsidR="00AA203D" w:rsidRPr="00BC4D5A">
        <w:rPr>
          <w:rFonts w:ascii="Cambria" w:eastAsia="Calibri" w:hAnsi="Cambria" w:cs="Times New Roman"/>
          <w:b/>
          <w:noProof/>
          <w:sz w:val="20"/>
          <w:szCs w:val="20"/>
        </w:rPr>
        <w:t>4.1:</w:t>
      </w:r>
      <w:r w:rsidR="00AA203D" w:rsidRPr="00BC4D5A">
        <w:rPr>
          <w:rFonts w:eastAsia="Batang"/>
          <w:b/>
          <w:noProof/>
        </w:rPr>
        <w:t xml:space="preserve"> </w:t>
      </w:r>
      <w:r w:rsidR="00AA203D" w:rsidRPr="00BC4D5A">
        <w:rPr>
          <w:rFonts w:ascii="Cambria" w:eastAsia="Calibri" w:hAnsi="Cambria" w:cs="Times New Roman"/>
          <w:i/>
          <w:noProof/>
          <w:sz w:val="20"/>
          <w:szCs w:val="20"/>
        </w:rPr>
        <w:t>Huamarrja e brendshme n</w:t>
      </w:r>
      <w:r w:rsidR="00A70F29" w:rsidRPr="00BC4D5A">
        <w:rPr>
          <w:rFonts w:ascii="Cambria" w:eastAsia="Calibri" w:hAnsi="Cambria" w:cs="Times New Roman"/>
          <w:i/>
          <w:noProof/>
          <w:sz w:val="20"/>
          <w:szCs w:val="20"/>
        </w:rPr>
        <w:t>ë</w:t>
      </w:r>
      <w:r w:rsidR="00AA203D" w:rsidRPr="00BC4D5A">
        <w:rPr>
          <w:rFonts w:ascii="Cambria" w:eastAsia="Calibri" w:hAnsi="Cambria" w:cs="Times New Roman"/>
          <w:i/>
          <w:noProof/>
          <w:sz w:val="20"/>
          <w:szCs w:val="20"/>
        </w:rPr>
        <w:t xml:space="preserve"> terma </w:t>
      </w:r>
      <w:r w:rsidR="00B94B12" w:rsidRPr="00BC4D5A">
        <w:rPr>
          <w:rFonts w:ascii="Cambria" w:eastAsia="Calibri" w:hAnsi="Cambria" w:cs="Times New Roman"/>
          <w:i/>
          <w:noProof/>
          <w:sz w:val="20"/>
          <w:szCs w:val="20"/>
        </w:rPr>
        <w:t>bruto</w:t>
      </w:r>
      <w:r w:rsidRPr="00BC4D5A">
        <w:rPr>
          <w:rFonts w:ascii="Cambria" w:eastAsia="Calibri" w:hAnsi="Cambria" w:cs="Times New Roman"/>
          <w:i/>
          <w:noProof/>
          <w:sz w:val="20"/>
          <w:szCs w:val="20"/>
        </w:rPr>
        <w:t xml:space="preserve"> </w:t>
      </w:r>
      <w:r w:rsidR="00B94B12" w:rsidRPr="00BC4D5A">
        <w:rPr>
          <w:rFonts w:ascii="Cambria" w:eastAsia="Calibri" w:hAnsi="Cambria" w:cs="Times New Roman"/>
          <w:i/>
          <w:noProof/>
          <w:sz w:val="20"/>
          <w:szCs w:val="20"/>
        </w:rPr>
        <w:t>në raport me të ardhurat tatimore</w:t>
      </w:r>
      <w:r w:rsidR="00171DF3" w:rsidRPr="00BC4D5A">
        <w:rPr>
          <w:rFonts w:ascii="Cambria" w:eastAsia="Calibri" w:hAnsi="Cambria" w:cs="Times New Roman"/>
          <w:i/>
          <w:noProof/>
          <w:sz w:val="20"/>
          <w:szCs w:val="20"/>
        </w:rPr>
        <w:t xml:space="preserve">   </w:t>
      </w:r>
      <w:r w:rsidRPr="00BC4D5A">
        <w:rPr>
          <w:rFonts w:ascii="Cambria" w:eastAsia="Calibri" w:hAnsi="Cambria" w:cs="Times New Roman"/>
          <w:i/>
          <w:noProof/>
          <w:sz w:val="20"/>
          <w:szCs w:val="20"/>
        </w:rPr>
        <w:t xml:space="preserve">                               </w:t>
      </w:r>
      <w:r w:rsidR="00171DF3" w:rsidRPr="00BC4D5A">
        <w:rPr>
          <w:rFonts w:ascii="Cambria" w:eastAsia="Calibri" w:hAnsi="Cambria" w:cs="Times New Roman"/>
          <w:i/>
          <w:noProof/>
          <w:sz w:val="20"/>
          <w:szCs w:val="20"/>
        </w:rPr>
        <w:t>(</w:t>
      </w:r>
      <w:r w:rsidR="009B5D93" w:rsidRPr="00BC4D5A">
        <w:rPr>
          <w:rFonts w:ascii="Cambria" w:eastAsia="Calibri" w:hAnsi="Cambria" w:cs="Times New Roman"/>
          <w:i/>
          <w:noProof/>
          <w:sz w:val="20"/>
          <w:szCs w:val="20"/>
        </w:rPr>
        <w:t>201</w:t>
      </w:r>
      <w:r w:rsidR="00DD5758">
        <w:rPr>
          <w:rFonts w:ascii="Cambria" w:eastAsia="Calibri" w:hAnsi="Cambria" w:cs="Times New Roman"/>
          <w:i/>
          <w:noProof/>
          <w:sz w:val="20"/>
          <w:szCs w:val="20"/>
        </w:rPr>
        <w:t>6-</w:t>
      </w:r>
      <w:r w:rsidR="009B5D93" w:rsidRPr="00BC4D5A">
        <w:rPr>
          <w:rFonts w:ascii="Cambria" w:eastAsia="Calibri" w:hAnsi="Cambria" w:cs="Times New Roman"/>
          <w:i/>
          <w:noProof/>
          <w:sz w:val="20"/>
          <w:szCs w:val="20"/>
        </w:rPr>
        <w:t xml:space="preserve"> 2021</w:t>
      </w:r>
      <w:r w:rsidR="00171DF3" w:rsidRPr="00BC4D5A">
        <w:rPr>
          <w:rFonts w:ascii="Cambria" w:eastAsia="Calibri" w:hAnsi="Cambria" w:cs="Times New Roman"/>
          <w:i/>
          <w:noProof/>
          <w:sz w:val="20"/>
          <w:szCs w:val="20"/>
        </w:rPr>
        <w:t>)</w:t>
      </w:r>
      <w:r w:rsidR="00733141" w:rsidRPr="00BC4D5A">
        <w:rPr>
          <w:rFonts w:ascii="Cambria" w:eastAsia="Calibri" w:hAnsi="Cambria" w:cs="Times New Roman"/>
          <w:i/>
          <w:noProof/>
          <w:sz w:val="20"/>
          <w:szCs w:val="20"/>
        </w:rPr>
        <w:t xml:space="preserve">       </w:t>
      </w:r>
    </w:p>
    <w:p w:rsidR="00680401" w:rsidRPr="00BC4D5A" w:rsidRDefault="00DD5758" w:rsidP="00CE670F">
      <w:pPr>
        <w:spacing w:after="0" w:line="276" w:lineRule="auto"/>
        <w:ind w:left="2410" w:right="-188" w:hanging="2410"/>
        <w:rPr>
          <w:rFonts w:ascii="Cambria" w:eastAsia="Calibri" w:hAnsi="Cambria" w:cs="Times New Roman"/>
          <w:i/>
          <w:noProof/>
          <w:sz w:val="20"/>
          <w:szCs w:val="20"/>
        </w:rPr>
      </w:pPr>
      <w:r w:rsidRPr="00FB2E3B">
        <w:rPr>
          <w:rFonts w:ascii="Cambria" w:eastAsia="Calibri" w:hAnsi="Cambria" w:cs="Times New Roman"/>
          <w:i/>
          <w:noProof/>
          <w:sz w:val="20"/>
          <w:szCs w:val="20"/>
          <w:lang w:val="en-US"/>
        </w:rPr>
        <w:drawing>
          <wp:inline distT="0" distB="0" distL="0" distR="0" wp14:anchorId="56A22BEE" wp14:editId="267C2327">
            <wp:extent cx="5731510" cy="1923898"/>
            <wp:effectExtent l="0" t="0" r="2540" b="63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A203D" w:rsidRPr="009B5D93" w:rsidRDefault="00AA203D" w:rsidP="00171DF3">
      <w:pPr>
        <w:tabs>
          <w:tab w:val="left" w:pos="1182"/>
        </w:tabs>
        <w:spacing w:after="0" w:line="276" w:lineRule="auto"/>
        <w:ind w:right="-188"/>
        <w:jc w:val="center"/>
        <w:rPr>
          <w:rFonts w:ascii="Cambria" w:hAnsi="Cambria" w:cs="Times New Roman"/>
          <w:i/>
          <w:noProof/>
          <w:sz w:val="20"/>
          <w:szCs w:val="20"/>
        </w:rPr>
      </w:pPr>
      <w:r w:rsidRPr="00BC4D5A">
        <w:rPr>
          <w:rFonts w:ascii="Cambria" w:hAnsi="Cambria" w:cs="Times New Roman"/>
          <w:b/>
          <w:noProof/>
          <w:sz w:val="20"/>
          <w:szCs w:val="20"/>
        </w:rPr>
        <w:t xml:space="preserve">Burimi: </w:t>
      </w:r>
      <w:r w:rsidRPr="00BC4D5A">
        <w:rPr>
          <w:rFonts w:ascii="Cambria" w:hAnsi="Cambria" w:cs="Times New Roman"/>
          <w:i/>
          <w:noProof/>
          <w:sz w:val="20"/>
          <w:szCs w:val="20"/>
        </w:rPr>
        <w:t>Ministria e Financave dhe Ekonomisë (202</w:t>
      </w:r>
      <w:r w:rsidR="00B36824">
        <w:rPr>
          <w:rFonts w:ascii="Cambria" w:hAnsi="Cambria" w:cs="Times New Roman"/>
          <w:i/>
          <w:noProof/>
          <w:sz w:val="20"/>
          <w:szCs w:val="20"/>
        </w:rPr>
        <w:t>2</w:t>
      </w:r>
      <w:r w:rsidRPr="00BC4D5A">
        <w:rPr>
          <w:rFonts w:ascii="Cambria" w:hAnsi="Cambria" w:cs="Times New Roman"/>
          <w:i/>
          <w:noProof/>
          <w:sz w:val="20"/>
          <w:szCs w:val="20"/>
        </w:rPr>
        <w:t>)</w:t>
      </w:r>
    </w:p>
    <w:p w:rsidR="00166B85" w:rsidRPr="00EE7E9F" w:rsidRDefault="00166B85" w:rsidP="00171DF3">
      <w:pPr>
        <w:tabs>
          <w:tab w:val="left" w:pos="1182"/>
        </w:tabs>
        <w:spacing w:after="0" w:line="276" w:lineRule="auto"/>
        <w:ind w:right="-188"/>
        <w:jc w:val="center"/>
        <w:rPr>
          <w:rFonts w:ascii="Cambria" w:hAnsi="Cambria" w:cs="Times New Roman"/>
          <w:i/>
          <w:noProof/>
          <w:sz w:val="16"/>
          <w:szCs w:val="16"/>
          <w:highlight w:val="yellow"/>
        </w:rPr>
      </w:pPr>
    </w:p>
    <w:p w:rsidR="00AA203D" w:rsidRPr="009B5D93" w:rsidRDefault="00AA203D" w:rsidP="00B92540">
      <w:pPr>
        <w:pStyle w:val="Heading2"/>
        <w:numPr>
          <w:ilvl w:val="1"/>
          <w:numId w:val="5"/>
        </w:numPr>
        <w:spacing w:before="0" w:after="240" w:line="276" w:lineRule="auto"/>
        <w:ind w:left="0" w:right="-188" w:firstLine="0"/>
        <w:jc w:val="both"/>
        <w:rPr>
          <w:rFonts w:ascii="Cambria" w:hAnsi="Cambria"/>
          <w:noProof/>
        </w:rPr>
      </w:pPr>
      <w:bookmarkStart w:id="10" w:name="_Toc34645066"/>
      <w:r w:rsidRPr="009B5D93">
        <w:rPr>
          <w:rFonts w:ascii="Cambria" w:hAnsi="Cambria"/>
          <w:noProof/>
        </w:rPr>
        <w:t>Huamarrja e Huaj</w:t>
      </w:r>
      <w:bookmarkEnd w:id="10"/>
    </w:p>
    <w:p w:rsidR="006F1BA4" w:rsidRPr="00FB2E3B" w:rsidRDefault="006F1BA4" w:rsidP="00FB2E3B">
      <w:pPr>
        <w:jc w:val="both"/>
        <w:rPr>
          <w:rFonts w:ascii="Times New Roman" w:hAnsi="Times New Roman"/>
          <w:sz w:val="24"/>
          <w:szCs w:val="24"/>
        </w:rPr>
      </w:pPr>
      <w:r w:rsidRPr="00FB2E3B">
        <w:rPr>
          <w:rFonts w:ascii="Times New Roman" w:hAnsi="Times New Roman"/>
          <w:sz w:val="24"/>
          <w:szCs w:val="24"/>
        </w:rPr>
        <w:t xml:space="preserve">Huamarrja e huaj gjatë vitit 2021 u realizua në nivelin prej </w:t>
      </w:r>
      <w:r w:rsidR="00BF30F5">
        <w:rPr>
          <w:rFonts w:ascii="Times New Roman" w:hAnsi="Times New Roman"/>
          <w:sz w:val="24"/>
          <w:szCs w:val="24"/>
        </w:rPr>
        <w:t>136.1</w:t>
      </w:r>
      <w:r w:rsidRPr="00FB2E3B">
        <w:rPr>
          <w:rFonts w:ascii="Times New Roman" w:hAnsi="Times New Roman"/>
          <w:sz w:val="24"/>
          <w:szCs w:val="24"/>
        </w:rPr>
        <w:t xml:space="preserve"> </w:t>
      </w:r>
      <w:r w:rsidR="00BF30F5">
        <w:rPr>
          <w:rFonts w:ascii="Times New Roman" w:hAnsi="Times New Roman"/>
          <w:sz w:val="24"/>
          <w:szCs w:val="24"/>
        </w:rPr>
        <w:t>miliard Lek</w:t>
      </w:r>
      <w:r w:rsidR="00FD335A">
        <w:rPr>
          <w:rFonts w:ascii="Times New Roman" w:hAnsi="Times New Roman"/>
          <w:sz w:val="24"/>
          <w:szCs w:val="24"/>
        </w:rPr>
        <w:t>ë</w:t>
      </w:r>
      <w:r w:rsidRPr="00FB2E3B">
        <w:rPr>
          <w:rFonts w:ascii="Times New Roman" w:hAnsi="Times New Roman"/>
          <w:sz w:val="24"/>
          <w:szCs w:val="24"/>
        </w:rPr>
        <w:t xml:space="preserve">. </w:t>
      </w:r>
      <w:r w:rsidR="001143E4">
        <w:rPr>
          <w:rFonts w:ascii="Times New Roman" w:hAnsi="Times New Roman"/>
          <w:sz w:val="24"/>
          <w:szCs w:val="24"/>
        </w:rPr>
        <w:t xml:space="preserve">Krahasuar me vitin 2020, huamarrja e huaj bruto </w:t>
      </w:r>
      <w:r w:rsidR="00FD335A">
        <w:rPr>
          <w:rFonts w:ascii="Times New Roman" w:hAnsi="Times New Roman"/>
          <w:sz w:val="24"/>
          <w:szCs w:val="24"/>
        </w:rPr>
        <w:t>ë</w:t>
      </w:r>
      <w:r w:rsidR="001143E4">
        <w:rPr>
          <w:rFonts w:ascii="Times New Roman" w:hAnsi="Times New Roman"/>
          <w:sz w:val="24"/>
          <w:szCs w:val="24"/>
        </w:rPr>
        <w:t>sht</w:t>
      </w:r>
      <w:r w:rsidR="00FD335A">
        <w:rPr>
          <w:rFonts w:ascii="Times New Roman" w:hAnsi="Times New Roman"/>
          <w:sz w:val="24"/>
          <w:szCs w:val="24"/>
        </w:rPr>
        <w:t>ë</w:t>
      </w:r>
      <w:r w:rsidR="001143E4">
        <w:rPr>
          <w:rFonts w:ascii="Times New Roman" w:hAnsi="Times New Roman"/>
          <w:sz w:val="24"/>
          <w:szCs w:val="24"/>
        </w:rPr>
        <w:t xml:space="preserve"> rritur me 14.8 miliard Lek</w:t>
      </w:r>
      <w:r w:rsidR="00FD335A">
        <w:rPr>
          <w:rFonts w:ascii="Times New Roman" w:hAnsi="Times New Roman"/>
          <w:sz w:val="24"/>
          <w:szCs w:val="24"/>
        </w:rPr>
        <w:t>ë</w:t>
      </w:r>
      <w:r w:rsidR="001143E4">
        <w:rPr>
          <w:rFonts w:ascii="Times New Roman" w:hAnsi="Times New Roman"/>
          <w:sz w:val="24"/>
          <w:szCs w:val="24"/>
        </w:rPr>
        <w:t>, ku rritja m</w:t>
      </w:r>
      <w:r w:rsidR="00FD335A">
        <w:rPr>
          <w:rFonts w:ascii="Times New Roman" w:hAnsi="Times New Roman"/>
          <w:sz w:val="24"/>
          <w:szCs w:val="24"/>
        </w:rPr>
        <w:t>ë</w:t>
      </w:r>
      <w:r w:rsidR="001143E4">
        <w:rPr>
          <w:rFonts w:ascii="Times New Roman" w:hAnsi="Times New Roman"/>
          <w:sz w:val="24"/>
          <w:szCs w:val="24"/>
        </w:rPr>
        <w:t xml:space="preserve"> e madhe v</w:t>
      </w:r>
      <w:r w:rsidR="00FD335A">
        <w:rPr>
          <w:rFonts w:ascii="Times New Roman" w:hAnsi="Times New Roman"/>
          <w:sz w:val="24"/>
          <w:szCs w:val="24"/>
        </w:rPr>
        <w:t>ë</w:t>
      </w:r>
      <w:r w:rsidR="001143E4">
        <w:rPr>
          <w:rFonts w:ascii="Times New Roman" w:hAnsi="Times New Roman"/>
          <w:sz w:val="24"/>
          <w:szCs w:val="24"/>
        </w:rPr>
        <w:t>rehet n</w:t>
      </w:r>
      <w:r w:rsidR="00FD335A">
        <w:rPr>
          <w:rFonts w:ascii="Times New Roman" w:hAnsi="Times New Roman"/>
          <w:sz w:val="24"/>
          <w:szCs w:val="24"/>
        </w:rPr>
        <w:t>ë</w:t>
      </w:r>
      <w:r w:rsidR="001143E4">
        <w:rPr>
          <w:rFonts w:ascii="Times New Roman" w:hAnsi="Times New Roman"/>
          <w:sz w:val="24"/>
          <w:szCs w:val="24"/>
        </w:rPr>
        <w:t xml:space="preserve"> z</w:t>
      </w:r>
      <w:r w:rsidR="00FD335A">
        <w:rPr>
          <w:rFonts w:ascii="Times New Roman" w:hAnsi="Times New Roman"/>
          <w:sz w:val="24"/>
          <w:szCs w:val="24"/>
        </w:rPr>
        <w:t>ë</w:t>
      </w:r>
      <w:r w:rsidR="001143E4">
        <w:rPr>
          <w:rFonts w:ascii="Times New Roman" w:hAnsi="Times New Roman"/>
          <w:sz w:val="24"/>
          <w:szCs w:val="24"/>
        </w:rPr>
        <w:t>rin Mb</w:t>
      </w:r>
      <w:r w:rsidR="00FD335A">
        <w:rPr>
          <w:rFonts w:ascii="Times New Roman" w:hAnsi="Times New Roman"/>
          <w:sz w:val="24"/>
          <w:szCs w:val="24"/>
        </w:rPr>
        <w:t>ë</w:t>
      </w:r>
      <w:r w:rsidR="001143E4">
        <w:rPr>
          <w:rFonts w:ascii="Times New Roman" w:hAnsi="Times New Roman"/>
          <w:sz w:val="24"/>
          <w:szCs w:val="24"/>
        </w:rPr>
        <w:t xml:space="preserve">shtetje Buxhetore. </w:t>
      </w:r>
      <w:r w:rsidRPr="00FB2E3B">
        <w:rPr>
          <w:rFonts w:ascii="Times New Roman" w:hAnsi="Times New Roman"/>
          <w:sz w:val="24"/>
          <w:szCs w:val="24"/>
        </w:rPr>
        <w:t xml:space="preserve">Përvec huave për financimin e projekteve nga kreditorët dypalësh dhe shumëpalësh, gjatë </w:t>
      </w:r>
      <w:r w:rsidR="001143E4">
        <w:rPr>
          <w:rFonts w:ascii="Times New Roman" w:hAnsi="Times New Roman"/>
          <w:sz w:val="24"/>
          <w:szCs w:val="24"/>
        </w:rPr>
        <w:t>vitit 2021</w:t>
      </w:r>
      <w:r w:rsidRPr="00FB2E3B">
        <w:rPr>
          <w:rFonts w:ascii="Times New Roman" w:hAnsi="Times New Roman"/>
          <w:sz w:val="24"/>
          <w:szCs w:val="24"/>
        </w:rPr>
        <w:t xml:space="preserve"> vlen për t</w:t>
      </w:r>
      <w:r w:rsidR="00BF30F5">
        <w:rPr>
          <w:rFonts w:ascii="Times New Roman" w:hAnsi="Times New Roman"/>
          <w:sz w:val="24"/>
          <w:szCs w:val="24"/>
        </w:rPr>
        <w:t>’</w:t>
      </w:r>
      <w:r w:rsidRPr="00FB2E3B">
        <w:rPr>
          <w:rFonts w:ascii="Times New Roman" w:hAnsi="Times New Roman"/>
          <w:sz w:val="24"/>
          <w:szCs w:val="24"/>
        </w:rPr>
        <w:t>u përmendur:</w:t>
      </w:r>
    </w:p>
    <w:p w:rsidR="006F1BA4" w:rsidRPr="00FB2E3B" w:rsidRDefault="006F1BA4" w:rsidP="006F1BA4">
      <w:pPr>
        <w:numPr>
          <w:ilvl w:val="0"/>
          <w:numId w:val="17"/>
        </w:numPr>
        <w:spacing w:after="0" w:line="240" w:lineRule="auto"/>
        <w:ind w:left="426" w:right="-46" w:hanging="426"/>
        <w:contextualSpacing/>
        <w:jc w:val="both"/>
        <w:rPr>
          <w:rFonts w:ascii="Times New Roman" w:hAnsi="Times New Roman"/>
          <w:noProof/>
          <w:sz w:val="24"/>
          <w:szCs w:val="24"/>
        </w:rPr>
      </w:pPr>
      <w:r w:rsidRPr="00FB2E3B">
        <w:rPr>
          <w:rFonts w:ascii="Times New Roman" w:hAnsi="Times New Roman"/>
          <w:noProof/>
          <w:sz w:val="24"/>
          <w:szCs w:val="24"/>
        </w:rPr>
        <w:t>Mbështetja Buxhetore e Bankës Botërore në vlerën 80 milion USD në politikat për zhvillimin e qëndrueshmërisë dhe rritjes fiskale.</w:t>
      </w:r>
    </w:p>
    <w:p w:rsidR="006F1BA4" w:rsidRPr="00FB2E3B" w:rsidRDefault="006F1BA4" w:rsidP="006F1BA4">
      <w:pPr>
        <w:numPr>
          <w:ilvl w:val="0"/>
          <w:numId w:val="17"/>
        </w:numPr>
        <w:spacing w:after="0" w:line="240" w:lineRule="auto"/>
        <w:ind w:left="426" w:right="-46" w:hanging="426"/>
        <w:contextualSpacing/>
        <w:jc w:val="both"/>
        <w:rPr>
          <w:rFonts w:ascii="Times New Roman" w:hAnsi="Times New Roman"/>
          <w:noProof/>
          <w:sz w:val="24"/>
          <w:szCs w:val="24"/>
        </w:rPr>
      </w:pPr>
      <w:r w:rsidRPr="00FB2E3B">
        <w:rPr>
          <w:rFonts w:ascii="Times New Roman" w:hAnsi="Times New Roman"/>
          <w:noProof/>
          <w:sz w:val="24"/>
          <w:szCs w:val="24"/>
        </w:rPr>
        <w:t>Mbështetja Buxhetore e Bashkimit Europian, në vlerën 180 milion Euro për Asistencën Makro - Fiskale.</w:t>
      </w:r>
    </w:p>
    <w:p w:rsidR="006F1BA4" w:rsidRDefault="006F1BA4" w:rsidP="006F1BA4">
      <w:pPr>
        <w:numPr>
          <w:ilvl w:val="0"/>
          <w:numId w:val="17"/>
        </w:numPr>
        <w:spacing w:after="0" w:line="240" w:lineRule="auto"/>
        <w:ind w:left="426" w:right="-46" w:hanging="426"/>
        <w:contextualSpacing/>
        <w:jc w:val="both"/>
        <w:rPr>
          <w:rFonts w:ascii="Times New Roman" w:hAnsi="Times New Roman"/>
          <w:noProof/>
          <w:sz w:val="24"/>
          <w:szCs w:val="24"/>
        </w:rPr>
      </w:pPr>
      <w:r w:rsidRPr="00FB2E3B">
        <w:rPr>
          <w:rFonts w:ascii="Times New Roman" w:hAnsi="Times New Roman"/>
          <w:noProof/>
          <w:sz w:val="24"/>
          <w:szCs w:val="24"/>
        </w:rPr>
        <w:t>Mbështetja Buxhetore e Kf</w:t>
      </w:r>
      <w:r w:rsidR="0017092C">
        <w:rPr>
          <w:rFonts w:ascii="Times New Roman" w:hAnsi="Times New Roman"/>
          <w:noProof/>
          <w:sz w:val="24"/>
          <w:szCs w:val="24"/>
        </w:rPr>
        <w:t>W</w:t>
      </w:r>
      <w:r w:rsidRPr="00FB2E3B">
        <w:rPr>
          <w:rFonts w:ascii="Times New Roman" w:hAnsi="Times New Roman"/>
          <w:noProof/>
          <w:sz w:val="24"/>
          <w:szCs w:val="24"/>
        </w:rPr>
        <w:t xml:space="preserve"> në kuadër të reformës së energjisë (100 milion Euro).</w:t>
      </w:r>
    </w:p>
    <w:p w:rsidR="00694361" w:rsidRDefault="00694361" w:rsidP="00FB2E3B">
      <w:pPr>
        <w:spacing w:after="0" w:line="240" w:lineRule="auto"/>
        <w:ind w:right="-46"/>
        <w:contextualSpacing/>
        <w:jc w:val="both"/>
        <w:rPr>
          <w:rFonts w:ascii="Times New Roman" w:hAnsi="Times New Roman"/>
          <w:sz w:val="24"/>
          <w:szCs w:val="24"/>
        </w:rPr>
      </w:pPr>
    </w:p>
    <w:p w:rsidR="008F2F19" w:rsidRPr="00DD5758" w:rsidRDefault="001143E4" w:rsidP="00FB2E3B">
      <w:pPr>
        <w:spacing w:after="0" w:line="240" w:lineRule="auto"/>
        <w:ind w:right="-46"/>
        <w:contextualSpacing/>
        <w:jc w:val="both"/>
        <w:rPr>
          <w:rFonts w:ascii="Times New Roman" w:eastAsia="Calibri" w:hAnsi="Times New Roman" w:cs="Times New Roman"/>
          <w:noProof/>
          <w:sz w:val="16"/>
          <w:szCs w:val="16"/>
        </w:rPr>
      </w:pPr>
      <w:r>
        <w:rPr>
          <w:rFonts w:ascii="Times New Roman" w:hAnsi="Times New Roman"/>
          <w:sz w:val="24"/>
          <w:szCs w:val="24"/>
        </w:rPr>
        <w:t>P</w:t>
      </w:r>
      <w:r w:rsidR="00FD335A">
        <w:rPr>
          <w:rFonts w:ascii="Times New Roman" w:hAnsi="Times New Roman"/>
          <w:sz w:val="24"/>
          <w:szCs w:val="24"/>
        </w:rPr>
        <w:t>ë</w:t>
      </w:r>
      <w:r>
        <w:rPr>
          <w:rFonts w:ascii="Times New Roman" w:hAnsi="Times New Roman"/>
          <w:sz w:val="24"/>
          <w:szCs w:val="24"/>
        </w:rPr>
        <w:t>r sa i p</w:t>
      </w:r>
      <w:r w:rsidR="00FD335A">
        <w:rPr>
          <w:rFonts w:ascii="Times New Roman" w:hAnsi="Times New Roman"/>
          <w:sz w:val="24"/>
          <w:szCs w:val="24"/>
        </w:rPr>
        <w:t>ë</w:t>
      </w:r>
      <w:r>
        <w:rPr>
          <w:rFonts w:ascii="Times New Roman" w:hAnsi="Times New Roman"/>
          <w:sz w:val="24"/>
          <w:szCs w:val="24"/>
        </w:rPr>
        <w:t>rket kredive p</w:t>
      </w:r>
      <w:r w:rsidR="00FD335A">
        <w:rPr>
          <w:rFonts w:ascii="Times New Roman" w:hAnsi="Times New Roman"/>
          <w:sz w:val="24"/>
          <w:szCs w:val="24"/>
        </w:rPr>
        <w:t>ë</w:t>
      </w:r>
      <w:r>
        <w:rPr>
          <w:rFonts w:ascii="Times New Roman" w:hAnsi="Times New Roman"/>
          <w:sz w:val="24"/>
          <w:szCs w:val="24"/>
        </w:rPr>
        <w:t>r financimin e projekteve, edhe gjat</w:t>
      </w:r>
      <w:r w:rsidR="00FD335A">
        <w:rPr>
          <w:rFonts w:ascii="Times New Roman" w:hAnsi="Times New Roman"/>
          <w:sz w:val="24"/>
          <w:szCs w:val="24"/>
        </w:rPr>
        <w:t>ë</w:t>
      </w:r>
      <w:r>
        <w:rPr>
          <w:rFonts w:ascii="Times New Roman" w:hAnsi="Times New Roman"/>
          <w:sz w:val="24"/>
          <w:szCs w:val="24"/>
        </w:rPr>
        <w:t xml:space="preserve"> vitit 2021, pesh</w:t>
      </w:r>
      <w:r w:rsidR="00FD335A">
        <w:rPr>
          <w:rFonts w:ascii="Times New Roman" w:hAnsi="Times New Roman"/>
          <w:sz w:val="24"/>
          <w:szCs w:val="24"/>
        </w:rPr>
        <w:t>ë</w:t>
      </w:r>
      <w:r>
        <w:rPr>
          <w:rFonts w:ascii="Times New Roman" w:hAnsi="Times New Roman"/>
          <w:sz w:val="24"/>
          <w:szCs w:val="24"/>
        </w:rPr>
        <w:t>n m</w:t>
      </w:r>
      <w:r w:rsidR="00FD335A">
        <w:rPr>
          <w:rFonts w:ascii="Times New Roman" w:hAnsi="Times New Roman"/>
          <w:sz w:val="24"/>
          <w:szCs w:val="24"/>
        </w:rPr>
        <w:t>ë</w:t>
      </w:r>
      <w:r>
        <w:rPr>
          <w:rFonts w:ascii="Times New Roman" w:hAnsi="Times New Roman"/>
          <w:sz w:val="24"/>
          <w:szCs w:val="24"/>
        </w:rPr>
        <w:t xml:space="preserve"> t</w:t>
      </w:r>
      <w:r w:rsidR="00FD335A">
        <w:rPr>
          <w:rFonts w:ascii="Times New Roman" w:hAnsi="Times New Roman"/>
          <w:sz w:val="24"/>
          <w:szCs w:val="24"/>
        </w:rPr>
        <w:t>ë</w:t>
      </w:r>
      <w:r>
        <w:rPr>
          <w:rFonts w:ascii="Times New Roman" w:hAnsi="Times New Roman"/>
          <w:sz w:val="24"/>
          <w:szCs w:val="24"/>
        </w:rPr>
        <w:t xml:space="preserve"> madhe e mbajn</w:t>
      </w:r>
      <w:r w:rsidR="00FD335A">
        <w:rPr>
          <w:rFonts w:ascii="Times New Roman" w:hAnsi="Times New Roman"/>
          <w:sz w:val="24"/>
          <w:szCs w:val="24"/>
        </w:rPr>
        <w:t>ë</w:t>
      </w:r>
      <w:r>
        <w:rPr>
          <w:rFonts w:ascii="Times New Roman" w:hAnsi="Times New Roman"/>
          <w:sz w:val="24"/>
          <w:szCs w:val="24"/>
        </w:rPr>
        <w:t xml:space="preserve"> projektet n</w:t>
      </w:r>
      <w:r w:rsidR="00FD335A">
        <w:rPr>
          <w:rFonts w:ascii="Times New Roman" w:hAnsi="Times New Roman"/>
          <w:sz w:val="24"/>
          <w:szCs w:val="24"/>
        </w:rPr>
        <w:t>ë</w:t>
      </w:r>
      <w:r>
        <w:rPr>
          <w:rFonts w:ascii="Times New Roman" w:hAnsi="Times New Roman"/>
          <w:sz w:val="24"/>
          <w:szCs w:val="24"/>
        </w:rPr>
        <w:t xml:space="preserve"> sektorin e Transportit, ndjekur nga sektori i Uj</w:t>
      </w:r>
      <w:r w:rsidR="00FD335A">
        <w:rPr>
          <w:rFonts w:ascii="Times New Roman" w:hAnsi="Times New Roman"/>
          <w:sz w:val="24"/>
          <w:szCs w:val="24"/>
        </w:rPr>
        <w:t>ë</w:t>
      </w:r>
      <w:r>
        <w:rPr>
          <w:rFonts w:ascii="Times New Roman" w:hAnsi="Times New Roman"/>
          <w:sz w:val="24"/>
          <w:szCs w:val="24"/>
        </w:rPr>
        <w:t>sjell</w:t>
      </w:r>
      <w:r w:rsidR="00FD335A">
        <w:rPr>
          <w:rFonts w:ascii="Times New Roman" w:hAnsi="Times New Roman"/>
          <w:sz w:val="24"/>
          <w:szCs w:val="24"/>
        </w:rPr>
        <w:t>ë</w:t>
      </w:r>
      <w:r>
        <w:rPr>
          <w:rFonts w:ascii="Times New Roman" w:hAnsi="Times New Roman"/>
          <w:sz w:val="24"/>
          <w:szCs w:val="24"/>
        </w:rPr>
        <w:t>s Kanalizime dhe Infrastruktura Urbane</w:t>
      </w:r>
      <w:r w:rsidR="00A2563B">
        <w:rPr>
          <w:rFonts w:ascii="Times New Roman" w:hAnsi="Times New Roman"/>
          <w:sz w:val="24"/>
          <w:szCs w:val="24"/>
        </w:rPr>
        <w:t>.</w:t>
      </w:r>
    </w:p>
    <w:p w:rsidR="00AA203D" w:rsidRPr="009B5D93" w:rsidRDefault="00AA203D" w:rsidP="00B92540">
      <w:pPr>
        <w:tabs>
          <w:tab w:val="left" w:pos="1182"/>
        </w:tabs>
        <w:spacing w:after="0" w:line="276" w:lineRule="auto"/>
        <w:ind w:right="-188"/>
        <w:jc w:val="center"/>
        <w:rPr>
          <w:rFonts w:ascii="Cambria" w:eastAsia="Calibri" w:hAnsi="Cambria" w:cs="Times New Roman"/>
          <w:i/>
          <w:noProof/>
          <w:sz w:val="20"/>
          <w:szCs w:val="20"/>
        </w:rPr>
      </w:pPr>
      <w:r w:rsidRPr="00DD5758">
        <w:rPr>
          <w:rFonts w:ascii="Cambria" w:hAnsi="Cambria" w:cs="Times New Roman"/>
          <w:b/>
          <w:noProof/>
          <w:sz w:val="20"/>
          <w:szCs w:val="20"/>
        </w:rPr>
        <w:t xml:space="preserve">Tabela 4.2 : </w:t>
      </w:r>
      <w:r w:rsidRPr="00DD5758">
        <w:rPr>
          <w:rFonts w:ascii="Cambria" w:hAnsi="Cambria" w:cs="Times New Roman"/>
          <w:i/>
          <w:noProof/>
          <w:sz w:val="20"/>
          <w:szCs w:val="20"/>
        </w:rPr>
        <w:t xml:space="preserve">Huamarrja e huaj në terma bruto </w:t>
      </w:r>
      <w:r w:rsidRPr="00DD5758">
        <w:rPr>
          <w:rFonts w:ascii="Cambria" w:eastAsia="Calibri" w:hAnsi="Cambria" w:cs="Times New Roman"/>
          <w:i/>
          <w:noProof/>
          <w:sz w:val="20"/>
          <w:szCs w:val="20"/>
        </w:rPr>
        <w:t>(</w:t>
      </w:r>
      <w:r w:rsidR="00812A0D" w:rsidRPr="00DD5758">
        <w:rPr>
          <w:rFonts w:ascii="Cambria" w:eastAsia="Calibri" w:hAnsi="Cambria" w:cs="Times New Roman"/>
          <w:i/>
          <w:noProof/>
          <w:sz w:val="20"/>
          <w:szCs w:val="20"/>
        </w:rPr>
        <w:t>20</w:t>
      </w:r>
      <w:r w:rsidR="00584441" w:rsidRPr="00DD5758">
        <w:rPr>
          <w:rFonts w:ascii="Cambria" w:eastAsia="Calibri" w:hAnsi="Cambria" w:cs="Times New Roman"/>
          <w:i/>
          <w:noProof/>
          <w:sz w:val="20"/>
          <w:szCs w:val="20"/>
        </w:rPr>
        <w:t>20</w:t>
      </w:r>
      <w:r w:rsidR="00812A0D" w:rsidRPr="00DD5758">
        <w:rPr>
          <w:rFonts w:ascii="Cambria" w:eastAsia="Calibri" w:hAnsi="Cambria" w:cs="Times New Roman"/>
          <w:i/>
          <w:noProof/>
          <w:sz w:val="20"/>
          <w:szCs w:val="20"/>
        </w:rPr>
        <w:t>- 202</w:t>
      </w:r>
      <w:r w:rsidR="00584441" w:rsidRPr="00DD5758">
        <w:rPr>
          <w:rFonts w:ascii="Cambria" w:eastAsia="Calibri" w:hAnsi="Cambria" w:cs="Times New Roman"/>
          <w:i/>
          <w:noProof/>
          <w:sz w:val="20"/>
          <w:szCs w:val="20"/>
        </w:rPr>
        <w:t>1</w:t>
      </w:r>
      <w:r w:rsidRPr="00DD5758">
        <w:rPr>
          <w:rFonts w:ascii="Cambria" w:eastAsia="Calibri" w:hAnsi="Cambria" w:cs="Times New Roman"/>
          <w:i/>
          <w:noProof/>
          <w:sz w:val="20"/>
          <w:szCs w:val="20"/>
        </w:rPr>
        <w:t>)</w:t>
      </w:r>
    </w:p>
    <w:tbl>
      <w:tblPr>
        <w:tblW w:w="9213" w:type="dxa"/>
        <w:tblLook w:val="04A0" w:firstRow="1" w:lastRow="0" w:firstColumn="1" w:lastColumn="0" w:noHBand="0" w:noVBand="1"/>
      </w:tblPr>
      <w:tblGrid>
        <w:gridCol w:w="3420"/>
        <w:gridCol w:w="1319"/>
        <w:gridCol w:w="1482"/>
        <w:gridCol w:w="1437"/>
        <w:gridCol w:w="1555"/>
      </w:tblGrid>
      <w:tr w:rsidR="006351E7" w:rsidRPr="006351E7" w:rsidTr="00FB2E3B">
        <w:trPr>
          <w:trHeight w:val="249"/>
        </w:trPr>
        <w:tc>
          <w:tcPr>
            <w:tcW w:w="3420" w:type="dxa"/>
            <w:vMerge w:val="restart"/>
            <w:tcBorders>
              <w:top w:val="nil"/>
              <w:left w:val="nil"/>
              <w:bottom w:val="nil"/>
              <w:right w:val="single" w:sz="8" w:space="0" w:color="FFFFFF"/>
            </w:tcBorders>
            <w:shd w:val="clear" w:color="000000" w:fill="4F81BD"/>
            <w:noWrap/>
            <w:vAlign w:val="center"/>
            <w:hideMark/>
          </w:tcPr>
          <w:p w:rsidR="006351E7" w:rsidRPr="00FB2E3B" w:rsidRDefault="006351E7" w:rsidP="006351E7">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Huajamarrja e Huaj Bruto</w:t>
            </w:r>
          </w:p>
        </w:tc>
        <w:tc>
          <w:tcPr>
            <w:tcW w:w="2801" w:type="dxa"/>
            <w:gridSpan w:val="2"/>
            <w:tcBorders>
              <w:top w:val="nil"/>
              <w:left w:val="single" w:sz="8" w:space="0" w:color="FFFFFF"/>
              <w:bottom w:val="single" w:sz="8" w:space="0" w:color="FFFFFF"/>
              <w:right w:val="nil"/>
            </w:tcBorders>
            <w:shd w:val="clear" w:color="000000" w:fill="4F81BD"/>
            <w:noWrap/>
            <w:vAlign w:val="center"/>
            <w:hideMark/>
          </w:tcPr>
          <w:p w:rsidR="006351E7" w:rsidRPr="00FB2E3B" w:rsidRDefault="006351E7" w:rsidP="006351E7">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2020</w:t>
            </w:r>
          </w:p>
        </w:tc>
        <w:tc>
          <w:tcPr>
            <w:tcW w:w="2992" w:type="dxa"/>
            <w:gridSpan w:val="2"/>
            <w:tcBorders>
              <w:top w:val="nil"/>
              <w:left w:val="single" w:sz="8" w:space="0" w:color="FFFFFF"/>
              <w:bottom w:val="single" w:sz="8" w:space="0" w:color="FFFFFF"/>
              <w:right w:val="nil"/>
            </w:tcBorders>
            <w:shd w:val="clear" w:color="000000" w:fill="4F81BD"/>
            <w:noWrap/>
            <w:vAlign w:val="center"/>
            <w:hideMark/>
          </w:tcPr>
          <w:p w:rsidR="006351E7" w:rsidRPr="00FB2E3B" w:rsidRDefault="006351E7" w:rsidP="006351E7">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2021</w:t>
            </w:r>
          </w:p>
        </w:tc>
      </w:tr>
      <w:tr w:rsidR="006351E7" w:rsidRPr="006351E7" w:rsidTr="00FB2E3B">
        <w:trPr>
          <w:trHeight w:val="404"/>
        </w:trPr>
        <w:tc>
          <w:tcPr>
            <w:tcW w:w="3420" w:type="dxa"/>
            <w:vMerge/>
            <w:tcBorders>
              <w:top w:val="nil"/>
              <w:left w:val="nil"/>
              <w:bottom w:val="nil"/>
              <w:right w:val="single" w:sz="8" w:space="0" w:color="FFFFFF"/>
            </w:tcBorders>
            <w:vAlign w:val="center"/>
            <w:hideMark/>
          </w:tcPr>
          <w:p w:rsidR="006351E7" w:rsidRPr="00FB2E3B" w:rsidRDefault="006351E7" w:rsidP="006351E7">
            <w:pPr>
              <w:spacing w:after="0" w:line="240" w:lineRule="auto"/>
              <w:rPr>
                <w:rFonts w:eastAsia="Times New Roman" w:cs="Times New Roman"/>
                <w:b/>
                <w:bCs/>
                <w:color w:val="FFFFFF"/>
                <w:sz w:val="18"/>
                <w:szCs w:val="18"/>
                <w:lang w:val="en-US"/>
              </w:rPr>
            </w:pPr>
          </w:p>
        </w:tc>
        <w:tc>
          <w:tcPr>
            <w:tcW w:w="1319" w:type="dxa"/>
            <w:tcBorders>
              <w:top w:val="nil"/>
              <w:left w:val="nil"/>
              <w:bottom w:val="nil"/>
              <w:right w:val="nil"/>
            </w:tcBorders>
            <w:shd w:val="clear" w:color="000000" w:fill="4F81BD"/>
            <w:vAlign w:val="center"/>
            <w:hideMark/>
          </w:tcPr>
          <w:p w:rsidR="006351E7" w:rsidRPr="00FB2E3B" w:rsidRDefault="006351E7" w:rsidP="006351E7">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 xml:space="preserve">Vlera                                          </w:t>
            </w:r>
            <w:r w:rsidRPr="00FB2E3B">
              <w:rPr>
                <w:rFonts w:eastAsia="Times New Roman" w:cs="Times New Roman"/>
                <w:color w:val="FFFFFF"/>
                <w:sz w:val="18"/>
                <w:szCs w:val="18"/>
                <w:lang w:val="en-US"/>
              </w:rPr>
              <w:t>(në mld Lek)</w:t>
            </w:r>
          </w:p>
        </w:tc>
        <w:tc>
          <w:tcPr>
            <w:tcW w:w="1481" w:type="dxa"/>
            <w:tcBorders>
              <w:top w:val="nil"/>
              <w:left w:val="single" w:sz="8" w:space="0" w:color="FFFFFF"/>
              <w:bottom w:val="nil"/>
              <w:right w:val="single" w:sz="8" w:space="0" w:color="FFFFFF"/>
            </w:tcBorders>
            <w:shd w:val="clear" w:color="000000" w:fill="4F81BD"/>
            <w:noWrap/>
            <w:vAlign w:val="center"/>
            <w:hideMark/>
          </w:tcPr>
          <w:p w:rsidR="006351E7" w:rsidRPr="00FB2E3B" w:rsidRDefault="006351E7" w:rsidP="006351E7">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%/Total</w:t>
            </w:r>
          </w:p>
        </w:tc>
        <w:tc>
          <w:tcPr>
            <w:tcW w:w="1437" w:type="dxa"/>
            <w:tcBorders>
              <w:top w:val="nil"/>
              <w:left w:val="nil"/>
              <w:bottom w:val="nil"/>
              <w:right w:val="nil"/>
            </w:tcBorders>
            <w:shd w:val="clear" w:color="000000" w:fill="4F81BD"/>
            <w:vAlign w:val="center"/>
            <w:hideMark/>
          </w:tcPr>
          <w:p w:rsidR="006351E7" w:rsidRPr="00FB2E3B" w:rsidRDefault="006351E7" w:rsidP="006351E7">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 xml:space="preserve">Vlera                                          </w:t>
            </w:r>
            <w:r w:rsidRPr="00FB2E3B">
              <w:rPr>
                <w:rFonts w:eastAsia="Times New Roman" w:cs="Times New Roman"/>
                <w:color w:val="FFFFFF"/>
                <w:sz w:val="18"/>
                <w:szCs w:val="18"/>
                <w:lang w:val="en-US"/>
              </w:rPr>
              <w:t>(në mld Lek)</w:t>
            </w:r>
          </w:p>
        </w:tc>
        <w:tc>
          <w:tcPr>
            <w:tcW w:w="1554" w:type="dxa"/>
            <w:tcBorders>
              <w:top w:val="nil"/>
              <w:left w:val="single" w:sz="8" w:space="0" w:color="FFFFFF"/>
              <w:bottom w:val="nil"/>
              <w:right w:val="single" w:sz="8" w:space="0" w:color="FFFFFF"/>
            </w:tcBorders>
            <w:shd w:val="clear" w:color="000000" w:fill="4F81BD"/>
            <w:noWrap/>
            <w:vAlign w:val="center"/>
            <w:hideMark/>
          </w:tcPr>
          <w:p w:rsidR="006351E7" w:rsidRPr="00FB2E3B" w:rsidRDefault="006351E7" w:rsidP="006351E7">
            <w:pPr>
              <w:spacing w:after="0" w:line="240" w:lineRule="auto"/>
              <w:jc w:val="center"/>
              <w:rPr>
                <w:rFonts w:eastAsia="Times New Roman" w:cs="Times New Roman"/>
                <w:b/>
                <w:bCs/>
                <w:color w:val="FFFFFF"/>
                <w:sz w:val="18"/>
                <w:szCs w:val="18"/>
                <w:lang w:val="en-US"/>
              </w:rPr>
            </w:pPr>
            <w:r w:rsidRPr="00FB2E3B">
              <w:rPr>
                <w:rFonts w:eastAsia="Times New Roman" w:cs="Times New Roman"/>
                <w:b/>
                <w:bCs/>
                <w:color w:val="FFFFFF"/>
                <w:sz w:val="18"/>
                <w:szCs w:val="18"/>
                <w:lang w:val="en-US"/>
              </w:rPr>
              <w:t>%/Total</w:t>
            </w:r>
          </w:p>
        </w:tc>
      </w:tr>
      <w:tr w:rsidR="006351E7" w:rsidRPr="006351E7" w:rsidTr="00FB2E3B">
        <w:trPr>
          <w:trHeight w:val="237"/>
        </w:trPr>
        <w:tc>
          <w:tcPr>
            <w:tcW w:w="3420" w:type="dxa"/>
            <w:tcBorders>
              <w:top w:val="nil"/>
              <w:left w:val="nil"/>
              <w:bottom w:val="nil"/>
              <w:right w:val="nil"/>
            </w:tcBorders>
            <w:shd w:val="clear" w:color="000000" w:fill="FFFFFF"/>
            <w:noWrap/>
            <w:vAlign w:val="center"/>
            <w:hideMark/>
          </w:tcPr>
          <w:p w:rsidR="006351E7" w:rsidRPr="00FB2E3B" w:rsidRDefault="006351E7" w:rsidP="006351E7">
            <w:pPr>
              <w:spacing w:after="0" w:line="240" w:lineRule="auto"/>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Kredi për financim projektesh</w:t>
            </w:r>
          </w:p>
        </w:tc>
        <w:tc>
          <w:tcPr>
            <w:tcW w:w="1319"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17.9</w:t>
            </w:r>
          </w:p>
        </w:tc>
        <w:tc>
          <w:tcPr>
            <w:tcW w:w="1481"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14.7%</w:t>
            </w:r>
          </w:p>
        </w:tc>
        <w:tc>
          <w:tcPr>
            <w:tcW w:w="1437"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16.3</w:t>
            </w:r>
          </w:p>
        </w:tc>
        <w:tc>
          <w:tcPr>
            <w:tcW w:w="1554"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12.0%</w:t>
            </w:r>
          </w:p>
        </w:tc>
      </w:tr>
      <w:tr w:rsidR="006351E7" w:rsidRPr="006351E7" w:rsidTr="00FB2E3B">
        <w:trPr>
          <w:trHeight w:val="237"/>
        </w:trPr>
        <w:tc>
          <w:tcPr>
            <w:tcW w:w="3420" w:type="dxa"/>
            <w:tcBorders>
              <w:top w:val="nil"/>
              <w:left w:val="nil"/>
              <w:bottom w:val="nil"/>
              <w:right w:val="nil"/>
            </w:tcBorders>
            <w:shd w:val="clear" w:color="000000" w:fill="FFFFFF"/>
            <w:noWrap/>
            <w:vAlign w:val="center"/>
            <w:hideMark/>
          </w:tcPr>
          <w:p w:rsidR="006351E7" w:rsidRPr="00FB2E3B" w:rsidRDefault="006351E7" w:rsidP="006351E7">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Energjia</w:t>
            </w:r>
          </w:p>
        </w:tc>
        <w:tc>
          <w:tcPr>
            <w:tcW w:w="1319"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1.8</w:t>
            </w:r>
          </w:p>
        </w:tc>
        <w:tc>
          <w:tcPr>
            <w:tcW w:w="1481"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1.4%</w:t>
            </w:r>
          </w:p>
        </w:tc>
        <w:tc>
          <w:tcPr>
            <w:tcW w:w="1437"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1.2</w:t>
            </w:r>
          </w:p>
        </w:tc>
        <w:tc>
          <w:tcPr>
            <w:tcW w:w="1554"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0.9%</w:t>
            </w:r>
          </w:p>
        </w:tc>
      </w:tr>
      <w:tr w:rsidR="006351E7" w:rsidRPr="006351E7" w:rsidTr="00FB2E3B">
        <w:trPr>
          <w:trHeight w:val="237"/>
        </w:trPr>
        <w:tc>
          <w:tcPr>
            <w:tcW w:w="3420" w:type="dxa"/>
            <w:tcBorders>
              <w:top w:val="nil"/>
              <w:left w:val="nil"/>
              <w:bottom w:val="nil"/>
              <w:right w:val="nil"/>
            </w:tcBorders>
            <w:shd w:val="clear" w:color="000000" w:fill="FFFFFF"/>
            <w:noWrap/>
            <w:vAlign w:val="center"/>
            <w:hideMark/>
          </w:tcPr>
          <w:p w:rsidR="006351E7" w:rsidRPr="00FB2E3B" w:rsidRDefault="006351E7" w:rsidP="006351E7">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Transporti</w:t>
            </w:r>
          </w:p>
        </w:tc>
        <w:tc>
          <w:tcPr>
            <w:tcW w:w="1319"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9.0</w:t>
            </w:r>
          </w:p>
        </w:tc>
        <w:tc>
          <w:tcPr>
            <w:tcW w:w="1481"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7.4%</w:t>
            </w:r>
          </w:p>
        </w:tc>
        <w:tc>
          <w:tcPr>
            <w:tcW w:w="1437"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7.9</w:t>
            </w:r>
          </w:p>
        </w:tc>
        <w:tc>
          <w:tcPr>
            <w:tcW w:w="1554"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5.8%</w:t>
            </w:r>
          </w:p>
        </w:tc>
      </w:tr>
      <w:tr w:rsidR="006351E7" w:rsidRPr="006351E7" w:rsidTr="00FB2E3B">
        <w:trPr>
          <w:trHeight w:val="237"/>
        </w:trPr>
        <w:tc>
          <w:tcPr>
            <w:tcW w:w="3420" w:type="dxa"/>
            <w:tcBorders>
              <w:top w:val="nil"/>
              <w:left w:val="nil"/>
              <w:bottom w:val="nil"/>
              <w:right w:val="nil"/>
            </w:tcBorders>
            <w:shd w:val="clear" w:color="000000" w:fill="FFFFFF"/>
            <w:noWrap/>
            <w:vAlign w:val="center"/>
            <w:hideMark/>
          </w:tcPr>
          <w:p w:rsidR="006351E7" w:rsidRPr="00FB2E3B" w:rsidRDefault="006351E7" w:rsidP="006351E7">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Ujësjellës Kanalizime</w:t>
            </w:r>
          </w:p>
        </w:tc>
        <w:tc>
          <w:tcPr>
            <w:tcW w:w="1319"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4.3</w:t>
            </w:r>
          </w:p>
        </w:tc>
        <w:tc>
          <w:tcPr>
            <w:tcW w:w="1481"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3.6%</w:t>
            </w:r>
          </w:p>
        </w:tc>
        <w:tc>
          <w:tcPr>
            <w:tcW w:w="1437"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3.3</w:t>
            </w:r>
          </w:p>
        </w:tc>
        <w:tc>
          <w:tcPr>
            <w:tcW w:w="1554"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2.5%</w:t>
            </w:r>
          </w:p>
        </w:tc>
      </w:tr>
      <w:tr w:rsidR="006351E7" w:rsidRPr="006351E7" w:rsidTr="00FB2E3B">
        <w:trPr>
          <w:trHeight w:val="237"/>
        </w:trPr>
        <w:tc>
          <w:tcPr>
            <w:tcW w:w="3420" w:type="dxa"/>
            <w:tcBorders>
              <w:top w:val="nil"/>
              <w:left w:val="nil"/>
              <w:bottom w:val="nil"/>
              <w:right w:val="nil"/>
            </w:tcBorders>
            <w:shd w:val="clear" w:color="000000" w:fill="FFFFFF"/>
            <w:noWrap/>
            <w:vAlign w:val="center"/>
            <w:hideMark/>
          </w:tcPr>
          <w:p w:rsidR="006351E7" w:rsidRPr="00FB2E3B" w:rsidRDefault="006351E7" w:rsidP="006351E7">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Infrastruktura Urbane</w:t>
            </w:r>
          </w:p>
        </w:tc>
        <w:tc>
          <w:tcPr>
            <w:tcW w:w="1319"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0.7</w:t>
            </w:r>
          </w:p>
        </w:tc>
        <w:tc>
          <w:tcPr>
            <w:tcW w:w="1481"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0.6%</w:t>
            </w:r>
          </w:p>
        </w:tc>
        <w:tc>
          <w:tcPr>
            <w:tcW w:w="1437"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1.7</w:t>
            </w:r>
          </w:p>
        </w:tc>
        <w:tc>
          <w:tcPr>
            <w:tcW w:w="1554"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1.3%</w:t>
            </w:r>
          </w:p>
        </w:tc>
      </w:tr>
      <w:tr w:rsidR="006351E7" w:rsidRPr="006351E7" w:rsidTr="00FB2E3B">
        <w:trPr>
          <w:trHeight w:val="237"/>
        </w:trPr>
        <w:tc>
          <w:tcPr>
            <w:tcW w:w="3420" w:type="dxa"/>
            <w:tcBorders>
              <w:top w:val="nil"/>
              <w:left w:val="nil"/>
              <w:bottom w:val="nil"/>
              <w:right w:val="nil"/>
            </w:tcBorders>
            <w:shd w:val="clear" w:color="000000" w:fill="FFFFFF"/>
            <w:noWrap/>
            <w:vAlign w:val="center"/>
            <w:hideMark/>
          </w:tcPr>
          <w:p w:rsidR="006351E7" w:rsidRPr="00FB2E3B" w:rsidRDefault="006351E7" w:rsidP="006351E7">
            <w:pPr>
              <w:spacing w:after="0" w:line="240" w:lineRule="auto"/>
              <w:rPr>
                <w:rFonts w:eastAsia="Times New Roman" w:cs="Times New Roman"/>
                <w:color w:val="000000"/>
                <w:sz w:val="18"/>
                <w:szCs w:val="18"/>
                <w:lang w:val="en-US"/>
              </w:rPr>
            </w:pPr>
            <w:r w:rsidRPr="00FB2E3B">
              <w:rPr>
                <w:rFonts w:eastAsia="Times New Roman" w:cs="Times New Roman"/>
                <w:color w:val="000000"/>
                <w:sz w:val="18"/>
                <w:szCs w:val="18"/>
                <w:lang w:val="en-US"/>
              </w:rPr>
              <w:t xml:space="preserve">        Të Tjera</w:t>
            </w:r>
          </w:p>
        </w:tc>
        <w:tc>
          <w:tcPr>
            <w:tcW w:w="1319"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2.1</w:t>
            </w:r>
          </w:p>
        </w:tc>
        <w:tc>
          <w:tcPr>
            <w:tcW w:w="1481"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1.7%</w:t>
            </w:r>
          </w:p>
        </w:tc>
        <w:tc>
          <w:tcPr>
            <w:tcW w:w="1437"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2.2</w:t>
            </w:r>
          </w:p>
        </w:tc>
        <w:tc>
          <w:tcPr>
            <w:tcW w:w="1554"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1.6%</w:t>
            </w:r>
          </w:p>
        </w:tc>
      </w:tr>
      <w:tr w:rsidR="006351E7" w:rsidRPr="006351E7" w:rsidTr="00FB2E3B">
        <w:trPr>
          <w:trHeight w:val="237"/>
        </w:trPr>
        <w:tc>
          <w:tcPr>
            <w:tcW w:w="3420" w:type="dxa"/>
            <w:tcBorders>
              <w:top w:val="nil"/>
              <w:left w:val="nil"/>
              <w:bottom w:val="nil"/>
              <w:right w:val="nil"/>
            </w:tcBorders>
            <w:shd w:val="clear" w:color="000000" w:fill="FFFFFF"/>
            <w:noWrap/>
            <w:vAlign w:val="center"/>
            <w:hideMark/>
          </w:tcPr>
          <w:p w:rsidR="006351E7" w:rsidRPr="00FB2E3B" w:rsidRDefault="006351E7" w:rsidP="006351E7">
            <w:pPr>
              <w:spacing w:after="0" w:line="240" w:lineRule="auto"/>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Mbështetje Buxhetore</w:t>
            </w:r>
          </w:p>
        </w:tc>
        <w:tc>
          <w:tcPr>
            <w:tcW w:w="1319"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23.3</w:t>
            </w:r>
          </w:p>
        </w:tc>
        <w:tc>
          <w:tcPr>
            <w:tcW w:w="1481"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19.2%</w:t>
            </w:r>
          </w:p>
        </w:tc>
        <w:tc>
          <w:tcPr>
            <w:tcW w:w="1437"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42.6</w:t>
            </w:r>
          </w:p>
        </w:tc>
        <w:tc>
          <w:tcPr>
            <w:tcW w:w="1554"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31.3%</w:t>
            </w:r>
          </w:p>
        </w:tc>
      </w:tr>
      <w:tr w:rsidR="006351E7" w:rsidRPr="006351E7" w:rsidTr="00FB2E3B">
        <w:trPr>
          <w:trHeight w:val="249"/>
        </w:trPr>
        <w:tc>
          <w:tcPr>
            <w:tcW w:w="3420" w:type="dxa"/>
            <w:tcBorders>
              <w:top w:val="nil"/>
              <w:left w:val="nil"/>
              <w:bottom w:val="nil"/>
              <w:right w:val="nil"/>
            </w:tcBorders>
            <w:shd w:val="clear" w:color="000000" w:fill="FFFFFF"/>
            <w:noWrap/>
            <w:vAlign w:val="center"/>
            <w:hideMark/>
          </w:tcPr>
          <w:p w:rsidR="006351E7" w:rsidRPr="00FB2E3B" w:rsidRDefault="006351E7" w:rsidP="006351E7">
            <w:pPr>
              <w:spacing w:after="0" w:line="240" w:lineRule="auto"/>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Eurobond</w:t>
            </w:r>
          </w:p>
        </w:tc>
        <w:tc>
          <w:tcPr>
            <w:tcW w:w="1319"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80.1</w:t>
            </w:r>
          </w:p>
        </w:tc>
        <w:tc>
          <w:tcPr>
            <w:tcW w:w="1481"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66.1%</w:t>
            </w:r>
          </w:p>
        </w:tc>
        <w:tc>
          <w:tcPr>
            <w:tcW w:w="1437"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sz w:val="18"/>
                <w:szCs w:val="18"/>
                <w:lang w:val="en-US"/>
              </w:rPr>
            </w:pPr>
            <w:r w:rsidRPr="00FB2E3B">
              <w:rPr>
                <w:rFonts w:eastAsia="Times New Roman" w:cs="Times New Roman"/>
                <w:b/>
                <w:bCs/>
                <w:sz w:val="18"/>
                <w:szCs w:val="18"/>
                <w:lang w:val="en-US"/>
              </w:rPr>
              <w:t>77.2</w:t>
            </w:r>
          </w:p>
        </w:tc>
        <w:tc>
          <w:tcPr>
            <w:tcW w:w="1554" w:type="dxa"/>
            <w:tcBorders>
              <w:top w:val="nil"/>
              <w:left w:val="nil"/>
              <w:bottom w:val="nil"/>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sz w:val="18"/>
                <w:szCs w:val="18"/>
                <w:lang w:val="en-US"/>
              </w:rPr>
            </w:pPr>
            <w:r w:rsidRPr="00FB2E3B">
              <w:rPr>
                <w:rFonts w:eastAsia="Times New Roman" w:cs="Times New Roman"/>
                <w:sz w:val="18"/>
                <w:szCs w:val="18"/>
                <w:lang w:val="en-US"/>
              </w:rPr>
              <w:t>56.7%</w:t>
            </w:r>
          </w:p>
        </w:tc>
      </w:tr>
      <w:tr w:rsidR="006351E7" w:rsidRPr="006351E7" w:rsidTr="00FB2E3B">
        <w:trPr>
          <w:trHeight w:val="249"/>
        </w:trPr>
        <w:tc>
          <w:tcPr>
            <w:tcW w:w="3420" w:type="dxa"/>
            <w:tcBorders>
              <w:top w:val="single" w:sz="8" w:space="0" w:color="auto"/>
              <w:left w:val="nil"/>
              <w:bottom w:val="single" w:sz="8" w:space="0" w:color="auto"/>
              <w:right w:val="nil"/>
            </w:tcBorders>
            <w:shd w:val="clear" w:color="000000" w:fill="FFFFFF"/>
            <w:noWrap/>
            <w:vAlign w:val="center"/>
            <w:hideMark/>
          </w:tcPr>
          <w:p w:rsidR="006351E7" w:rsidRPr="00FB2E3B" w:rsidRDefault="006351E7" w:rsidP="006351E7">
            <w:pPr>
              <w:spacing w:after="0" w:line="240" w:lineRule="auto"/>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Total Huamarrja e Huaj</w:t>
            </w:r>
          </w:p>
        </w:tc>
        <w:tc>
          <w:tcPr>
            <w:tcW w:w="1319" w:type="dxa"/>
            <w:tcBorders>
              <w:top w:val="single" w:sz="8" w:space="0" w:color="auto"/>
              <w:left w:val="nil"/>
              <w:bottom w:val="single" w:sz="8" w:space="0" w:color="auto"/>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121.3</w:t>
            </w:r>
          </w:p>
        </w:tc>
        <w:tc>
          <w:tcPr>
            <w:tcW w:w="1481" w:type="dxa"/>
            <w:tcBorders>
              <w:top w:val="single" w:sz="8" w:space="0" w:color="auto"/>
              <w:left w:val="nil"/>
              <w:bottom w:val="single" w:sz="8" w:space="0" w:color="auto"/>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100.0%</w:t>
            </w:r>
          </w:p>
        </w:tc>
        <w:tc>
          <w:tcPr>
            <w:tcW w:w="1437" w:type="dxa"/>
            <w:tcBorders>
              <w:top w:val="single" w:sz="8" w:space="0" w:color="auto"/>
              <w:left w:val="nil"/>
              <w:bottom w:val="single" w:sz="8" w:space="0" w:color="auto"/>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136.1</w:t>
            </w:r>
          </w:p>
        </w:tc>
        <w:tc>
          <w:tcPr>
            <w:tcW w:w="1554" w:type="dxa"/>
            <w:tcBorders>
              <w:top w:val="single" w:sz="8" w:space="0" w:color="auto"/>
              <w:left w:val="nil"/>
              <w:bottom w:val="single" w:sz="8" w:space="0" w:color="auto"/>
              <w:right w:val="nil"/>
            </w:tcBorders>
            <w:shd w:val="clear" w:color="000000" w:fill="FFFFFF"/>
            <w:noWrap/>
            <w:vAlign w:val="bottom"/>
            <w:hideMark/>
          </w:tcPr>
          <w:p w:rsidR="006351E7" w:rsidRPr="00FB2E3B" w:rsidRDefault="006351E7" w:rsidP="006351E7">
            <w:pPr>
              <w:spacing w:after="0" w:line="240" w:lineRule="auto"/>
              <w:jc w:val="right"/>
              <w:rPr>
                <w:rFonts w:eastAsia="Times New Roman" w:cs="Times New Roman"/>
                <w:b/>
                <w:bCs/>
                <w:color w:val="000000"/>
                <w:sz w:val="18"/>
                <w:szCs w:val="18"/>
                <w:lang w:val="en-US"/>
              </w:rPr>
            </w:pPr>
            <w:r w:rsidRPr="00FB2E3B">
              <w:rPr>
                <w:rFonts w:eastAsia="Times New Roman" w:cs="Times New Roman"/>
                <w:b/>
                <w:bCs/>
                <w:color w:val="000000"/>
                <w:sz w:val="18"/>
                <w:szCs w:val="18"/>
                <w:lang w:val="en-US"/>
              </w:rPr>
              <w:t>100.0%</w:t>
            </w:r>
          </w:p>
        </w:tc>
      </w:tr>
    </w:tbl>
    <w:p w:rsidR="00AA203D" w:rsidRPr="00EE7E9F" w:rsidRDefault="00AA203D">
      <w:pPr>
        <w:tabs>
          <w:tab w:val="left" w:pos="1182"/>
        </w:tabs>
        <w:spacing w:after="0" w:line="276" w:lineRule="auto"/>
        <w:ind w:right="-188"/>
        <w:jc w:val="center"/>
        <w:rPr>
          <w:rFonts w:ascii="Cambria" w:hAnsi="Cambria" w:cs="Times New Roman"/>
          <w:i/>
          <w:noProof/>
          <w:sz w:val="20"/>
          <w:szCs w:val="20"/>
          <w:highlight w:val="yellow"/>
        </w:rPr>
      </w:pPr>
      <w:r w:rsidRPr="009B5D93">
        <w:rPr>
          <w:rFonts w:ascii="Cambria" w:hAnsi="Cambria" w:cs="Times New Roman"/>
          <w:b/>
          <w:noProof/>
          <w:sz w:val="20"/>
          <w:szCs w:val="20"/>
        </w:rPr>
        <w:t xml:space="preserve">Burimi: </w:t>
      </w:r>
      <w:r w:rsidRPr="009B5D93">
        <w:rPr>
          <w:rFonts w:ascii="Cambria" w:hAnsi="Cambria" w:cs="Times New Roman"/>
          <w:i/>
          <w:noProof/>
          <w:sz w:val="20"/>
          <w:szCs w:val="20"/>
        </w:rPr>
        <w:t>Ministria e Financave dhe Ekonomisë (202</w:t>
      </w:r>
      <w:r w:rsidR="00694361">
        <w:rPr>
          <w:rFonts w:ascii="Cambria" w:hAnsi="Cambria" w:cs="Times New Roman"/>
          <w:i/>
          <w:noProof/>
          <w:sz w:val="20"/>
          <w:szCs w:val="20"/>
        </w:rPr>
        <w:t>2</w:t>
      </w:r>
      <w:r w:rsidRPr="009B5D93">
        <w:rPr>
          <w:rFonts w:ascii="Cambria" w:hAnsi="Cambria" w:cs="Times New Roman"/>
          <w:i/>
          <w:noProof/>
          <w:sz w:val="20"/>
          <w:szCs w:val="20"/>
        </w:rPr>
        <w:t>)</w:t>
      </w:r>
    </w:p>
    <w:p w:rsidR="00113426" w:rsidRPr="00FB2E3B" w:rsidRDefault="00113426" w:rsidP="00B92540">
      <w:pPr>
        <w:tabs>
          <w:tab w:val="left" w:pos="1719"/>
        </w:tabs>
        <w:spacing w:after="0" w:line="276" w:lineRule="auto"/>
        <w:ind w:right="-188"/>
        <w:jc w:val="both"/>
        <w:rPr>
          <w:rFonts w:ascii="Times New Roman" w:eastAsia="Calibri" w:hAnsi="Times New Roman" w:cs="Times New Roman"/>
          <w:noProof/>
          <w:sz w:val="16"/>
          <w:szCs w:val="16"/>
          <w:highlight w:val="yellow"/>
        </w:rPr>
      </w:pPr>
    </w:p>
    <w:p w:rsidR="00A8332E" w:rsidRPr="009B5D93" w:rsidRDefault="00556DBE" w:rsidP="00B92540">
      <w:pPr>
        <w:pStyle w:val="Heading1"/>
        <w:numPr>
          <w:ilvl w:val="0"/>
          <w:numId w:val="5"/>
        </w:numPr>
        <w:spacing w:before="0" w:after="240" w:line="276" w:lineRule="auto"/>
        <w:ind w:left="426" w:right="-188" w:hanging="426"/>
        <w:jc w:val="both"/>
        <w:rPr>
          <w:rFonts w:ascii="Cambria" w:hAnsi="Cambria"/>
          <w:color w:val="C00000"/>
          <w:sz w:val="24"/>
          <w:szCs w:val="24"/>
        </w:rPr>
      </w:pPr>
      <w:bookmarkStart w:id="11" w:name="_Toc34645067"/>
      <w:r w:rsidRPr="009B5D93">
        <w:rPr>
          <w:rFonts w:ascii="Cambria" w:hAnsi="Cambria"/>
          <w:color w:val="C00000"/>
          <w:sz w:val="24"/>
          <w:szCs w:val="24"/>
        </w:rPr>
        <w:t>Kosto</w:t>
      </w:r>
      <w:r w:rsidR="00B1244A" w:rsidRPr="009B5D93">
        <w:rPr>
          <w:rFonts w:ascii="Cambria" w:hAnsi="Cambria"/>
          <w:color w:val="C00000"/>
          <w:sz w:val="24"/>
          <w:szCs w:val="24"/>
        </w:rPr>
        <w:t xml:space="preserve"> dhe Risqet</w:t>
      </w:r>
      <w:bookmarkEnd w:id="11"/>
    </w:p>
    <w:p w:rsidR="00372E7D" w:rsidRPr="00FB2E3B" w:rsidRDefault="006F1BA4" w:rsidP="00FB2E3B">
      <w:pPr>
        <w:jc w:val="both"/>
        <w:rPr>
          <w:noProof/>
        </w:rPr>
      </w:pPr>
      <w:r w:rsidRPr="00FB2E3B">
        <w:rPr>
          <w:rFonts w:ascii="Times New Roman" w:hAnsi="Times New Roman" w:cs="Times New Roman"/>
          <w:noProof/>
          <w:sz w:val="24"/>
          <w:szCs w:val="24"/>
        </w:rPr>
        <w:t>Kushtet e favorshme në tregjet e brendshme dhe të jashtme përsa i përket kërkesës për borxh si dhe mjedisi i favorshëm i normave të interesit, shoqëruar me një strategji huamarrje të mbështetur kryesisht në titujt afatgjatë me norma interesi fikse, mundësuan reduktimin e mëtejshëm të ekspozimit ndaj risqeve si edhe mbajtjen e kostos nën kontrroll.</w:t>
      </w:r>
    </w:p>
    <w:p w:rsidR="00372E7D" w:rsidRPr="00537E0D" w:rsidRDefault="00372E7D" w:rsidP="00BC5BC9">
      <w:pPr>
        <w:pStyle w:val="Heading2"/>
        <w:numPr>
          <w:ilvl w:val="1"/>
          <w:numId w:val="5"/>
        </w:numPr>
        <w:spacing w:before="0" w:after="240" w:line="276" w:lineRule="auto"/>
        <w:ind w:left="567" w:right="-46" w:hanging="567"/>
        <w:jc w:val="both"/>
        <w:rPr>
          <w:rFonts w:ascii="Cambria" w:hAnsi="Cambria"/>
          <w:noProof/>
          <w:color w:val="auto"/>
        </w:rPr>
      </w:pPr>
      <w:bookmarkStart w:id="12" w:name="_Toc34645068"/>
      <w:r w:rsidRPr="00537E0D">
        <w:rPr>
          <w:rFonts w:ascii="Cambria" w:hAnsi="Cambria"/>
          <w:noProof/>
          <w:color w:val="auto"/>
        </w:rPr>
        <w:t>Kosto</w:t>
      </w:r>
      <w:bookmarkEnd w:id="12"/>
      <w:r w:rsidR="00E227B8" w:rsidRPr="00537E0D">
        <w:rPr>
          <w:rFonts w:ascii="Cambria" w:hAnsi="Cambria"/>
          <w:noProof/>
          <w:color w:val="auto"/>
        </w:rPr>
        <w:t xml:space="preserve"> </w:t>
      </w:r>
    </w:p>
    <w:p w:rsidR="00A2563B" w:rsidRPr="00FB2E3B" w:rsidRDefault="00A2563B" w:rsidP="00A2563B">
      <w:pPr>
        <w:tabs>
          <w:tab w:val="left" w:pos="1182"/>
        </w:tabs>
        <w:spacing w:after="0" w:line="276" w:lineRule="auto"/>
        <w:ind w:right="-46"/>
        <w:jc w:val="both"/>
        <w:rPr>
          <w:rFonts w:ascii="Times New Roman" w:hAnsi="Times New Roman" w:cs="Times New Roman"/>
          <w:noProof/>
          <w:color w:val="000000"/>
          <w:sz w:val="24"/>
          <w:szCs w:val="23"/>
        </w:rPr>
      </w:pPr>
      <w:r w:rsidRPr="00A2563B">
        <w:rPr>
          <w:rFonts w:ascii="Times New Roman" w:hAnsi="Times New Roman" w:cs="Times New Roman"/>
          <w:noProof/>
          <w:color w:val="000000"/>
          <w:sz w:val="24"/>
          <w:szCs w:val="23"/>
        </w:rPr>
        <w:t xml:space="preserve">Shpenzimet për interesa gjatë </w:t>
      </w:r>
      <w:r>
        <w:rPr>
          <w:rFonts w:ascii="Times New Roman" w:hAnsi="Times New Roman" w:cs="Times New Roman"/>
          <w:noProof/>
          <w:color w:val="000000"/>
          <w:sz w:val="24"/>
          <w:szCs w:val="23"/>
        </w:rPr>
        <w:t xml:space="preserve">vitit 2021 </w:t>
      </w:r>
      <w:r w:rsidR="006648D1">
        <w:rPr>
          <w:rFonts w:ascii="Times New Roman" w:hAnsi="Times New Roman" w:cs="Times New Roman"/>
          <w:noProof/>
          <w:color w:val="000000"/>
          <w:sz w:val="24"/>
          <w:szCs w:val="23"/>
        </w:rPr>
        <w:t>përllogariten në vlerën prej</w:t>
      </w:r>
      <w:r>
        <w:rPr>
          <w:rFonts w:ascii="Times New Roman" w:hAnsi="Times New Roman" w:cs="Times New Roman"/>
          <w:noProof/>
          <w:color w:val="000000"/>
          <w:sz w:val="24"/>
          <w:szCs w:val="23"/>
        </w:rPr>
        <w:t xml:space="preserve"> 35.8</w:t>
      </w:r>
      <w:r w:rsidRPr="00A2563B">
        <w:rPr>
          <w:rFonts w:ascii="Times New Roman" w:hAnsi="Times New Roman" w:cs="Times New Roman"/>
          <w:noProof/>
          <w:color w:val="000000"/>
          <w:sz w:val="24"/>
          <w:szCs w:val="23"/>
        </w:rPr>
        <w:t xml:space="preserve"> miliard Lekë. Krahasuar me vitin e kaluar, në përputhje me parash</w:t>
      </w:r>
      <w:r>
        <w:rPr>
          <w:rFonts w:ascii="Times New Roman" w:hAnsi="Times New Roman" w:cs="Times New Roman"/>
          <w:noProof/>
          <w:color w:val="000000"/>
          <w:sz w:val="24"/>
          <w:szCs w:val="23"/>
        </w:rPr>
        <w:t>ikimet për buxhetin e vitit 2021</w:t>
      </w:r>
      <w:r w:rsidRPr="00A2563B">
        <w:rPr>
          <w:rFonts w:ascii="Times New Roman" w:hAnsi="Times New Roman" w:cs="Times New Roman"/>
          <w:noProof/>
          <w:color w:val="000000"/>
          <w:sz w:val="24"/>
          <w:szCs w:val="23"/>
        </w:rPr>
        <w:t xml:space="preserve">, shpenzimet për interesa </w:t>
      </w:r>
      <w:r>
        <w:rPr>
          <w:rFonts w:ascii="Times New Roman" w:hAnsi="Times New Roman" w:cs="Times New Roman"/>
          <w:noProof/>
          <w:color w:val="000000"/>
          <w:sz w:val="24"/>
          <w:szCs w:val="23"/>
        </w:rPr>
        <w:t xml:space="preserve">të borxhit shtetëror janë rritur </w:t>
      </w:r>
      <w:r w:rsidRPr="00A2563B">
        <w:rPr>
          <w:rFonts w:ascii="Times New Roman" w:hAnsi="Times New Roman" w:cs="Times New Roman"/>
          <w:noProof/>
          <w:color w:val="000000"/>
          <w:sz w:val="24"/>
          <w:szCs w:val="23"/>
        </w:rPr>
        <w:t xml:space="preserve">me 1.4 miliard Lekë. </w:t>
      </w:r>
      <w:r>
        <w:rPr>
          <w:rFonts w:ascii="Times New Roman" w:hAnsi="Times New Roman" w:cs="Times New Roman"/>
          <w:noProof/>
          <w:color w:val="000000"/>
          <w:sz w:val="24"/>
          <w:szCs w:val="23"/>
        </w:rPr>
        <w:t>Rritja e shpenzimeve p</w:t>
      </w:r>
      <w:r w:rsidR="00FD335A">
        <w:rPr>
          <w:rFonts w:ascii="Times New Roman" w:hAnsi="Times New Roman" w:cs="Times New Roman"/>
          <w:noProof/>
          <w:color w:val="000000"/>
          <w:sz w:val="24"/>
          <w:szCs w:val="23"/>
        </w:rPr>
        <w:t>ë</w:t>
      </w:r>
      <w:r>
        <w:rPr>
          <w:rFonts w:ascii="Times New Roman" w:hAnsi="Times New Roman" w:cs="Times New Roman"/>
          <w:noProof/>
          <w:color w:val="000000"/>
          <w:sz w:val="24"/>
          <w:szCs w:val="23"/>
        </w:rPr>
        <w:t>r intersa ka ardhur kryesisht si rezultat i rritjes s</w:t>
      </w:r>
      <w:r w:rsidR="00FD335A">
        <w:rPr>
          <w:rFonts w:ascii="Times New Roman" w:hAnsi="Times New Roman" w:cs="Times New Roman"/>
          <w:noProof/>
          <w:color w:val="000000"/>
          <w:sz w:val="24"/>
          <w:szCs w:val="23"/>
        </w:rPr>
        <w:t>ë</w:t>
      </w:r>
      <w:r>
        <w:rPr>
          <w:rFonts w:ascii="Times New Roman" w:hAnsi="Times New Roman" w:cs="Times New Roman"/>
          <w:noProof/>
          <w:color w:val="000000"/>
          <w:sz w:val="24"/>
          <w:szCs w:val="23"/>
        </w:rPr>
        <w:t xml:space="preserve"> stokut t</w:t>
      </w:r>
      <w:r w:rsidR="00FD335A">
        <w:rPr>
          <w:rFonts w:ascii="Times New Roman" w:hAnsi="Times New Roman" w:cs="Times New Roman"/>
          <w:noProof/>
          <w:color w:val="000000"/>
          <w:sz w:val="24"/>
          <w:szCs w:val="23"/>
        </w:rPr>
        <w:t>ë</w:t>
      </w:r>
      <w:r>
        <w:rPr>
          <w:rFonts w:ascii="Times New Roman" w:hAnsi="Times New Roman" w:cs="Times New Roman"/>
          <w:noProof/>
          <w:color w:val="000000"/>
          <w:sz w:val="24"/>
          <w:szCs w:val="23"/>
        </w:rPr>
        <w:t xml:space="preserve"> borxhit gjat</w:t>
      </w:r>
      <w:r w:rsidR="00FD335A">
        <w:rPr>
          <w:rFonts w:ascii="Times New Roman" w:hAnsi="Times New Roman" w:cs="Times New Roman"/>
          <w:noProof/>
          <w:color w:val="000000"/>
          <w:sz w:val="24"/>
          <w:szCs w:val="23"/>
        </w:rPr>
        <w:t>ë</w:t>
      </w:r>
      <w:r>
        <w:rPr>
          <w:rFonts w:ascii="Times New Roman" w:hAnsi="Times New Roman" w:cs="Times New Roman"/>
          <w:noProof/>
          <w:color w:val="000000"/>
          <w:sz w:val="24"/>
          <w:szCs w:val="23"/>
        </w:rPr>
        <w:t xml:space="preserve"> vitit 2021. </w:t>
      </w:r>
      <w:r w:rsidR="006648D1">
        <w:rPr>
          <w:rFonts w:ascii="Times New Roman" w:hAnsi="Times New Roman" w:cs="Times New Roman"/>
          <w:noProof/>
          <w:color w:val="000000"/>
          <w:sz w:val="24"/>
          <w:szCs w:val="23"/>
        </w:rPr>
        <w:t>N</w:t>
      </w:r>
      <w:r w:rsidRPr="00FB2E3B">
        <w:rPr>
          <w:rFonts w:ascii="Times New Roman" w:hAnsi="Times New Roman" w:cs="Times New Roman"/>
          <w:noProof/>
          <w:color w:val="000000"/>
          <w:sz w:val="24"/>
          <w:szCs w:val="23"/>
        </w:rPr>
        <w:t>ë terma relativë, treguesi i interesave të paguara kundrejt të ardhurave tatimore, ka pësuar rënie në krahasim me një vit më parë, si rezultat i rritjes së të ardhurave tatimore.</w:t>
      </w:r>
    </w:p>
    <w:p w:rsidR="00A2563B" w:rsidRPr="00FB2E3B" w:rsidRDefault="00A2563B" w:rsidP="00BC5BC9">
      <w:pPr>
        <w:autoSpaceDE w:val="0"/>
        <w:autoSpaceDN w:val="0"/>
        <w:adjustRightInd w:val="0"/>
        <w:spacing w:after="0" w:line="276" w:lineRule="auto"/>
        <w:ind w:right="-46"/>
        <w:jc w:val="both"/>
        <w:rPr>
          <w:rFonts w:ascii="Times New Roman" w:hAnsi="Times New Roman" w:cs="Times New Roman"/>
          <w:noProof/>
          <w:color w:val="000000"/>
          <w:sz w:val="16"/>
          <w:szCs w:val="16"/>
          <w:highlight w:val="yellow"/>
        </w:rPr>
      </w:pPr>
    </w:p>
    <w:p w:rsidR="00694361" w:rsidRPr="00A2563B" w:rsidRDefault="00372E7D" w:rsidP="00FB2E3B">
      <w:pPr>
        <w:autoSpaceDE w:val="0"/>
        <w:autoSpaceDN w:val="0"/>
        <w:adjustRightInd w:val="0"/>
        <w:spacing w:after="0" w:line="276" w:lineRule="auto"/>
        <w:ind w:right="-46"/>
        <w:jc w:val="both"/>
        <w:rPr>
          <w:rFonts w:ascii="Times New Roman" w:hAnsi="Times New Roman" w:cs="Times New Roman"/>
          <w:noProof/>
          <w:color w:val="000000"/>
          <w:sz w:val="24"/>
          <w:szCs w:val="23"/>
        </w:rPr>
      </w:pPr>
      <w:r w:rsidRPr="00A2563B">
        <w:rPr>
          <w:rFonts w:ascii="Times New Roman" w:hAnsi="Times New Roman" w:cs="Times New Roman"/>
          <w:noProof/>
          <w:color w:val="000000"/>
          <w:sz w:val="24"/>
          <w:szCs w:val="23"/>
        </w:rPr>
        <w:t xml:space="preserve">Kosto për njësi </w:t>
      </w:r>
      <w:r w:rsidR="00604392" w:rsidRPr="00A2563B">
        <w:rPr>
          <w:rFonts w:ascii="Times New Roman" w:hAnsi="Times New Roman" w:cs="Times New Roman"/>
          <w:noProof/>
          <w:color w:val="000000"/>
          <w:sz w:val="24"/>
          <w:szCs w:val="23"/>
        </w:rPr>
        <w:t>e portofolit t</w:t>
      </w:r>
      <w:r w:rsidR="00A70F29" w:rsidRPr="00A2563B">
        <w:rPr>
          <w:rFonts w:ascii="Times New Roman" w:hAnsi="Times New Roman" w:cs="Times New Roman"/>
          <w:noProof/>
          <w:color w:val="000000"/>
          <w:sz w:val="24"/>
          <w:szCs w:val="23"/>
        </w:rPr>
        <w:t>ë</w:t>
      </w:r>
      <w:r w:rsidRPr="00A2563B">
        <w:rPr>
          <w:rFonts w:ascii="Times New Roman" w:hAnsi="Times New Roman" w:cs="Times New Roman"/>
          <w:noProof/>
          <w:color w:val="000000"/>
          <w:sz w:val="24"/>
          <w:szCs w:val="23"/>
        </w:rPr>
        <w:t xml:space="preserve"> borxhit shtet</w:t>
      </w:r>
      <w:r w:rsidR="00A70F29" w:rsidRPr="00A2563B">
        <w:rPr>
          <w:rFonts w:ascii="Times New Roman" w:hAnsi="Times New Roman" w:cs="Times New Roman"/>
          <w:noProof/>
          <w:color w:val="000000"/>
          <w:sz w:val="24"/>
          <w:szCs w:val="23"/>
        </w:rPr>
        <w:t>ë</w:t>
      </w:r>
      <w:r w:rsidRPr="00A2563B">
        <w:rPr>
          <w:rFonts w:ascii="Times New Roman" w:hAnsi="Times New Roman" w:cs="Times New Roman"/>
          <w:noProof/>
          <w:color w:val="000000"/>
          <w:sz w:val="24"/>
          <w:szCs w:val="23"/>
        </w:rPr>
        <w:t xml:space="preserve">ror </w:t>
      </w:r>
      <w:r w:rsidR="00A2563B" w:rsidRPr="00FB2E3B">
        <w:rPr>
          <w:rFonts w:ascii="Times New Roman" w:hAnsi="Times New Roman" w:cs="Times New Roman"/>
          <w:noProof/>
          <w:color w:val="000000"/>
          <w:sz w:val="24"/>
          <w:szCs w:val="23"/>
        </w:rPr>
        <w:t>ka vazhduar tendenc</w:t>
      </w:r>
      <w:r w:rsidR="00FD335A">
        <w:rPr>
          <w:rFonts w:ascii="Times New Roman" w:hAnsi="Times New Roman" w:cs="Times New Roman"/>
          <w:noProof/>
          <w:color w:val="000000"/>
          <w:sz w:val="24"/>
          <w:szCs w:val="23"/>
        </w:rPr>
        <w:t>ë</w:t>
      </w:r>
      <w:r w:rsidR="00A2563B" w:rsidRPr="00FB2E3B">
        <w:rPr>
          <w:rFonts w:ascii="Times New Roman" w:hAnsi="Times New Roman" w:cs="Times New Roman"/>
          <w:noProof/>
          <w:color w:val="000000"/>
          <w:sz w:val="24"/>
          <w:szCs w:val="23"/>
        </w:rPr>
        <w:t>n r</w:t>
      </w:r>
      <w:r w:rsidR="00FD335A">
        <w:rPr>
          <w:rFonts w:ascii="Times New Roman" w:hAnsi="Times New Roman" w:cs="Times New Roman"/>
          <w:noProof/>
          <w:color w:val="000000"/>
          <w:sz w:val="24"/>
          <w:szCs w:val="23"/>
        </w:rPr>
        <w:t>ë</w:t>
      </w:r>
      <w:r w:rsidR="00A2563B" w:rsidRPr="00FB2E3B">
        <w:rPr>
          <w:rFonts w:ascii="Times New Roman" w:hAnsi="Times New Roman" w:cs="Times New Roman"/>
          <w:noProof/>
          <w:color w:val="000000"/>
          <w:sz w:val="24"/>
          <w:szCs w:val="23"/>
        </w:rPr>
        <w:t>n</w:t>
      </w:r>
      <w:r w:rsidR="00FD335A">
        <w:rPr>
          <w:rFonts w:ascii="Times New Roman" w:hAnsi="Times New Roman" w:cs="Times New Roman"/>
          <w:noProof/>
          <w:color w:val="000000"/>
          <w:sz w:val="24"/>
          <w:szCs w:val="23"/>
        </w:rPr>
        <w:t>ë</w:t>
      </w:r>
      <w:r w:rsidR="00A2563B" w:rsidRPr="00FB2E3B">
        <w:rPr>
          <w:rFonts w:ascii="Times New Roman" w:hAnsi="Times New Roman" w:cs="Times New Roman"/>
          <w:noProof/>
          <w:color w:val="000000"/>
          <w:sz w:val="24"/>
          <w:szCs w:val="23"/>
        </w:rPr>
        <w:t>se</w:t>
      </w:r>
      <w:r w:rsidRPr="00A2563B">
        <w:rPr>
          <w:rFonts w:ascii="Times New Roman" w:hAnsi="Times New Roman" w:cs="Times New Roman"/>
          <w:noProof/>
          <w:color w:val="000000"/>
          <w:sz w:val="24"/>
          <w:szCs w:val="23"/>
        </w:rPr>
        <w:t xml:space="preserve">, </w:t>
      </w:r>
      <w:r w:rsidR="00BD1F58" w:rsidRPr="00A2563B">
        <w:rPr>
          <w:rFonts w:ascii="Times New Roman" w:hAnsi="Times New Roman" w:cs="Times New Roman"/>
          <w:noProof/>
          <w:color w:val="000000"/>
          <w:sz w:val="24"/>
          <w:szCs w:val="23"/>
        </w:rPr>
        <w:t>ku kosto mesatare e borxhit të jasht</w:t>
      </w:r>
      <w:r w:rsidR="00823801" w:rsidRPr="00A2563B">
        <w:rPr>
          <w:rFonts w:ascii="Times New Roman" w:hAnsi="Times New Roman" w:cs="Times New Roman"/>
          <w:noProof/>
          <w:color w:val="000000"/>
          <w:sz w:val="24"/>
          <w:szCs w:val="23"/>
        </w:rPr>
        <w:t>ë</w:t>
      </w:r>
      <w:r w:rsidR="00BD1F58" w:rsidRPr="00A2563B">
        <w:rPr>
          <w:rFonts w:ascii="Times New Roman" w:hAnsi="Times New Roman" w:cs="Times New Roman"/>
          <w:noProof/>
          <w:color w:val="000000"/>
          <w:sz w:val="24"/>
          <w:szCs w:val="23"/>
        </w:rPr>
        <w:t xml:space="preserve">m ka pësuar një </w:t>
      </w:r>
      <w:r w:rsidR="00537E0D" w:rsidRPr="00A2563B">
        <w:rPr>
          <w:rFonts w:ascii="Times New Roman" w:hAnsi="Times New Roman" w:cs="Times New Roman"/>
          <w:noProof/>
          <w:color w:val="000000"/>
          <w:sz w:val="24"/>
          <w:szCs w:val="23"/>
        </w:rPr>
        <w:t>ulje</w:t>
      </w:r>
      <w:r w:rsidR="00BD1F58" w:rsidRPr="00A2563B">
        <w:rPr>
          <w:rFonts w:ascii="Times New Roman" w:hAnsi="Times New Roman" w:cs="Times New Roman"/>
          <w:noProof/>
          <w:color w:val="000000"/>
          <w:sz w:val="24"/>
          <w:szCs w:val="23"/>
        </w:rPr>
        <w:t xml:space="preserve"> me rreth </w:t>
      </w:r>
      <w:r w:rsidR="00113BD9" w:rsidRPr="00A2563B">
        <w:rPr>
          <w:rFonts w:ascii="Times New Roman" w:hAnsi="Times New Roman" w:cs="Times New Roman"/>
          <w:noProof/>
          <w:color w:val="000000"/>
          <w:sz w:val="24"/>
          <w:szCs w:val="23"/>
        </w:rPr>
        <w:t>0.</w:t>
      </w:r>
      <w:r w:rsidR="00A2563B" w:rsidRPr="00FB2E3B">
        <w:rPr>
          <w:rFonts w:ascii="Times New Roman" w:hAnsi="Times New Roman" w:cs="Times New Roman"/>
          <w:noProof/>
          <w:color w:val="000000"/>
          <w:sz w:val="24"/>
          <w:szCs w:val="23"/>
        </w:rPr>
        <w:t>31</w:t>
      </w:r>
      <w:r w:rsidR="00537E0D" w:rsidRPr="00A2563B">
        <w:rPr>
          <w:rFonts w:ascii="Times New Roman" w:hAnsi="Times New Roman" w:cs="Times New Roman"/>
          <w:noProof/>
          <w:color w:val="000000"/>
          <w:sz w:val="24"/>
          <w:szCs w:val="23"/>
        </w:rPr>
        <w:t xml:space="preserve"> pp dhe kosto mesatare</w:t>
      </w:r>
      <w:r w:rsidR="00BD1F58" w:rsidRPr="00A2563B">
        <w:rPr>
          <w:rFonts w:ascii="Times New Roman" w:hAnsi="Times New Roman" w:cs="Times New Roman"/>
          <w:noProof/>
          <w:color w:val="000000"/>
          <w:sz w:val="24"/>
          <w:szCs w:val="23"/>
        </w:rPr>
        <w:t xml:space="preserve"> e borxhit të brendshëm </w:t>
      </w:r>
      <w:r w:rsidR="00BC4D5A" w:rsidRPr="00A2563B">
        <w:rPr>
          <w:rFonts w:ascii="Times New Roman" w:hAnsi="Times New Roman" w:cs="Times New Roman"/>
          <w:noProof/>
          <w:color w:val="000000"/>
          <w:sz w:val="24"/>
          <w:szCs w:val="23"/>
        </w:rPr>
        <w:t>ë</w:t>
      </w:r>
      <w:r w:rsidR="00537E0D" w:rsidRPr="00A2563B">
        <w:rPr>
          <w:rFonts w:ascii="Times New Roman" w:hAnsi="Times New Roman" w:cs="Times New Roman"/>
          <w:noProof/>
          <w:color w:val="000000"/>
          <w:sz w:val="24"/>
          <w:szCs w:val="23"/>
        </w:rPr>
        <w:t>sht</w:t>
      </w:r>
      <w:r w:rsidR="00BC4D5A" w:rsidRPr="00A2563B">
        <w:rPr>
          <w:rFonts w:ascii="Times New Roman" w:hAnsi="Times New Roman" w:cs="Times New Roman"/>
          <w:noProof/>
          <w:color w:val="000000"/>
          <w:sz w:val="24"/>
          <w:szCs w:val="23"/>
        </w:rPr>
        <w:t>ë</w:t>
      </w:r>
      <w:r w:rsidR="00537E0D" w:rsidRPr="00A2563B">
        <w:rPr>
          <w:rFonts w:ascii="Times New Roman" w:hAnsi="Times New Roman" w:cs="Times New Roman"/>
          <w:noProof/>
          <w:color w:val="000000"/>
          <w:sz w:val="24"/>
          <w:szCs w:val="23"/>
        </w:rPr>
        <w:t xml:space="preserve"> ulur me 0.</w:t>
      </w:r>
      <w:r w:rsidR="00A2563B" w:rsidRPr="00FB2E3B">
        <w:rPr>
          <w:rFonts w:ascii="Times New Roman" w:hAnsi="Times New Roman" w:cs="Times New Roman"/>
          <w:noProof/>
          <w:color w:val="000000"/>
          <w:sz w:val="24"/>
          <w:szCs w:val="23"/>
        </w:rPr>
        <w:t xml:space="preserve">12 </w:t>
      </w:r>
      <w:r w:rsidR="00537E0D" w:rsidRPr="00A2563B">
        <w:rPr>
          <w:rFonts w:ascii="Times New Roman" w:hAnsi="Times New Roman" w:cs="Times New Roman"/>
          <w:noProof/>
          <w:color w:val="000000"/>
          <w:sz w:val="24"/>
          <w:szCs w:val="23"/>
        </w:rPr>
        <w:t>pp.</w:t>
      </w:r>
      <w:r w:rsidR="00BD1F58" w:rsidRPr="00A2563B">
        <w:rPr>
          <w:rFonts w:ascii="Times New Roman" w:hAnsi="Times New Roman" w:cs="Times New Roman"/>
          <w:noProof/>
          <w:color w:val="000000"/>
          <w:sz w:val="24"/>
          <w:szCs w:val="23"/>
        </w:rPr>
        <w:t xml:space="preserve"> </w:t>
      </w:r>
      <w:r w:rsidR="00537E0D" w:rsidRPr="00A2563B">
        <w:rPr>
          <w:rFonts w:ascii="Times New Roman" w:hAnsi="Times New Roman" w:cs="Times New Roman"/>
          <w:noProof/>
          <w:color w:val="000000"/>
          <w:sz w:val="24"/>
          <w:szCs w:val="23"/>
        </w:rPr>
        <w:t>Ulja</w:t>
      </w:r>
      <w:r w:rsidR="00113BD9" w:rsidRPr="00A2563B">
        <w:rPr>
          <w:rFonts w:ascii="Times New Roman" w:hAnsi="Times New Roman" w:cs="Times New Roman"/>
          <w:noProof/>
          <w:color w:val="000000"/>
          <w:sz w:val="24"/>
          <w:szCs w:val="23"/>
        </w:rPr>
        <w:t xml:space="preserve"> e </w:t>
      </w:r>
      <w:r w:rsidR="00537E0D" w:rsidRPr="00A2563B">
        <w:rPr>
          <w:rFonts w:ascii="Times New Roman" w:hAnsi="Times New Roman" w:cs="Times New Roman"/>
          <w:noProof/>
          <w:color w:val="000000"/>
          <w:sz w:val="24"/>
          <w:szCs w:val="23"/>
        </w:rPr>
        <w:t>kostos mesatare t</w:t>
      </w:r>
      <w:r w:rsidR="00BC4D5A" w:rsidRPr="00A2563B">
        <w:rPr>
          <w:rFonts w:ascii="Times New Roman" w:hAnsi="Times New Roman" w:cs="Times New Roman"/>
          <w:noProof/>
          <w:color w:val="000000"/>
          <w:sz w:val="24"/>
          <w:szCs w:val="23"/>
        </w:rPr>
        <w:t>ë</w:t>
      </w:r>
      <w:r w:rsidR="00537E0D" w:rsidRPr="00A2563B">
        <w:rPr>
          <w:rFonts w:ascii="Times New Roman" w:hAnsi="Times New Roman" w:cs="Times New Roman"/>
          <w:noProof/>
          <w:color w:val="000000"/>
          <w:sz w:val="24"/>
          <w:szCs w:val="23"/>
        </w:rPr>
        <w:t xml:space="preserve"> borxhit t</w:t>
      </w:r>
      <w:r w:rsidR="00BC4D5A" w:rsidRPr="00A2563B">
        <w:rPr>
          <w:rFonts w:ascii="Times New Roman" w:hAnsi="Times New Roman" w:cs="Times New Roman"/>
          <w:noProof/>
          <w:color w:val="000000"/>
          <w:sz w:val="24"/>
          <w:szCs w:val="23"/>
        </w:rPr>
        <w:t>ë</w:t>
      </w:r>
      <w:r w:rsidR="00537E0D" w:rsidRPr="00A2563B">
        <w:rPr>
          <w:rFonts w:ascii="Times New Roman" w:hAnsi="Times New Roman" w:cs="Times New Roman"/>
          <w:noProof/>
          <w:color w:val="000000"/>
          <w:sz w:val="24"/>
          <w:szCs w:val="23"/>
        </w:rPr>
        <w:t xml:space="preserve"> brendsh</w:t>
      </w:r>
      <w:r w:rsidR="00BC4D5A" w:rsidRPr="00A2563B">
        <w:rPr>
          <w:rFonts w:ascii="Times New Roman" w:hAnsi="Times New Roman" w:cs="Times New Roman"/>
          <w:noProof/>
          <w:color w:val="000000"/>
          <w:sz w:val="24"/>
          <w:szCs w:val="23"/>
        </w:rPr>
        <w:t>ë</w:t>
      </w:r>
      <w:r w:rsidR="00537E0D" w:rsidRPr="00A2563B">
        <w:rPr>
          <w:rFonts w:ascii="Times New Roman" w:hAnsi="Times New Roman" w:cs="Times New Roman"/>
          <w:noProof/>
          <w:color w:val="000000"/>
          <w:sz w:val="24"/>
          <w:szCs w:val="23"/>
        </w:rPr>
        <w:t xml:space="preserve">m ka ardhur </w:t>
      </w:r>
      <w:r w:rsidRPr="00A2563B">
        <w:rPr>
          <w:rFonts w:ascii="Times New Roman" w:hAnsi="Times New Roman" w:cs="Times New Roman"/>
          <w:noProof/>
          <w:color w:val="000000"/>
          <w:sz w:val="24"/>
          <w:szCs w:val="23"/>
        </w:rPr>
        <w:t>kryesisht si rezultat i normave të interesit n</w:t>
      </w:r>
      <w:r w:rsidR="00A70F29" w:rsidRPr="00A2563B">
        <w:rPr>
          <w:rFonts w:ascii="Times New Roman" w:hAnsi="Times New Roman" w:cs="Times New Roman"/>
          <w:noProof/>
          <w:color w:val="000000"/>
          <w:sz w:val="24"/>
          <w:szCs w:val="23"/>
        </w:rPr>
        <w:t>ë</w:t>
      </w:r>
      <w:r w:rsidRPr="00A2563B">
        <w:rPr>
          <w:rFonts w:ascii="Times New Roman" w:hAnsi="Times New Roman" w:cs="Times New Roman"/>
          <w:noProof/>
          <w:color w:val="000000"/>
          <w:sz w:val="24"/>
          <w:szCs w:val="23"/>
        </w:rPr>
        <w:t xml:space="preserve"> nivele ende të ulëta</w:t>
      </w:r>
      <w:r w:rsidR="00BD1F58" w:rsidRPr="00A2563B">
        <w:rPr>
          <w:rFonts w:ascii="Times New Roman" w:hAnsi="Times New Roman" w:cs="Times New Roman"/>
          <w:noProof/>
          <w:color w:val="000000"/>
          <w:sz w:val="24"/>
          <w:szCs w:val="23"/>
        </w:rPr>
        <w:t xml:space="preserve"> n</w:t>
      </w:r>
      <w:r w:rsidR="00823801" w:rsidRPr="00A2563B">
        <w:rPr>
          <w:rFonts w:ascii="Times New Roman" w:hAnsi="Times New Roman" w:cs="Times New Roman"/>
          <w:noProof/>
          <w:color w:val="000000"/>
          <w:sz w:val="24"/>
          <w:szCs w:val="23"/>
        </w:rPr>
        <w:t>ë</w:t>
      </w:r>
      <w:r w:rsidR="00BD1F58" w:rsidRPr="00A2563B">
        <w:rPr>
          <w:rFonts w:ascii="Times New Roman" w:hAnsi="Times New Roman" w:cs="Times New Roman"/>
          <w:noProof/>
          <w:color w:val="000000"/>
          <w:sz w:val="24"/>
          <w:szCs w:val="23"/>
        </w:rPr>
        <w:t xml:space="preserve"> tregun e brendshëm</w:t>
      </w:r>
      <w:r w:rsidR="00A2563B">
        <w:rPr>
          <w:rFonts w:ascii="Times New Roman" w:hAnsi="Times New Roman" w:cs="Times New Roman"/>
          <w:noProof/>
          <w:color w:val="000000"/>
          <w:sz w:val="24"/>
          <w:szCs w:val="23"/>
        </w:rPr>
        <w:t xml:space="preserve"> gjat</w:t>
      </w:r>
      <w:r w:rsidR="00FD335A">
        <w:rPr>
          <w:rFonts w:ascii="Times New Roman" w:hAnsi="Times New Roman" w:cs="Times New Roman"/>
          <w:noProof/>
          <w:color w:val="000000"/>
          <w:sz w:val="24"/>
          <w:szCs w:val="23"/>
        </w:rPr>
        <w:t>ë</w:t>
      </w:r>
      <w:r w:rsidR="00A2563B">
        <w:rPr>
          <w:rFonts w:ascii="Times New Roman" w:hAnsi="Times New Roman" w:cs="Times New Roman"/>
          <w:noProof/>
          <w:color w:val="000000"/>
          <w:sz w:val="24"/>
          <w:szCs w:val="23"/>
        </w:rPr>
        <w:t xml:space="preserve"> vitit 2021</w:t>
      </w:r>
      <w:r w:rsidRPr="00A2563B">
        <w:rPr>
          <w:rFonts w:ascii="Times New Roman" w:hAnsi="Times New Roman" w:cs="Times New Roman"/>
          <w:noProof/>
          <w:color w:val="000000"/>
          <w:sz w:val="24"/>
          <w:szCs w:val="23"/>
        </w:rPr>
        <w:t>, shoq</w:t>
      </w:r>
      <w:r w:rsidR="00A70F29" w:rsidRPr="00A2563B">
        <w:rPr>
          <w:rFonts w:ascii="Times New Roman" w:hAnsi="Times New Roman" w:cs="Times New Roman"/>
          <w:noProof/>
          <w:color w:val="000000"/>
          <w:sz w:val="24"/>
          <w:szCs w:val="23"/>
        </w:rPr>
        <w:t>ë</w:t>
      </w:r>
      <w:r w:rsidRPr="00A2563B">
        <w:rPr>
          <w:rFonts w:ascii="Times New Roman" w:hAnsi="Times New Roman" w:cs="Times New Roman"/>
          <w:noProof/>
          <w:color w:val="000000"/>
          <w:sz w:val="24"/>
          <w:szCs w:val="23"/>
        </w:rPr>
        <w:t>ruar me rifinancimin e borxhit që maturohet (</w:t>
      </w:r>
      <w:r w:rsidRPr="00FB2E3B">
        <w:rPr>
          <w:rFonts w:ascii="Times New Roman" w:hAnsi="Times New Roman" w:cs="Times New Roman"/>
          <w:i/>
          <w:noProof/>
          <w:color w:val="000000"/>
          <w:sz w:val="24"/>
          <w:szCs w:val="23"/>
        </w:rPr>
        <w:t>kryesisht atij afatgjat</w:t>
      </w:r>
      <w:r w:rsidR="00A70F29" w:rsidRPr="00FB2E3B">
        <w:rPr>
          <w:rFonts w:ascii="Times New Roman" w:hAnsi="Times New Roman" w:cs="Times New Roman"/>
          <w:i/>
          <w:noProof/>
          <w:color w:val="000000"/>
          <w:sz w:val="24"/>
          <w:szCs w:val="23"/>
        </w:rPr>
        <w:t>ë</w:t>
      </w:r>
      <w:r w:rsidRPr="00FB2E3B">
        <w:rPr>
          <w:rFonts w:ascii="Times New Roman" w:hAnsi="Times New Roman" w:cs="Times New Roman"/>
          <w:noProof/>
          <w:color w:val="000000"/>
          <w:sz w:val="24"/>
          <w:szCs w:val="23"/>
        </w:rPr>
        <w:t xml:space="preserve">) me borxh më pak të kushtueshëm. </w:t>
      </w:r>
    </w:p>
    <w:p w:rsidR="007D6CC0" w:rsidRDefault="007D6CC0" w:rsidP="00FB2E3B">
      <w:pPr>
        <w:tabs>
          <w:tab w:val="left" w:pos="1182"/>
        </w:tabs>
        <w:spacing w:after="0" w:line="276" w:lineRule="auto"/>
        <w:ind w:right="-188"/>
        <w:jc w:val="both"/>
        <w:rPr>
          <w:rFonts w:ascii="Cambria" w:hAnsi="Cambria"/>
          <w:b/>
          <w:bCs/>
          <w:sz w:val="20"/>
          <w:szCs w:val="20"/>
          <w:highlight w:val="yellow"/>
        </w:rPr>
      </w:pPr>
    </w:p>
    <w:p w:rsidR="0017092C" w:rsidRDefault="0017092C" w:rsidP="00FB2E3B">
      <w:pPr>
        <w:tabs>
          <w:tab w:val="left" w:pos="1182"/>
        </w:tabs>
        <w:spacing w:after="0" w:line="276" w:lineRule="auto"/>
        <w:ind w:right="-188"/>
        <w:jc w:val="both"/>
        <w:rPr>
          <w:rFonts w:ascii="Cambria" w:hAnsi="Cambria"/>
          <w:b/>
          <w:bCs/>
          <w:sz w:val="20"/>
          <w:szCs w:val="20"/>
          <w:highlight w:val="yellow"/>
        </w:rPr>
      </w:pPr>
    </w:p>
    <w:p w:rsidR="0017092C" w:rsidRDefault="0017092C" w:rsidP="00FB2E3B">
      <w:pPr>
        <w:tabs>
          <w:tab w:val="left" w:pos="1182"/>
        </w:tabs>
        <w:spacing w:after="0" w:line="276" w:lineRule="auto"/>
        <w:ind w:right="-188"/>
        <w:jc w:val="both"/>
        <w:rPr>
          <w:rFonts w:ascii="Cambria" w:hAnsi="Cambria"/>
          <w:b/>
          <w:bCs/>
          <w:sz w:val="20"/>
          <w:szCs w:val="20"/>
          <w:highlight w:val="yellow"/>
        </w:rPr>
      </w:pPr>
    </w:p>
    <w:p w:rsidR="0017092C" w:rsidRDefault="0017092C" w:rsidP="00FB2E3B">
      <w:pPr>
        <w:tabs>
          <w:tab w:val="left" w:pos="1182"/>
        </w:tabs>
        <w:spacing w:after="0" w:line="276" w:lineRule="auto"/>
        <w:ind w:right="-188"/>
        <w:jc w:val="both"/>
        <w:rPr>
          <w:rFonts w:ascii="Cambria" w:hAnsi="Cambria"/>
          <w:b/>
          <w:bCs/>
          <w:sz w:val="20"/>
          <w:szCs w:val="20"/>
          <w:highlight w:val="yellow"/>
        </w:rPr>
      </w:pPr>
    </w:p>
    <w:p w:rsidR="0017092C" w:rsidRDefault="0017092C" w:rsidP="00FB2E3B">
      <w:pPr>
        <w:tabs>
          <w:tab w:val="left" w:pos="1182"/>
        </w:tabs>
        <w:spacing w:after="0" w:line="276" w:lineRule="auto"/>
        <w:ind w:right="-188"/>
        <w:jc w:val="both"/>
        <w:rPr>
          <w:rFonts w:ascii="Cambria" w:hAnsi="Cambria"/>
          <w:b/>
          <w:bCs/>
          <w:sz w:val="20"/>
          <w:szCs w:val="20"/>
          <w:highlight w:val="yellow"/>
        </w:rPr>
      </w:pPr>
    </w:p>
    <w:p w:rsidR="0017092C" w:rsidRDefault="0017092C" w:rsidP="00FB2E3B">
      <w:pPr>
        <w:tabs>
          <w:tab w:val="left" w:pos="1182"/>
        </w:tabs>
        <w:spacing w:after="0" w:line="276" w:lineRule="auto"/>
        <w:ind w:right="-188"/>
        <w:jc w:val="both"/>
        <w:rPr>
          <w:rFonts w:ascii="Cambria" w:hAnsi="Cambria"/>
          <w:b/>
          <w:bCs/>
          <w:sz w:val="20"/>
          <w:szCs w:val="20"/>
          <w:highlight w:val="yellow"/>
        </w:rPr>
      </w:pPr>
    </w:p>
    <w:p w:rsidR="0017092C" w:rsidRDefault="0017092C" w:rsidP="00FB2E3B">
      <w:pPr>
        <w:tabs>
          <w:tab w:val="left" w:pos="1182"/>
        </w:tabs>
        <w:spacing w:after="0" w:line="276" w:lineRule="auto"/>
        <w:ind w:right="-188"/>
        <w:jc w:val="both"/>
        <w:rPr>
          <w:rFonts w:ascii="Cambria" w:hAnsi="Cambria"/>
          <w:b/>
          <w:bCs/>
          <w:sz w:val="20"/>
          <w:szCs w:val="20"/>
          <w:highlight w:val="yellow"/>
        </w:rPr>
      </w:pPr>
    </w:p>
    <w:p w:rsidR="0017092C" w:rsidRDefault="0017092C" w:rsidP="00FB2E3B">
      <w:pPr>
        <w:tabs>
          <w:tab w:val="left" w:pos="1182"/>
        </w:tabs>
        <w:spacing w:after="0" w:line="276" w:lineRule="auto"/>
        <w:ind w:right="-188"/>
        <w:jc w:val="both"/>
        <w:rPr>
          <w:rFonts w:ascii="Cambria" w:hAnsi="Cambria"/>
          <w:b/>
          <w:bCs/>
          <w:sz w:val="20"/>
          <w:szCs w:val="20"/>
          <w:highlight w:val="yellow"/>
        </w:rPr>
      </w:pPr>
    </w:p>
    <w:p w:rsidR="0017092C" w:rsidRDefault="0017092C" w:rsidP="00FB2E3B">
      <w:pPr>
        <w:tabs>
          <w:tab w:val="left" w:pos="1182"/>
        </w:tabs>
        <w:spacing w:after="0" w:line="276" w:lineRule="auto"/>
        <w:ind w:right="-188"/>
        <w:jc w:val="both"/>
        <w:rPr>
          <w:rFonts w:ascii="Cambria" w:hAnsi="Cambria"/>
          <w:b/>
          <w:bCs/>
          <w:sz w:val="20"/>
          <w:szCs w:val="20"/>
          <w:highlight w:val="yellow"/>
        </w:rPr>
      </w:pPr>
    </w:p>
    <w:p w:rsidR="0017092C" w:rsidRDefault="0017092C" w:rsidP="00FB2E3B">
      <w:pPr>
        <w:tabs>
          <w:tab w:val="left" w:pos="1182"/>
        </w:tabs>
        <w:spacing w:after="0" w:line="276" w:lineRule="auto"/>
        <w:ind w:right="-188"/>
        <w:jc w:val="both"/>
        <w:rPr>
          <w:rFonts w:ascii="Cambria" w:hAnsi="Cambria"/>
          <w:b/>
          <w:bCs/>
          <w:sz w:val="20"/>
          <w:szCs w:val="20"/>
          <w:highlight w:val="yellow"/>
        </w:rPr>
      </w:pPr>
    </w:p>
    <w:p w:rsidR="0017092C" w:rsidRPr="00EE7E9F" w:rsidRDefault="0017092C" w:rsidP="00FB2E3B">
      <w:pPr>
        <w:tabs>
          <w:tab w:val="left" w:pos="1182"/>
        </w:tabs>
        <w:spacing w:after="0" w:line="276" w:lineRule="auto"/>
        <w:ind w:right="-188"/>
        <w:jc w:val="both"/>
        <w:rPr>
          <w:rFonts w:ascii="Cambria" w:hAnsi="Cambria"/>
          <w:b/>
          <w:bCs/>
          <w:sz w:val="20"/>
          <w:szCs w:val="20"/>
          <w:highlight w:val="yellow"/>
        </w:rPr>
      </w:pPr>
    </w:p>
    <w:p w:rsidR="002E67F6" w:rsidRPr="00D93100" w:rsidRDefault="002E67F6" w:rsidP="00B92540">
      <w:pPr>
        <w:tabs>
          <w:tab w:val="left" w:pos="1182"/>
        </w:tabs>
        <w:spacing w:after="0" w:line="276" w:lineRule="auto"/>
        <w:ind w:right="-188"/>
        <w:jc w:val="center"/>
        <w:rPr>
          <w:rFonts w:ascii="Cambria" w:hAnsi="Cambria"/>
          <w:i/>
          <w:iCs/>
          <w:sz w:val="20"/>
          <w:szCs w:val="20"/>
        </w:rPr>
      </w:pPr>
      <w:r w:rsidRPr="00D93100">
        <w:rPr>
          <w:rFonts w:ascii="Cambria" w:hAnsi="Cambria"/>
          <w:b/>
          <w:bCs/>
          <w:sz w:val="20"/>
          <w:szCs w:val="20"/>
        </w:rPr>
        <w:t xml:space="preserve">Paraqitje Grafike 5.1 : </w:t>
      </w:r>
      <w:r w:rsidRPr="00D93100">
        <w:rPr>
          <w:rFonts w:ascii="Cambria" w:hAnsi="Cambria"/>
          <w:i/>
          <w:iCs/>
          <w:sz w:val="20"/>
          <w:szCs w:val="20"/>
        </w:rPr>
        <w:t>Shpenzimet për int</w:t>
      </w:r>
      <w:r w:rsidR="00E227B8" w:rsidRPr="00D93100">
        <w:rPr>
          <w:rFonts w:ascii="Cambria" w:hAnsi="Cambria"/>
          <w:i/>
          <w:iCs/>
          <w:sz w:val="20"/>
          <w:szCs w:val="20"/>
        </w:rPr>
        <w:t xml:space="preserve">eresa të borxhit shtetëror </w:t>
      </w:r>
    </w:p>
    <w:p w:rsidR="00BD1F58" w:rsidRPr="00EE7E9F" w:rsidRDefault="001143E4" w:rsidP="00B92540">
      <w:pPr>
        <w:tabs>
          <w:tab w:val="left" w:pos="1182"/>
        </w:tabs>
        <w:spacing w:after="0" w:line="276" w:lineRule="auto"/>
        <w:ind w:right="-188"/>
        <w:jc w:val="center"/>
        <w:rPr>
          <w:rFonts w:ascii="Cambria" w:hAnsi="Cambria"/>
          <w:i/>
          <w:iCs/>
          <w:sz w:val="20"/>
          <w:szCs w:val="20"/>
          <w:highlight w:val="yellow"/>
        </w:rPr>
      </w:pPr>
      <w:r w:rsidRPr="001F3FE5">
        <w:rPr>
          <w:rFonts w:ascii="Cambria" w:hAnsi="Cambria"/>
          <w:i/>
          <w:iCs/>
          <w:noProof/>
          <w:sz w:val="20"/>
          <w:szCs w:val="20"/>
          <w:lang w:val="en-US"/>
        </w:rPr>
        <w:drawing>
          <wp:inline distT="0" distB="0" distL="0" distR="0" wp14:anchorId="035D52E8" wp14:editId="2E42498D">
            <wp:extent cx="5731510" cy="1872691"/>
            <wp:effectExtent l="0" t="0" r="2540" b="13335"/>
            <wp:docPr id="19" name="Chart 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E67F6" w:rsidRPr="00D93100" w:rsidRDefault="002E67F6" w:rsidP="00B92540">
      <w:pPr>
        <w:tabs>
          <w:tab w:val="left" w:pos="1182"/>
        </w:tabs>
        <w:spacing w:after="0" w:line="276" w:lineRule="auto"/>
        <w:ind w:right="-188"/>
        <w:jc w:val="center"/>
        <w:rPr>
          <w:rFonts w:ascii="Cambria" w:hAnsi="Cambria" w:cs="Times New Roman"/>
          <w:i/>
          <w:noProof/>
          <w:sz w:val="20"/>
          <w:szCs w:val="20"/>
        </w:rPr>
      </w:pPr>
      <w:r w:rsidRPr="00D93100">
        <w:rPr>
          <w:rFonts w:ascii="Cambria" w:hAnsi="Cambria" w:cs="Times New Roman"/>
          <w:b/>
          <w:noProof/>
          <w:sz w:val="20"/>
          <w:szCs w:val="20"/>
        </w:rPr>
        <w:t xml:space="preserve">Burimi: </w:t>
      </w:r>
      <w:r w:rsidRPr="00D93100">
        <w:rPr>
          <w:rFonts w:ascii="Cambria" w:hAnsi="Cambria" w:cs="Times New Roman"/>
          <w:i/>
          <w:noProof/>
          <w:sz w:val="20"/>
          <w:szCs w:val="20"/>
        </w:rPr>
        <w:t>Ministria e Financave dhe Ekonomisë (202</w:t>
      </w:r>
      <w:r w:rsidR="00694361">
        <w:rPr>
          <w:rFonts w:ascii="Cambria" w:hAnsi="Cambria" w:cs="Times New Roman"/>
          <w:i/>
          <w:noProof/>
          <w:sz w:val="20"/>
          <w:szCs w:val="20"/>
        </w:rPr>
        <w:t>2</w:t>
      </w:r>
      <w:r w:rsidRPr="00D93100">
        <w:rPr>
          <w:rFonts w:ascii="Cambria" w:hAnsi="Cambria" w:cs="Times New Roman"/>
          <w:i/>
          <w:noProof/>
          <w:sz w:val="20"/>
          <w:szCs w:val="20"/>
        </w:rPr>
        <w:t>)</w:t>
      </w:r>
    </w:p>
    <w:p w:rsidR="004064CE" w:rsidRPr="00EE7E9F" w:rsidRDefault="004064CE" w:rsidP="00B92540">
      <w:pPr>
        <w:tabs>
          <w:tab w:val="right" w:pos="9072"/>
        </w:tabs>
        <w:spacing w:after="0" w:line="276" w:lineRule="auto"/>
        <w:ind w:right="-188"/>
        <w:rPr>
          <w:rFonts w:ascii="Cambria" w:hAnsi="Cambria" w:cs="Times New Roman"/>
          <w:i/>
          <w:sz w:val="20"/>
          <w:szCs w:val="20"/>
          <w:highlight w:val="yellow"/>
        </w:rPr>
      </w:pPr>
    </w:p>
    <w:p w:rsidR="007E2B91" w:rsidRPr="00537E0D" w:rsidRDefault="00BF162C" w:rsidP="00B92540">
      <w:pPr>
        <w:pStyle w:val="Heading2"/>
        <w:numPr>
          <w:ilvl w:val="1"/>
          <w:numId w:val="5"/>
        </w:numPr>
        <w:spacing w:before="0" w:after="240" w:line="276" w:lineRule="auto"/>
        <w:ind w:left="0" w:right="-188" w:firstLine="0"/>
        <w:jc w:val="both"/>
        <w:rPr>
          <w:rFonts w:ascii="Cambria" w:hAnsi="Cambria"/>
        </w:rPr>
      </w:pPr>
      <w:bookmarkStart w:id="13" w:name="_Toc34645069"/>
      <w:r w:rsidRPr="00537E0D">
        <w:rPr>
          <w:rFonts w:ascii="Cambria" w:hAnsi="Cambria"/>
        </w:rPr>
        <w:t>Risqet</w:t>
      </w:r>
      <w:bookmarkEnd w:id="13"/>
    </w:p>
    <w:p w:rsidR="00B57E58" w:rsidRPr="00FB2E3B" w:rsidRDefault="00B57E58" w:rsidP="00FB2E3B">
      <w:pPr>
        <w:widowControl w:val="0"/>
        <w:jc w:val="both"/>
        <w:rPr>
          <w:rFonts w:ascii="Times New Roman" w:hAnsi="Times New Roman"/>
          <w:sz w:val="24"/>
          <w:szCs w:val="24"/>
        </w:rPr>
      </w:pPr>
      <w:bookmarkStart w:id="14" w:name="_Toc491860994"/>
      <w:bookmarkStart w:id="15" w:name="_Toc491954307"/>
      <w:r w:rsidRPr="00FB2E3B">
        <w:rPr>
          <w:rFonts w:ascii="Times New Roman" w:hAnsi="Times New Roman"/>
          <w:sz w:val="24"/>
          <w:szCs w:val="24"/>
        </w:rPr>
        <w:t xml:space="preserve">Ekspozimi i portofolit të borxhit ndaj risqeve është arritur të menaxhohet me sukses, në linjë me objektivat strategjikë afatmesëm. </w:t>
      </w:r>
      <w:r w:rsidRPr="00645251">
        <w:rPr>
          <w:rFonts w:ascii="Times New Roman" w:hAnsi="Times New Roman"/>
          <w:sz w:val="24"/>
          <w:szCs w:val="24"/>
        </w:rPr>
        <w:t xml:space="preserve">Në këtë drejtim, pavarësisht situatës së krijuar nga </w:t>
      </w:r>
      <w:r w:rsidR="00724FC0">
        <w:rPr>
          <w:rFonts w:ascii="Times New Roman" w:hAnsi="Times New Roman"/>
          <w:sz w:val="24"/>
          <w:szCs w:val="24"/>
        </w:rPr>
        <w:t>t</w:t>
      </w:r>
      <w:r w:rsidR="00FD335A">
        <w:rPr>
          <w:rFonts w:ascii="Times New Roman" w:hAnsi="Times New Roman"/>
          <w:sz w:val="24"/>
          <w:szCs w:val="24"/>
        </w:rPr>
        <w:t>ë</w:t>
      </w:r>
      <w:r w:rsidR="00724FC0">
        <w:rPr>
          <w:rFonts w:ascii="Times New Roman" w:hAnsi="Times New Roman"/>
          <w:sz w:val="24"/>
          <w:szCs w:val="24"/>
        </w:rPr>
        <w:t xml:space="preserve">rmeti i vitit 2019 dhe </w:t>
      </w:r>
      <w:r w:rsidRPr="00645251">
        <w:rPr>
          <w:rFonts w:ascii="Times New Roman" w:hAnsi="Times New Roman"/>
          <w:sz w:val="24"/>
          <w:szCs w:val="24"/>
        </w:rPr>
        <w:t xml:space="preserve">përhapja </w:t>
      </w:r>
      <w:r w:rsidR="00724FC0">
        <w:rPr>
          <w:rFonts w:ascii="Times New Roman" w:hAnsi="Times New Roman"/>
          <w:sz w:val="24"/>
          <w:szCs w:val="24"/>
        </w:rPr>
        <w:t>e</w:t>
      </w:r>
      <w:r w:rsidRPr="00645251">
        <w:rPr>
          <w:rFonts w:ascii="Times New Roman" w:hAnsi="Times New Roman"/>
          <w:sz w:val="24"/>
          <w:szCs w:val="24"/>
        </w:rPr>
        <w:t xml:space="preserve"> pandemisë Covid 19, </w:t>
      </w:r>
      <w:r w:rsidR="00724FC0">
        <w:rPr>
          <w:rFonts w:ascii="Times New Roman" w:hAnsi="Times New Roman"/>
          <w:sz w:val="24"/>
          <w:szCs w:val="24"/>
        </w:rPr>
        <w:t>t</w:t>
      </w:r>
      <w:r w:rsidR="00FD335A">
        <w:rPr>
          <w:rFonts w:ascii="Times New Roman" w:hAnsi="Times New Roman"/>
          <w:sz w:val="24"/>
          <w:szCs w:val="24"/>
        </w:rPr>
        <w:t>ë</w:t>
      </w:r>
      <w:r w:rsidRPr="00645251">
        <w:rPr>
          <w:rFonts w:ascii="Times New Roman" w:hAnsi="Times New Roman"/>
          <w:sz w:val="24"/>
          <w:szCs w:val="24"/>
        </w:rPr>
        <w:t xml:space="preserve"> cila</w:t>
      </w:r>
      <w:r w:rsidR="00724FC0">
        <w:rPr>
          <w:rFonts w:ascii="Times New Roman" w:hAnsi="Times New Roman"/>
          <w:sz w:val="24"/>
          <w:szCs w:val="24"/>
        </w:rPr>
        <w:t>t</w:t>
      </w:r>
      <w:r w:rsidRPr="00645251">
        <w:rPr>
          <w:rFonts w:ascii="Times New Roman" w:hAnsi="Times New Roman"/>
          <w:sz w:val="24"/>
          <w:szCs w:val="24"/>
        </w:rPr>
        <w:t xml:space="preserve"> shkakt</w:t>
      </w:r>
      <w:r w:rsidR="00724FC0">
        <w:rPr>
          <w:rFonts w:ascii="Times New Roman" w:hAnsi="Times New Roman"/>
          <w:sz w:val="24"/>
          <w:szCs w:val="24"/>
        </w:rPr>
        <w:t>uan</w:t>
      </w:r>
      <w:r w:rsidRPr="00645251">
        <w:rPr>
          <w:rFonts w:ascii="Times New Roman" w:hAnsi="Times New Roman"/>
          <w:sz w:val="24"/>
          <w:szCs w:val="24"/>
        </w:rPr>
        <w:t xml:space="preserve"> një rritje të nevojave për huamarrje, raportet e riskut në portofolin e borxhit të brendshëm, jo vetëm që kanë mundësuar të menaxhohen në nivele të qëndrueshme, por kanë mundësuar të tregojnë përmirësim në pjes</w:t>
      </w:r>
      <w:r w:rsidR="00FD335A">
        <w:rPr>
          <w:rFonts w:ascii="Times New Roman" w:hAnsi="Times New Roman"/>
          <w:sz w:val="24"/>
          <w:szCs w:val="24"/>
        </w:rPr>
        <w:t>ë</w:t>
      </w:r>
      <w:r w:rsidRPr="00645251">
        <w:rPr>
          <w:rFonts w:ascii="Times New Roman" w:hAnsi="Times New Roman"/>
          <w:sz w:val="24"/>
          <w:szCs w:val="24"/>
        </w:rPr>
        <w:t>n m</w:t>
      </w:r>
      <w:r w:rsidR="00FD335A">
        <w:rPr>
          <w:rFonts w:ascii="Times New Roman" w:hAnsi="Times New Roman"/>
          <w:sz w:val="24"/>
          <w:szCs w:val="24"/>
        </w:rPr>
        <w:t>ë</w:t>
      </w:r>
      <w:r w:rsidRPr="00645251">
        <w:rPr>
          <w:rFonts w:ascii="Times New Roman" w:hAnsi="Times New Roman"/>
          <w:sz w:val="24"/>
          <w:szCs w:val="24"/>
        </w:rPr>
        <w:t xml:space="preserve"> t</w:t>
      </w:r>
      <w:r w:rsidR="00FD335A">
        <w:rPr>
          <w:rFonts w:ascii="Times New Roman" w:hAnsi="Times New Roman"/>
          <w:sz w:val="24"/>
          <w:szCs w:val="24"/>
        </w:rPr>
        <w:t>ë</w:t>
      </w:r>
      <w:r w:rsidRPr="00645251">
        <w:rPr>
          <w:rFonts w:ascii="Times New Roman" w:hAnsi="Times New Roman"/>
          <w:sz w:val="24"/>
          <w:szCs w:val="24"/>
        </w:rPr>
        <w:t xml:space="preserve"> madhe t</w:t>
      </w:r>
      <w:r w:rsidR="00FD335A">
        <w:rPr>
          <w:rFonts w:ascii="Times New Roman" w:hAnsi="Times New Roman"/>
          <w:sz w:val="24"/>
          <w:szCs w:val="24"/>
        </w:rPr>
        <w:t>ë</w:t>
      </w:r>
      <w:r w:rsidRPr="00645251">
        <w:rPr>
          <w:rFonts w:ascii="Times New Roman" w:hAnsi="Times New Roman"/>
          <w:sz w:val="24"/>
          <w:szCs w:val="24"/>
        </w:rPr>
        <w:t xml:space="preserve"> treguesve. </w:t>
      </w:r>
      <w:r w:rsidRPr="00FB2E3B">
        <w:rPr>
          <w:rFonts w:ascii="Times New Roman" w:hAnsi="Times New Roman"/>
          <w:sz w:val="24"/>
          <w:szCs w:val="24"/>
        </w:rPr>
        <w:t xml:space="preserve">Ulja e peshës së titujve afatshkurtër dhe atyre me norma interesi të ndryshueshme në portofolin e borxhit të brendshëm, kanë qenë faktorët përcaktues në reduktimin e riskut të rifinancimit dhe riskut të normave të interesit. Megjithatë, duke konsideruar bazën e investitorëve jo shumë të diversifikuar, borxhi i brendshëm mbetet ende i ekspozuar ndaj këtyre risqeve, duke e bërë të nevojshme vazhdimin e masave për ristrukturimin e mëtejshëm të portofolit dhe zhvillimin e tregut të titujve. </w:t>
      </w:r>
    </w:p>
    <w:p w:rsidR="00B57E58" w:rsidRPr="00FB2E3B" w:rsidRDefault="00B57E58" w:rsidP="00FB2E3B">
      <w:pPr>
        <w:keepNext/>
        <w:keepLines/>
        <w:spacing w:before="40" w:after="0"/>
        <w:jc w:val="both"/>
        <w:outlineLvl w:val="3"/>
        <w:rPr>
          <w:rFonts w:ascii="Cambria" w:eastAsiaTheme="majorEastAsia" w:hAnsi="Cambria" w:cstheme="majorBidi"/>
          <w:iCs/>
          <w:noProof/>
          <w:color w:val="000000" w:themeColor="text1"/>
          <w:sz w:val="24"/>
        </w:rPr>
      </w:pPr>
      <w:r w:rsidRPr="00FB2E3B">
        <w:rPr>
          <w:rFonts w:ascii="Times New Roman" w:hAnsi="Times New Roman"/>
          <w:sz w:val="24"/>
          <w:szCs w:val="24"/>
        </w:rPr>
        <w:t>Ndërkohë, risku i kursit të këmbimit vijon të mbahet nën kontroll duke qëndruar</w:t>
      </w:r>
      <w:r w:rsidRPr="00B57E58">
        <w:rPr>
          <w:rFonts w:ascii="Cambria" w:eastAsiaTheme="majorEastAsia" w:hAnsi="Cambria" w:cstheme="majorBidi"/>
          <w:iCs/>
          <w:noProof/>
          <w:color w:val="000000" w:themeColor="text1"/>
          <w:sz w:val="24"/>
        </w:rPr>
        <w:t xml:space="preserve"> ndjeshëm nën kufirin strategjik.</w:t>
      </w:r>
    </w:p>
    <w:p w:rsidR="00B57E58" w:rsidRPr="0017092C" w:rsidRDefault="00B57E58" w:rsidP="00FB2E3B">
      <w:pPr>
        <w:pStyle w:val="ListParagraph"/>
        <w:keepNext/>
        <w:keepLines/>
        <w:spacing w:before="40" w:after="0"/>
        <w:ind w:left="1080"/>
        <w:outlineLvl w:val="3"/>
        <w:rPr>
          <w:rFonts w:ascii="Cambria" w:eastAsiaTheme="majorEastAsia" w:hAnsi="Cambria" w:cstheme="majorBidi"/>
          <w:iCs/>
          <w:noProof/>
          <w:color w:val="000000" w:themeColor="text1"/>
          <w:sz w:val="14"/>
          <w:szCs w:val="14"/>
        </w:rPr>
      </w:pPr>
    </w:p>
    <w:p w:rsidR="00B57E58" w:rsidRPr="0028546D" w:rsidRDefault="00B57E58" w:rsidP="00FB2E3B">
      <w:pPr>
        <w:pStyle w:val="ListParagraph"/>
        <w:keepNext/>
        <w:keepLines/>
        <w:numPr>
          <w:ilvl w:val="2"/>
          <w:numId w:val="5"/>
        </w:numPr>
        <w:ind w:hanging="1080"/>
        <w:outlineLvl w:val="3"/>
        <w:rPr>
          <w:rFonts w:ascii="Cambria" w:eastAsiaTheme="majorEastAsia" w:hAnsi="Cambria" w:cstheme="majorBidi"/>
          <w:iCs/>
          <w:noProof/>
          <w:color w:val="000000" w:themeColor="text1"/>
          <w:sz w:val="24"/>
        </w:rPr>
      </w:pPr>
      <w:r w:rsidRPr="0028546D">
        <w:rPr>
          <w:rFonts w:ascii="Cambria" w:eastAsiaTheme="majorEastAsia" w:hAnsi="Cambria" w:cstheme="majorBidi"/>
          <w:iCs/>
          <w:noProof/>
          <w:color w:val="000000" w:themeColor="text1"/>
          <w:sz w:val="24"/>
        </w:rPr>
        <w:t>Risku i rifinancimit</w:t>
      </w:r>
      <w:bookmarkEnd w:id="14"/>
      <w:bookmarkEnd w:id="15"/>
    </w:p>
    <w:p w:rsidR="006F1BA4" w:rsidRDefault="00B57E58" w:rsidP="00FB2E3B">
      <w:pPr>
        <w:widowControl w:val="0"/>
        <w:jc w:val="both"/>
        <w:rPr>
          <w:rFonts w:ascii="Times New Roman" w:hAnsi="Times New Roman"/>
          <w:sz w:val="24"/>
          <w:szCs w:val="24"/>
        </w:rPr>
      </w:pPr>
      <w:r w:rsidRPr="00B57E58">
        <w:rPr>
          <w:rFonts w:ascii="Times New Roman" w:hAnsi="Times New Roman"/>
          <w:sz w:val="24"/>
          <w:szCs w:val="24"/>
        </w:rPr>
        <w:t>Një ndër objektivat kryesore të SAMB është reduktimi i riskut të rifinancimit kryesisht në portofolin e borxhit të brendshëm, pasi borxhi i jashtëm paraqet më pak risk duke qenë se është i përbërë nga instrumente me afat të gjatë maturimi dhe me profile amortizimi të shtrira gjatë në kohë.</w:t>
      </w:r>
      <w:r>
        <w:rPr>
          <w:rFonts w:ascii="Times New Roman" w:hAnsi="Times New Roman"/>
          <w:sz w:val="24"/>
          <w:szCs w:val="24"/>
        </w:rPr>
        <w:t xml:space="preserve"> </w:t>
      </w:r>
      <w:r w:rsidR="006F1BA4" w:rsidRPr="00FB2E3B">
        <w:rPr>
          <w:rFonts w:ascii="Times New Roman" w:hAnsi="Times New Roman"/>
          <w:sz w:val="24"/>
          <w:szCs w:val="24"/>
        </w:rPr>
        <w:t>Risku i rifinancimit është përmirësuar si rezultat i reduktimit të peshës së instrumenteve afatshkurtra. Jetëgjatësia e borxhit të brendshëm është rritur duke prekur nivelin e 793 ditëve në fund të muajit dhjetor 2021, krahasuar me 783 ditë në fund të vitit 2020.</w:t>
      </w:r>
    </w:p>
    <w:p w:rsidR="00D13120" w:rsidRPr="00FB2E3B" w:rsidRDefault="00D13120" w:rsidP="00FB2E3B">
      <w:pPr>
        <w:widowControl w:val="0"/>
        <w:jc w:val="both"/>
        <w:rPr>
          <w:rFonts w:ascii="Times New Roman" w:hAnsi="Times New Roman"/>
          <w:i/>
          <w:sz w:val="24"/>
          <w:szCs w:val="24"/>
        </w:rPr>
      </w:pPr>
      <w:r w:rsidRPr="00FB2E3B">
        <w:rPr>
          <w:rFonts w:ascii="Times New Roman" w:hAnsi="Times New Roman"/>
          <w:noProof/>
          <w:sz w:val="24"/>
          <w:szCs w:val="24"/>
          <w:lang w:val="en-US"/>
        </w:rPr>
        <w:drawing>
          <wp:anchor distT="0" distB="0" distL="114300" distR="114300" simplePos="0" relativeHeight="251899904" behindDoc="1" locked="0" layoutInCell="1" allowOverlap="1" wp14:anchorId="400C73B3" wp14:editId="38BF6CD3">
            <wp:simplePos x="0" y="0"/>
            <wp:positionH relativeFrom="column">
              <wp:posOffset>2867025</wp:posOffset>
            </wp:positionH>
            <wp:positionV relativeFrom="paragraph">
              <wp:posOffset>261620</wp:posOffset>
            </wp:positionV>
            <wp:extent cx="2962275" cy="1835785"/>
            <wp:effectExtent l="0" t="0" r="9525" b="12065"/>
            <wp:wrapTight wrapText="bothSides">
              <wp:wrapPolygon edited="0">
                <wp:start x="0" y="0"/>
                <wp:lineTo x="0" y="21518"/>
                <wp:lineTo x="21531" y="21518"/>
                <wp:lineTo x="21531" y="0"/>
                <wp:lineTo x="0" y="0"/>
              </wp:wrapPolygon>
            </wp:wrapTight>
            <wp:docPr id="34" name="Chart 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Pr="00FB2E3B">
        <w:rPr>
          <w:rFonts w:ascii="Times New Roman" w:hAnsi="Times New Roman"/>
          <w:noProof/>
          <w:sz w:val="24"/>
          <w:szCs w:val="24"/>
          <w:lang w:val="en-US"/>
        </w:rPr>
        <w:drawing>
          <wp:anchor distT="0" distB="0" distL="114300" distR="114300" simplePos="0" relativeHeight="251898880" behindDoc="1" locked="0" layoutInCell="1" allowOverlap="1" wp14:anchorId="22BEA97B" wp14:editId="07788A76">
            <wp:simplePos x="0" y="0"/>
            <wp:positionH relativeFrom="column">
              <wp:posOffset>0</wp:posOffset>
            </wp:positionH>
            <wp:positionV relativeFrom="paragraph">
              <wp:posOffset>261620</wp:posOffset>
            </wp:positionV>
            <wp:extent cx="2867025" cy="1835785"/>
            <wp:effectExtent l="0" t="0" r="9525" b="12065"/>
            <wp:wrapTight wrapText="bothSides">
              <wp:wrapPolygon edited="0">
                <wp:start x="0" y="0"/>
                <wp:lineTo x="0" y="21518"/>
                <wp:lineTo x="21528" y="21518"/>
                <wp:lineTo x="21528" y="0"/>
                <wp:lineTo x="0" y="0"/>
              </wp:wrapPolygon>
            </wp:wrapTight>
            <wp:docPr id="15" name="Chart 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Pr="0028546D">
        <w:rPr>
          <w:rFonts w:ascii="Cambria" w:hAnsi="Cambria" w:cs="Times New Roman"/>
          <w:b/>
          <w:sz w:val="20"/>
          <w:szCs w:val="20"/>
        </w:rPr>
        <w:t xml:space="preserve">Paraqitje Grafike 5.2.1: </w:t>
      </w:r>
      <w:r w:rsidRPr="00FB2E3B">
        <w:rPr>
          <w:rFonts w:ascii="Cambria" w:hAnsi="Cambria" w:cs="Times New Roman"/>
          <w:i/>
          <w:sz w:val="20"/>
          <w:szCs w:val="20"/>
        </w:rPr>
        <w:t>Ecuria e treguesve të riskut të</w:t>
      </w:r>
      <w:r w:rsidR="00A3493D" w:rsidRPr="00FB2E3B">
        <w:rPr>
          <w:rFonts w:ascii="Cambria" w:hAnsi="Cambria" w:cs="Times New Roman"/>
          <w:i/>
          <w:sz w:val="20"/>
          <w:szCs w:val="20"/>
        </w:rPr>
        <w:t xml:space="preserve"> rifinancimit (2017</w:t>
      </w:r>
      <w:r w:rsidRPr="00FB2E3B">
        <w:rPr>
          <w:rFonts w:ascii="Cambria" w:hAnsi="Cambria" w:cs="Times New Roman"/>
          <w:i/>
          <w:sz w:val="20"/>
          <w:szCs w:val="20"/>
        </w:rPr>
        <w:t>–2021)</w:t>
      </w:r>
    </w:p>
    <w:p w:rsidR="00D13120" w:rsidRDefault="00D13120" w:rsidP="00FB2E3B">
      <w:pPr>
        <w:tabs>
          <w:tab w:val="left" w:pos="1182"/>
        </w:tabs>
        <w:spacing w:after="0" w:line="276" w:lineRule="auto"/>
        <w:ind w:right="-188"/>
        <w:jc w:val="center"/>
        <w:rPr>
          <w:rFonts w:ascii="Cambria" w:hAnsi="Cambria" w:cs="Times New Roman"/>
          <w:i/>
          <w:noProof/>
          <w:sz w:val="20"/>
          <w:szCs w:val="20"/>
        </w:rPr>
      </w:pPr>
      <w:r w:rsidRPr="00D93100">
        <w:rPr>
          <w:rFonts w:ascii="Cambria" w:hAnsi="Cambria" w:cs="Times New Roman"/>
          <w:b/>
          <w:noProof/>
          <w:sz w:val="20"/>
          <w:szCs w:val="20"/>
        </w:rPr>
        <w:t xml:space="preserve">Burimi: </w:t>
      </w:r>
      <w:r w:rsidRPr="00D93100">
        <w:rPr>
          <w:rFonts w:ascii="Cambria" w:hAnsi="Cambria" w:cs="Times New Roman"/>
          <w:i/>
          <w:noProof/>
          <w:sz w:val="20"/>
          <w:szCs w:val="20"/>
        </w:rPr>
        <w:t>Ministria</w:t>
      </w:r>
      <w:r w:rsidR="00A3493D">
        <w:rPr>
          <w:rFonts w:ascii="Cambria" w:hAnsi="Cambria" w:cs="Times New Roman"/>
          <w:i/>
          <w:noProof/>
          <w:sz w:val="20"/>
          <w:szCs w:val="20"/>
        </w:rPr>
        <w:t xml:space="preserve"> e Financave dhe Ekonomisë (2022</w:t>
      </w:r>
      <w:r>
        <w:rPr>
          <w:rFonts w:ascii="Cambria" w:hAnsi="Cambria" w:cs="Times New Roman"/>
          <w:i/>
          <w:noProof/>
          <w:sz w:val="20"/>
          <w:szCs w:val="20"/>
        </w:rPr>
        <w:t>)</w:t>
      </w:r>
    </w:p>
    <w:p w:rsidR="00A3493D" w:rsidRPr="0017092C" w:rsidRDefault="00A3493D" w:rsidP="00FB2E3B">
      <w:pPr>
        <w:tabs>
          <w:tab w:val="left" w:pos="1182"/>
        </w:tabs>
        <w:spacing w:after="0" w:line="276" w:lineRule="auto"/>
        <w:ind w:right="-188"/>
        <w:rPr>
          <w:rFonts w:ascii="Cambria" w:hAnsi="Cambria" w:cs="Times New Roman"/>
          <w:b/>
          <w:sz w:val="16"/>
          <w:szCs w:val="16"/>
        </w:rPr>
      </w:pPr>
    </w:p>
    <w:p w:rsidR="00694361" w:rsidRDefault="00A3493D" w:rsidP="00FB2E3B">
      <w:pPr>
        <w:tabs>
          <w:tab w:val="left" w:pos="1182"/>
        </w:tabs>
        <w:spacing w:after="0" w:line="276" w:lineRule="auto"/>
        <w:ind w:right="-188"/>
        <w:rPr>
          <w:rFonts w:ascii="Cambria" w:hAnsi="Cambria" w:cs="Times New Roman"/>
          <w:i/>
          <w:noProof/>
          <w:sz w:val="20"/>
          <w:szCs w:val="20"/>
        </w:rPr>
      </w:pPr>
      <w:r>
        <w:rPr>
          <w:rFonts w:ascii="Cambria" w:hAnsi="Cambria" w:cs="Times New Roman"/>
          <w:b/>
          <w:sz w:val="20"/>
          <w:szCs w:val="20"/>
        </w:rPr>
        <w:t>Paraqitje Grafike 5.2.1</w:t>
      </w:r>
      <w:r w:rsidRPr="0028546D">
        <w:rPr>
          <w:rFonts w:ascii="Cambria" w:hAnsi="Cambria" w:cs="Times New Roman"/>
          <w:b/>
          <w:sz w:val="20"/>
          <w:szCs w:val="20"/>
        </w:rPr>
        <w:t xml:space="preserve">: </w:t>
      </w:r>
      <w:r w:rsidRPr="000A5BD2">
        <w:rPr>
          <w:rFonts w:ascii="Cambria" w:hAnsi="Cambria" w:cs="Times New Roman"/>
          <w:i/>
          <w:sz w:val="20"/>
          <w:szCs w:val="20"/>
        </w:rPr>
        <w:t xml:space="preserve">Ecuria e </w:t>
      </w:r>
      <w:r>
        <w:rPr>
          <w:rFonts w:ascii="Cambria" w:hAnsi="Cambria" w:cs="Times New Roman"/>
          <w:i/>
          <w:sz w:val="20"/>
          <w:szCs w:val="20"/>
        </w:rPr>
        <w:t>dit</w:t>
      </w:r>
      <w:r w:rsidR="00B2242A">
        <w:rPr>
          <w:rFonts w:ascii="Cambria" w:hAnsi="Cambria" w:cs="Times New Roman"/>
          <w:i/>
          <w:sz w:val="20"/>
          <w:szCs w:val="20"/>
        </w:rPr>
        <w:t>ë</w:t>
      </w:r>
      <w:r>
        <w:rPr>
          <w:rFonts w:ascii="Cambria" w:hAnsi="Cambria" w:cs="Times New Roman"/>
          <w:i/>
          <w:sz w:val="20"/>
          <w:szCs w:val="20"/>
        </w:rPr>
        <w:t>ve mesatare në maturim dhe sipas maturitetit origjinal</w:t>
      </w:r>
    </w:p>
    <w:p w:rsidR="00694361" w:rsidRDefault="00694361" w:rsidP="00FB2E3B">
      <w:pPr>
        <w:tabs>
          <w:tab w:val="left" w:pos="1182"/>
        </w:tabs>
        <w:spacing w:after="0" w:line="276" w:lineRule="auto"/>
        <w:ind w:right="-188"/>
        <w:jc w:val="center"/>
        <w:rPr>
          <w:rFonts w:ascii="Cambria" w:hAnsi="Cambria" w:cs="Times New Roman"/>
          <w:i/>
          <w:noProof/>
          <w:sz w:val="20"/>
          <w:szCs w:val="20"/>
        </w:rPr>
      </w:pPr>
      <w:r>
        <w:rPr>
          <w:noProof/>
          <w:lang w:val="en-US"/>
        </w:rPr>
        <w:drawing>
          <wp:inline distT="0" distB="0" distL="0" distR="0" wp14:anchorId="36647BE0" wp14:editId="47F12441">
            <wp:extent cx="5796915" cy="1580083"/>
            <wp:effectExtent l="0" t="0" r="13335" b="127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13120" w:rsidRDefault="00A3493D" w:rsidP="0017092C">
      <w:pPr>
        <w:tabs>
          <w:tab w:val="left" w:pos="1182"/>
        </w:tabs>
        <w:spacing w:after="0" w:line="276" w:lineRule="auto"/>
        <w:ind w:right="-188"/>
        <w:jc w:val="center"/>
        <w:rPr>
          <w:rFonts w:ascii="Cambria" w:hAnsi="Cambria" w:cs="Times New Roman"/>
          <w:i/>
          <w:noProof/>
          <w:sz w:val="20"/>
          <w:szCs w:val="20"/>
        </w:rPr>
      </w:pPr>
      <w:r w:rsidRPr="00D93100">
        <w:rPr>
          <w:rFonts w:ascii="Cambria" w:hAnsi="Cambria" w:cs="Times New Roman"/>
          <w:b/>
          <w:noProof/>
          <w:sz w:val="20"/>
          <w:szCs w:val="20"/>
        </w:rPr>
        <w:t xml:space="preserve">Burimi: </w:t>
      </w:r>
      <w:r w:rsidRPr="00D93100">
        <w:rPr>
          <w:rFonts w:ascii="Cambria" w:hAnsi="Cambria" w:cs="Times New Roman"/>
          <w:i/>
          <w:noProof/>
          <w:sz w:val="20"/>
          <w:szCs w:val="20"/>
        </w:rPr>
        <w:t>Ministria</w:t>
      </w:r>
      <w:r>
        <w:rPr>
          <w:rFonts w:ascii="Cambria" w:hAnsi="Cambria" w:cs="Times New Roman"/>
          <w:i/>
          <w:noProof/>
          <w:sz w:val="20"/>
          <w:szCs w:val="20"/>
        </w:rPr>
        <w:t xml:space="preserve"> e Financave dhe Ekonomisë (2022)</w:t>
      </w:r>
    </w:p>
    <w:p w:rsidR="0017092C" w:rsidRPr="0017092C" w:rsidRDefault="0017092C" w:rsidP="0017092C">
      <w:pPr>
        <w:tabs>
          <w:tab w:val="left" w:pos="1182"/>
        </w:tabs>
        <w:spacing w:after="0" w:line="276" w:lineRule="auto"/>
        <w:ind w:right="-188"/>
        <w:jc w:val="center"/>
        <w:rPr>
          <w:rFonts w:ascii="Cambria" w:hAnsi="Cambria" w:cs="Times New Roman"/>
          <w:i/>
          <w:noProof/>
          <w:sz w:val="20"/>
          <w:szCs w:val="20"/>
        </w:rPr>
      </w:pPr>
    </w:p>
    <w:p w:rsidR="00B57E58" w:rsidRPr="00696E26" w:rsidRDefault="00B57E58" w:rsidP="00FB2E3B">
      <w:pPr>
        <w:pStyle w:val="ListParagraph"/>
        <w:keepNext/>
        <w:keepLines/>
        <w:numPr>
          <w:ilvl w:val="2"/>
          <w:numId w:val="5"/>
        </w:numPr>
        <w:spacing w:before="40"/>
        <w:ind w:hanging="1080"/>
        <w:outlineLvl w:val="3"/>
        <w:rPr>
          <w:rFonts w:ascii="Cambria" w:eastAsiaTheme="majorEastAsia" w:hAnsi="Cambria" w:cstheme="majorBidi"/>
          <w:iCs/>
          <w:noProof/>
          <w:color w:val="000000" w:themeColor="text1"/>
          <w:sz w:val="24"/>
        </w:rPr>
      </w:pPr>
      <w:bookmarkStart w:id="16" w:name="_Toc491860995"/>
      <w:bookmarkStart w:id="17" w:name="_Toc491954308"/>
      <w:r w:rsidRPr="00696E26">
        <w:rPr>
          <w:rFonts w:ascii="Cambria" w:eastAsiaTheme="majorEastAsia" w:hAnsi="Cambria" w:cstheme="majorBidi"/>
          <w:iCs/>
          <w:noProof/>
          <w:color w:val="000000" w:themeColor="text1"/>
          <w:sz w:val="24"/>
        </w:rPr>
        <w:t>Risku i normave të interesit</w:t>
      </w:r>
      <w:bookmarkEnd w:id="16"/>
      <w:bookmarkEnd w:id="17"/>
    </w:p>
    <w:p w:rsidR="00A3493D" w:rsidRDefault="00B57E58" w:rsidP="00FB2E3B">
      <w:pPr>
        <w:widowControl w:val="0"/>
        <w:jc w:val="both"/>
        <w:rPr>
          <w:rFonts w:ascii="Times New Roman" w:hAnsi="Times New Roman"/>
          <w:sz w:val="24"/>
          <w:szCs w:val="24"/>
        </w:rPr>
      </w:pPr>
      <w:r w:rsidRPr="00B57E58">
        <w:rPr>
          <w:rFonts w:ascii="Times New Roman" w:hAnsi="Times New Roman"/>
          <w:sz w:val="24"/>
          <w:szCs w:val="24"/>
        </w:rPr>
        <w:t xml:space="preserve">Treguesit e riskut të normave të interesit gjithashtu janë përmirësuar duke qenë në linjë me objektivat strategjikë. Faktorët kryesorë që kanë ndikuar në uljen e ekspozimit të këtij risku kanë qenë ulja e peshës së titujve afatshkurtër  dhe atyre me norma interesi të ndryshueshme në portofolin e borxhit të brendshëm, përkatësisht me rreth </w:t>
      </w:r>
      <w:r w:rsidR="00724FC0">
        <w:rPr>
          <w:rFonts w:ascii="Times New Roman" w:hAnsi="Times New Roman"/>
          <w:sz w:val="24"/>
          <w:szCs w:val="24"/>
        </w:rPr>
        <w:t>2.0 dhe 1.17 pik</w:t>
      </w:r>
      <w:r w:rsidR="00FD335A">
        <w:rPr>
          <w:rFonts w:ascii="Times New Roman" w:hAnsi="Times New Roman"/>
          <w:sz w:val="24"/>
          <w:szCs w:val="24"/>
        </w:rPr>
        <w:t>ë</w:t>
      </w:r>
      <w:r w:rsidR="00724FC0">
        <w:rPr>
          <w:rFonts w:ascii="Times New Roman" w:hAnsi="Times New Roman"/>
          <w:sz w:val="24"/>
          <w:szCs w:val="24"/>
        </w:rPr>
        <w:t xml:space="preserve"> p</w:t>
      </w:r>
      <w:r w:rsidR="00FD335A">
        <w:rPr>
          <w:rFonts w:ascii="Times New Roman" w:hAnsi="Times New Roman"/>
          <w:sz w:val="24"/>
          <w:szCs w:val="24"/>
        </w:rPr>
        <w:t>ë</w:t>
      </w:r>
      <w:r w:rsidR="00724FC0">
        <w:rPr>
          <w:rFonts w:ascii="Times New Roman" w:hAnsi="Times New Roman"/>
          <w:sz w:val="24"/>
          <w:szCs w:val="24"/>
        </w:rPr>
        <w:t xml:space="preserve">rqindje krahasuar me fundin e vitit 2020. </w:t>
      </w:r>
      <w:r w:rsidR="006F1BA4" w:rsidRPr="00FB2E3B">
        <w:rPr>
          <w:rFonts w:ascii="Times New Roman" w:hAnsi="Times New Roman"/>
          <w:sz w:val="24"/>
          <w:szCs w:val="24"/>
        </w:rPr>
        <w:t xml:space="preserve"> </w:t>
      </w:r>
    </w:p>
    <w:p w:rsidR="00D13120" w:rsidRDefault="00D13120" w:rsidP="00FB2E3B">
      <w:pPr>
        <w:widowControl w:val="0"/>
        <w:jc w:val="both"/>
        <w:rPr>
          <w:rFonts w:ascii="Times New Roman" w:hAnsi="Times New Roman"/>
          <w:sz w:val="24"/>
          <w:szCs w:val="24"/>
        </w:rPr>
      </w:pPr>
      <w:r w:rsidRPr="00FB2E3B">
        <w:rPr>
          <w:rFonts w:ascii="Times New Roman" w:hAnsi="Times New Roman"/>
          <w:noProof/>
          <w:sz w:val="24"/>
          <w:szCs w:val="24"/>
          <w:lang w:val="en-US"/>
        </w:rPr>
        <w:drawing>
          <wp:anchor distT="0" distB="0" distL="114300" distR="114300" simplePos="0" relativeHeight="251900928" behindDoc="1" locked="0" layoutInCell="1" allowOverlap="1" wp14:anchorId="0908B054" wp14:editId="2D612A68">
            <wp:simplePos x="0" y="0"/>
            <wp:positionH relativeFrom="column">
              <wp:posOffset>-7620</wp:posOffset>
            </wp:positionH>
            <wp:positionV relativeFrom="paragraph">
              <wp:posOffset>282575</wp:posOffset>
            </wp:positionV>
            <wp:extent cx="2816225" cy="1798955"/>
            <wp:effectExtent l="0" t="0" r="3175" b="10795"/>
            <wp:wrapTight wrapText="bothSides">
              <wp:wrapPolygon edited="0">
                <wp:start x="0" y="0"/>
                <wp:lineTo x="0" y="21501"/>
                <wp:lineTo x="21478" y="21501"/>
                <wp:lineTo x="21478" y="0"/>
                <wp:lineTo x="0" y="0"/>
              </wp:wrapPolygon>
            </wp:wrapTight>
            <wp:docPr id="38" name="Chart 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6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r w:rsidRPr="00FB2E3B">
        <w:rPr>
          <w:rFonts w:ascii="Times New Roman" w:hAnsi="Times New Roman"/>
          <w:noProof/>
          <w:sz w:val="24"/>
          <w:szCs w:val="24"/>
          <w:lang w:val="en-US"/>
        </w:rPr>
        <w:drawing>
          <wp:anchor distT="0" distB="0" distL="114300" distR="114300" simplePos="0" relativeHeight="251901952" behindDoc="1" locked="0" layoutInCell="1" allowOverlap="1" wp14:anchorId="03A4B1D9" wp14:editId="6047920B">
            <wp:simplePos x="0" y="0"/>
            <wp:positionH relativeFrom="column">
              <wp:posOffset>2808605</wp:posOffset>
            </wp:positionH>
            <wp:positionV relativeFrom="paragraph">
              <wp:posOffset>282575</wp:posOffset>
            </wp:positionV>
            <wp:extent cx="2837815" cy="1798955"/>
            <wp:effectExtent l="0" t="0" r="635" b="10795"/>
            <wp:wrapTight wrapText="bothSides">
              <wp:wrapPolygon edited="0">
                <wp:start x="0" y="0"/>
                <wp:lineTo x="0" y="21501"/>
                <wp:lineTo x="21460" y="21501"/>
                <wp:lineTo x="21460" y="0"/>
                <wp:lineTo x="0" y="0"/>
              </wp:wrapPolygon>
            </wp:wrapTight>
            <wp:docPr id="41" name="Chart 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6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A3493D">
        <w:rPr>
          <w:rFonts w:ascii="Cambria" w:hAnsi="Cambria" w:cs="Times New Roman"/>
          <w:b/>
          <w:sz w:val="20"/>
          <w:szCs w:val="20"/>
        </w:rPr>
        <w:t>Paraqitje Grafike 5.2.2</w:t>
      </w:r>
      <w:r w:rsidRPr="0028546D">
        <w:rPr>
          <w:rFonts w:ascii="Cambria" w:hAnsi="Cambria" w:cs="Times New Roman"/>
          <w:b/>
          <w:sz w:val="20"/>
          <w:szCs w:val="20"/>
        </w:rPr>
        <w:t xml:space="preserve">: </w:t>
      </w:r>
      <w:r w:rsidRPr="00FB2E3B">
        <w:rPr>
          <w:rFonts w:ascii="Cambria" w:hAnsi="Cambria" w:cs="Times New Roman"/>
          <w:i/>
          <w:sz w:val="20"/>
          <w:szCs w:val="20"/>
        </w:rPr>
        <w:t>Ecuria e treguesve të riskut të normave t</w:t>
      </w:r>
      <w:r w:rsidR="00FD335A" w:rsidRPr="00FB2E3B">
        <w:rPr>
          <w:rFonts w:ascii="Cambria" w:hAnsi="Cambria" w:cs="Times New Roman"/>
          <w:i/>
          <w:sz w:val="20"/>
          <w:szCs w:val="20"/>
        </w:rPr>
        <w:t>ë</w:t>
      </w:r>
      <w:r w:rsidR="00A3493D" w:rsidRPr="00FB2E3B">
        <w:rPr>
          <w:rFonts w:ascii="Cambria" w:hAnsi="Cambria" w:cs="Times New Roman"/>
          <w:i/>
          <w:sz w:val="20"/>
          <w:szCs w:val="20"/>
        </w:rPr>
        <w:t xml:space="preserve"> in</w:t>
      </w:r>
      <w:r w:rsidRPr="00FB2E3B">
        <w:rPr>
          <w:rFonts w:ascii="Cambria" w:hAnsi="Cambria" w:cs="Times New Roman"/>
          <w:i/>
          <w:sz w:val="20"/>
          <w:szCs w:val="20"/>
        </w:rPr>
        <w:t>ter</w:t>
      </w:r>
      <w:r w:rsidR="00A3493D" w:rsidRPr="00FB2E3B">
        <w:rPr>
          <w:rFonts w:ascii="Cambria" w:hAnsi="Cambria" w:cs="Times New Roman"/>
          <w:i/>
          <w:sz w:val="20"/>
          <w:szCs w:val="20"/>
        </w:rPr>
        <w:t>esit</w:t>
      </w:r>
      <w:r w:rsidR="00A3493D">
        <w:rPr>
          <w:rFonts w:ascii="Cambria" w:hAnsi="Cambria" w:cs="Times New Roman"/>
          <w:sz w:val="20"/>
          <w:szCs w:val="20"/>
        </w:rPr>
        <w:t xml:space="preserve"> </w:t>
      </w:r>
      <w:r w:rsidR="00A3493D" w:rsidRPr="00FB2E3B">
        <w:rPr>
          <w:rFonts w:ascii="Cambria" w:hAnsi="Cambria" w:cs="Times New Roman"/>
          <w:i/>
          <w:sz w:val="20"/>
          <w:szCs w:val="20"/>
        </w:rPr>
        <w:t>(2017</w:t>
      </w:r>
      <w:r w:rsidRPr="00FB2E3B">
        <w:rPr>
          <w:rFonts w:ascii="Cambria" w:hAnsi="Cambria" w:cs="Times New Roman"/>
          <w:i/>
          <w:sz w:val="20"/>
          <w:szCs w:val="20"/>
        </w:rPr>
        <w:t>–2021)</w:t>
      </w:r>
    </w:p>
    <w:p w:rsidR="00D13120" w:rsidRPr="00645251" w:rsidRDefault="00D13120" w:rsidP="00D13120">
      <w:pPr>
        <w:tabs>
          <w:tab w:val="left" w:pos="1182"/>
        </w:tabs>
        <w:spacing w:after="0" w:line="276" w:lineRule="auto"/>
        <w:ind w:right="-188"/>
        <w:jc w:val="center"/>
        <w:rPr>
          <w:rFonts w:ascii="Cambria" w:hAnsi="Cambria" w:cs="Times New Roman"/>
          <w:i/>
          <w:noProof/>
          <w:sz w:val="20"/>
          <w:szCs w:val="20"/>
        </w:rPr>
      </w:pPr>
      <w:r w:rsidRPr="00D93100">
        <w:rPr>
          <w:rFonts w:ascii="Cambria" w:hAnsi="Cambria" w:cs="Times New Roman"/>
          <w:b/>
          <w:noProof/>
          <w:sz w:val="20"/>
          <w:szCs w:val="20"/>
        </w:rPr>
        <w:t xml:space="preserve">Burimi: </w:t>
      </w:r>
      <w:r w:rsidRPr="00D93100">
        <w:rPr>
          <w:rFonts w:ascii="Cambria" w:hAnsi="Cambria" w:cs="Times New Roman"/>
          <w:i/>
          <w:noProof/>
          <w:sz w:val="20"/>
          <w:szCs w:val="20"/>
        </w:rPr>
        <w:t>Ministria</w:t>
      </w:r>
      <w:r w:rsidR="00A3493D">
        <w:rPr>
          <w:rFonts w:ascii="Cambria" w:hAnsi="Cambria" w:cs="Times New Roman"/>
          <w:i/>
          <w:noProof/>
          <w:sz w:val="20"/>
          <w:szCs w:val="20"/>
        </w:rPr>
        <w:t xml:space="preserve"> e Financave dhe Ekonomisë (2022</w:t>
      </w:r>
      <w:r>
        <w:rPr>
          <w:rFonts w:ascii="Cambria" w:hAnsi="Cambria" w:cs="Times New Roman"/>
          <w:i/>
          <w:noProof/>
          <w:sz w:val="20"/>
          <w:szCs w:val="20"/>
        </w:rPr>
        <w:t>)</w:t>
      </w:r>
    </w:p>
    <w:p w:rsidR="00D13120" w:rsidRDefault="00D13120" w:rsidP="00FB2E3B">
      <w:pPr>
        <w:widowControl w:val="0"/>
        <w:jc w:val="both"/>
        <w:rPr>
          <w:rFonts w:ascii="Times New Roman" w:hAnsi="Times New Roman"/>
          <w:sz w:val="24"/>
          <w:szCs w:val="24"/>
        </w:rPr>
      </w:pPr>
    </w:p>
    <w:p w:rsidR="00B57E58" w:rsidRPr="00696E26" w:rsidRDefault="00B57E58" w:rsidP="00B57E58">
      <w:pPr>
        <w:pStyle w:val="ListParagraph"/>
        <w:keepNext/>
        <w:keepLines/>
        <w:numPr>
          <w:ilvl w:val="2"/>
          <w:numId w:val="5"/>
        </w:numPr>
        <w:spacing w:before="40" w:after="0"/>
        <w:ind w:hanging="1080"/>
        <w:outlineLvl w:val="3"/>
        <w:rPr>
          <w:rFonts w:ascii="Cambria" w:eastAsiaTheme="majorEastAsia" w:hAnsi="Cambria" w:cstheme="majorBidi"/>
          <w:iCs/>
          <w:noProof/>
          <w:color w:val="000000" w:themeColor="text1"/>
          <w:sz w:val="24"/>
        </w:rPr>
      </w:pPr>
      <w:bookmarkStart w:id="18" w:name="_Toc491860996"/>
      <w:bookmarkStart w:id="19" w:name="_Toc491954309"/>
      <w:r w:rsidRPr="00696E26">
        <w:rPr>
          <w:rFonts w:ascii="Cambria" w:eastAsiaTheme="majorEastAsia" w:hAnsi="Cambria" w:cstheme="majorBidi"/>
          <w:iCs/>
          <w:noProof/>
          <w:color w:val="000000" w:themeColor="text1"/>
          <w:sz w:val="24"/>
        </w:rPr>
        <w:t>Risku i kursit të këmbimit</w:t>
      </w:r>
      <w:bookmarkEnd w:id="18"/>
      <w:bookmarkEnd w:id="19"/>
    </w:p>
    <w:p w:rsidR="00B57E58" w:rsidRPr="00696E26" w:rsidRDefault="00B57E58" w:rsidP="00B57E58">
      <w:pPr>
        <w:spacing w:after="0"/>
        <w:jc w:val="both"/>
        <w:rPr>
          <w:rFonts w:ascii="Times New Roman" w:eastAsia="Batang" w:hAnsi="Times New Roman" w:cs="Times New Roman"/>
          <w:noProof/>
          <w:sz w:val="16"/>
          <w:szCs w:val="10"/>
        </w:rPr>
      </w:pPr>
    </w:p>
    <w:p w:rsidR="00B57E58" w:rsidRDefault="00027F60" w:rsidP="00B57E58">
      <w:pPr>
        <w:spacing w:after="0" w:line="276" w:lineRule="auto"/>
        <w:ind w:right="238"/>
        <w:jc w:val="both"/>
        <w:rPr>
          <w:rFonts w:ascii="Times New Roman" w:eastAsia="Batang" w:hAnsi="Times New Roman" w:cs="Times New Roman"/>
          <w:noProof/>
          <w:sz w:val="24"/>
          <w:szCs w:val="24"/>
        </w:rPr>
      </w:pPr>
      <w:r>
        <w:rPr>
          <w:rFonts w:ascii="Times New Roman" w:eastAsia="Batang" w:hAnsi="Times New Roman" w:cs="Times New Roman"/>
          <w:noProof/>
          <w:sz w:val="24"/>
          <w:szCs w:val="24"/>
        </w:rPr>
        <w:t>Pavar</w:t>
      </w:r>
      <w:r w:rsidR="00FD335A">
        <w:rPr>
          <w:rFonts w:ascii="Times New Roman" w:eastAsia="Batang" w:hAnsi="Times New Roman" w:cs="Times New Roman"/>
          <w:noProof/>
          <w:sz w:val="24"/>
          <w:szCs w:val="24"/>
        </w:rPr>
        <w:t>ë</w:t>
      </w:r>
      <w:r>
        <w:rPr>
          <w:rFonts w:ascii="Times New Roman" w:eastAsia="Batang" w:hAnsi="Times New Roman" w:cs="Times New Roman"/>
          <w:noProof/>
          <w:sz w:val="24"/>
          <w:szCs w:val="24"/>
        </w:rPr>
        <w:t>sisht rritjes s</w:t>
      </w:r>
      <w:r w:rsidR="00FD335A">
        <w:rPr>
          <w:rFonts w:ascii="Times New Roman" w:eastAsia="Batang" w:hAnsi="Times New Roman" w:cs="Times New Roman"/>
          <w:noProof/>
          <w:sz w:val="24"/>
          <w:szCs w:val="24"/>
        </w:rPr>
        <w:t>ë</w:t>
      </w:r>
      <w:r>
        <w:rPr>
          <w:rFonts w:ascii="Times New Roman" w:eastAsia="Batang" w:hAnsi="Times New Roman" w:cs="Times New Roman"/>
          <w:noProof/>
          <w:sz w:val="24"/>
          <w:szCs w:val="24"/>
        </w:rPr>
        <w:t xml:space="preserve"> pesh</w:t>
      </w:r>
      <w:r w:rsidR="00FD335A">
        <w:rPr>
          <w:rFonts w:ascii="Times New Roman" w:eastAsia="Batang" w:hAnsi="Times New Roman" w:cs="Times New Roman"/>
          <w:noProof/>
          <w:sz w:val="24"/>
          <w:szCs w:val="24"/>
        </w:rPr>
        <w:t>ë</w:t>
      </w:r>
      <w:r>
        <w:rPr>
          <w:rFonts w:ascii="Times New Roman" w:eastAsia="Batang" w:hAnsi="Times New Roman" w:cs="Times New Roman"/>
          <w:noProof/>
          <w:sz w:val="24"/>
          <w:szCs w:val="24"/>
        </w:rPr>
        <w:t>s s</w:t>
      </w:r>
      <w:r w:rsidR="00FD335A">
        <w:rPr>
          <w:rFonts w:ascii="Times New Roman" w:eastAsia="Batang" w:hAnsi="Times New Roman" w:cs="Times New Roman"/>
          <w:noProof/>
          <w:sz w:val="24"/>
          <w:szCs w:val="24"/>
        </w:rPr>
        <w:t>ë</w:t>
      </w:r>
      <w:r>
        <w:rPr>
          <w:rFonts w:ascii="Times New Roman" w:eastAsia="Batang" w:hAnsi="Times New Roman" w:cs="Times New Roman"/>
          <w:noProof/>
          <w:sz w:val="24"/>
          <w:szCs w:val="24"/>
        </w:rPr>
        <w:t xml:space="preserve"> borxhit n</w:t>
      </w:r>
      <w:r w:rsidR="00FD335A">
        <w:rPr>
          <w:rFonts w:ascii="Times New Roman" w:eastAsia="Batang" w:hAnsi="Times New Roman" w:cs="Times New Roman"/>
          <w:noProof/>
          <w:sz w:val="24"/>
          <w:szCs w:val="24"/>
        </w:rPr>
        <w:t>ë</w:t>
      </w:r>
      <w:r>
        <w:rPr>
          <w:rFonts w:ascii="Times New Roman" w:eastAsia="Batang" w:hAnsi="Times New Roman" w:cs="Times New Roman"/>
          <w:noProof/>
          <w:sz w:val="24"/>
          <w:szCs w:val="24"/>
        </w:rPr>
        <w:t xml:space="preserve"> valut</w:t>
      </w:r>
      <w:r w:rsidR="00FD335A">
        <w:rPr>
          <w:rFonts w:ascii="Times New Roman" w:eastAsia="Batang" w:hAnsi="Times New Roman" w:cs="Times New Roman"/>
          <w:noProof/>
          <w:sz w:val="24"/>
          <w:szCs w:val="24"/>
        </w:rPr>
        <w:t>ë</w:t>
      </w:r>
      <w:r>
        <w:rPr>
          <w:rFonts w:ascii="Times New Roman" w:eastAsia="Batang" w:hAnsi="Times New Roman" w:cs="Times New Roman"/>
          <w:noProof/>
          <w:sz w:val="24"/>
          <w:szCs w:val="24"/>
        </w:rPr>
        <w:t xml:space="preserve"> t</w:t>
      </w:r>
      <w:r w:rsidR="00FD335A">
        <w:rPr>
          <w:rFonts w:ascii="Times New Roman" w:eastAsia="Batang" w:hAnsi="Times New Roman" w:cs="Times New Roman"/>
          <w:noProof/>
          <w:sz w:val="24"/>
          <w:szCs w:val="24"/>
        </w:rPr>
        <w:t>ë</w:t>
      </w:r>
      <w:r>
        <w:rPr>
          <w:rFonts w:ascii="Times New Roman" w:eastAsia="Batang" w:hAnsi="Times New Roman" w:cs="Times New Roman"/>
          <w:noProof/>
          <w:sz w:val="24"/>
          <w:szCs w:val="24"/>
        </w:rPr>
        <w:t xml:space="preserve"> huaj n</w:t>
      </w:r>
      <w:r w:rsidR="00FD335A">
        <w:rPr>
          <w:rFonts w:ascii="Times New Roman" w:eastAsia="Batang" w:hAnsi="Times New Roman" w:cs="Times New Roman"/>
          <w:noProof/>
          <w:sz w:val="24"/>
          <w:szCs w:val="24"/>
        </w:rPr>
        <w:t>ë</w:t>
      </w:r>
      <w:r>
        <w:rPr>
          <w:rFonts w:ascii="Times New Roman" w:eastAsia="Batang" w:hAnsi="Times New Roman" w:cs="Times New Roman"/>
          <w:noProof/>
          <w:sz w:val="24"/>
          <w:szCs w:val="24"/>
        </w:rPr>
        <w:t xml:space="preserve"> dy vitet ne fundit, e</w:t>
      </w:r>
      <w:r w:rsidR="00B57E58" w:rsidRPr="00696E26">
        <w:rPr>
          <w:rFonts w:ascii="Times New Roman" w:eastAsia="Batang" w:hAnsi="Times New Roman" w:cs="Times New Roman"/>
          <w:noProof/>
          <w:sz w:val="24"/>
          <w:szCs w:val="24"/>
        </w:rPr>
        <w:t xml:space="preserve">kspozimi ndaj riskut të kursit të këmbimit është mbajtur nën kontroll, pasi stoku i borxhit shtetëror në monedhë të huaj vazhdon të qëndrojë ndjeshëm nën kufirin strategjik dhe atë të qëndrueshmërisë së borxhit. </w:t>
      </w:r>
    </w:p>
    <w:p w:rsidR="00B2242A" w:rsidRDefault="00B2242A" w:rsidP="00B57E58">
      <w:pPr>
        <w:spacing w:after="0" w:line="276" w:lineRule="auto"/>
        <w:ind w:right="238"/>
        <w:jc w:val="both"/>
        <w:rPr>
          <w:rFonts w:ascii="Times New Roman" w:eastAsia="Batang" w:hAnsi="Times New Roman" w:cs="Times New Roman"/>
          <w:noProof/>
          <w:sz w:val="24"/>
          <w:szCs w:val="24"/>
        </w:rPr>
      </w:pPr>
    </w:p>
    <w:p w:rsidR="00D13120" w:rsidRPr="00FB2E3B" w:rsidRDefault="00D13120" w:rsidP="00FB2E3B">
      <w:pPr>
        <w:tabs>
          <w:tab w:val="left" w:pos="555"/>
          <w:tab w:val="left" w:pos="1182"/>
        </w:tabs>
        <w:spacing w:after="0" w:line="276" w:lineRule="auto"/>
        <w:ind w:right="-46"/>
        <w:jc w:val="center"/>
        <w:rPr>
          <w:rFonts w:ascii="Times New Roman" w:hAnsi="Times New Roman" w:cs="Times New Roman"/>
          <w:sz w:val="20"/>
          <w:szCs w:val="20"/>
          <w:highlight w:val="yellow"/>
        </w:rPr>
      </w:pPr>
      <w:r w:rsidRPr="0028546D">
        <w:rPr>
          <w:rFonts w:ascii="Cambria" w:hAnsi="Cambria" w:cs="Times New Roman"/>
          <w:b/>
          <w:sz w:val="20"/>
          <w:szCs w:val="20"/>
        </w:rPr>
        <w:t xml:space="preserve">Paraqitje Grafike 5.2.1: </w:t>
      </w:r>
      <w:r w:rsidRPr="0028546D">
        <w:rPr>
          <w:rFonts w:ascii="Cambria" w:hAnsi="Cambria" w:cs="Times New Roman"/>
          <w:sz w:val="20"/>
          <w:szCs w:val="20"/>
        </w:rPr>
        <w:t xml:space="preserve">Ecuria e treguesve të riskut të </w:t>
      </w:r>
      <w:r>
        <w:rPr>
          <w:rFonts w:ascii="Cambria" w:hAnsi="Cambria" w:cs="Times New Roman"/>
          <w:sz w:val="20"/>
          <w:szCs w:val="20"/>
        </w:rPr>
        <w:t>normave t</w:t>
      </w:r>
      <w:r w:rsidR="00FD335A">
        <w:rPr>
          <w:rFonts w:ascii="Cambria" w:hAnsi="Cambria" w:cs="Times New Roman"/>
          <w:sz w:val="20"/>
          <w:szCs w:val="20"/>
        </w:rPr>
        <w:t>ë</w:t>
      </w:r>
      <w:r w:rsidR="00B2242A">
        <w:rPr>
          <w:rFonts w:ascii="Cambria" w:hAnsi="Cambria" w:cs="Times New Roman"/>
          <w:sz w:val="20"/>
          <w:szCs w:val="20"/>
        </w:rPr>
        <w:t xml:space="preserve"> in</w:t>
      </w:r>
      <w:r w:rsidR="00A3493D">
        <w:rPr>
          <w:rFonts w:ascii="Cambria" w:hAnsi="Cambria" w:cs="Times New Roman"/>
          <w:sz w:val="20"/>
          <w:szCs w:val="20"/>
        </w:rPr>
        <w:t>ter</w:t>
      </w:r>
      <w:r w:rsidR="00B2242A">
        <w:rPr>
          <w:rFonts w:ascii="Cambria" w:hAnsi="Cambria" w:cs="Times New Roman"/>
          <w:sz w:val="20"/>
          <w:szCs w:val="20"/>
        </w:rPr>
        <w:t>e</w:t>
      </w:r>
      <w:r w:rsidR="00A3493D">
        <w:rPr>
          <w:rFonts w:ascii="Cambria" w:hAnsi="Cambria" w:cs="Times New Roman"/>
          <w:sz w:val="20"/>
          <w:szCs w:val="20"/>
        </w:rPr>
        <w:t>sit (2017</w:t>
      </w:r>
      <w:r>
        <w:rPr>
          <w:rFonts w:ascii="Cambria" w:hAnsi="Cambria" w:cs="Times New Roman"/>
          <w:sz w:val="20"/>
          <w:szCs w:val="20"/>
        </w:rPr>
        <w:t>–2021</w:t>
      </w:r>
      <w:r w:rsidRPr="0028546D">
        <w:rPr>
          <w:rFonts w:ascii="Cambria" w:hAnsi="Cambria" w:cs="Times New Roman"/>
          <w:sz w:val="20"/>
          <w:szCs w:val="20"/>
        </w:rPr>
        <w:t>)</w:t>
      </w:r>
    </w:p>
    <w:p w:rsidR="00B57E58" w:rsidRDefault="00D13120" w:rsidP="00FB2E3B">
      <w:pPr>
        <w:widowControl w:val="0"/>
        <w:jc w:val="both"/>
        <w:rPr>
          <w:rFonts w:ascii="Times New Roman" w:hAnsi="Times New Roman"/>
          <w:sz w:val="24"/>
          <w:szCs w:val="24"/>
        </w:rPr>
      </w:pPr>
      <w:r w:rsidRPr="00FB2E3B">
        <w:rPr>
          <w:rFonts w:ascii="Times New Roman" w:hAnsi="Times New Roman"/>
          <w:noProof/>
          <w:sz w:val="24"/>
          <w:szCs w:val="24"/>
          <w:lang w:val="en-US"/>
        </w:rPr>
        <w:drawing>
          <wp:inline distT="0" distB="0" distL="0" distR="0" wp14:anchorId="34BAA363" wp14:editId="771ADC50">
            <wp:extent cx="5731510" cy="1594714"/>
            <wp:effectExtent l="0" t="0" r="2540" b="5715"/>
            <wp:docPr id="42" name="Chart 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16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3493D" w:rsidRPr="00FB2E3B" w:rsidRDefault="00D13120" w:rsidP="00FB2E3B">
      <w:pPr>
        <w:widowControl w:val="0"/>
        <w:spacing w:line="276" w:lineRule="auto"/>
        <w:ind w:right="-188"/>
        <w:jc w:val="center"/>
        <w:rPr>
          <w:rFonts w:ascii="Cambria" w:hAnsi="Cambria" w:cs="Times New Roman"/>
          <w:i/>
          <w:noProof/>
          <w:sz w:val="20"/>
          <w:szCs w:val="20"/>
        </w:rPr>
      </w:pPr>
      <w:r w:rsidRPr="00D93100">
        <w:rPr>
          <w:rFonts w:ascii="Cambria" w:hAnsi="Cambria" w:cs="Times New Roman"/>
          <w:b/>
          <w:noProof/>
          <w:sz w:val="20"/>
          <w:szCs w:val="20"/>
        </w:rPr>
        <w:t xml:space="preserve">Burimi: </w:t>
      </w:r>
      <w:r w:rsidRPr="00D93100">
        <w:rPr>
          <w:rFonts w:ascii="Cambria" w:hAnsi="Cambria" w:cs="Times New Roman"/>
          <w:i/>
          <w:noProof/>
          <w:sz w:val="20"/>
          <w:szCs w:val="20"/>
        </w:rPr>
        <w:t>Ministria</w:t>
      </w:r>
      <w:r w:rsidR="00A3493D">
        <w:rPr>
          <w:rFonts w:ascii="Cambria" w:hAnsi="Cambria" w:cs="Times New Roman"/>
          <w:i/>
          <w:noProof/>
          <w:sz w:val="20"/>
          <w:szCs w:val="20"/>
        </w:rPr>
        <w:t xml:space="preserve"> e Financave dhe Ekonomisë (2022)</w:t>
      </w:r>
    </w:p>
    <w:p w:rsidR="0017092C" w:rsidRDefault="0017092C" w:rsidP="0017092C">
      <w:pPr>
        <w:tabs>
          <w:tab w:val="left" w:pos="555"/>
          <w:tab w:val="left" w:pos="1182"/>
        </w:tabs>
        <w:spacing w:after="0"/>
        <w:ind w:right="-46"/>
        <w:rPr>
          <w:rFonts w:ascii="Times New Roman" w:hAnsi="Times New Roman" w:cs="Times New Roman"/>
          <w:sz w:val="24"/>
          <w:szCs w:val="24"/>
        </w:rPr>
      </w:pPr>
    </w:p>
    <w:p w:rsidR="0017092C" w:rsidRPr="00FB2E3B" w:rsidRDefault="0017092C" w:rsidP="00FB2E3B">
      <w:pPr>
        <w:tabs>
          <w:tab w:val="left" w:pos="555"/>
          <w:tab w:val="left" w:pos="1182"/>
        </w:tabs>
        <w:spacing w:after="0"/>
        <w:ind w:right="-46"/>
        <w:jc w:val="center"/>
        <w:rPr>
          <w:rFonts w:ascii="Times New Roman" w:hAnsi="Times New Roman" w:cs="Times New Roman"/>
          <w:sz w:val="24"/>
          <w:szCs w:val="24"/>
        </w:rPr>
      </w:pPr>
    </w:p>
    <w:p w:rsidR="00C04FF4" w:rsidRPr="005F5D6A" w:rsidRDefault="00406EB7" w:rsidP="000D1771">
      <w:pPr>
        <w:pStyle w:val="Heading1"/>
        <w:numPr>
          <w:ilvl w:val="0"/>
          <w:numId w:val="5"/>
        </w:numPr>
        <w:spacing w:before="0" w:line="276" w:lineRule="auto"/>
        <w:ind w:left="425" w:right="-45" w:hanging="425"/>
        <w:jc w:val="both"/>
        <w:rPr>
          <w:rFonts w:ascii="Cambria" w:hAnsi="Cambria"/>
          <w:color w:val="C00000"/>
          <w:sz w:val="24"/>
          <w:szCs w:val="24"/>
        </w:rPr>
      </w:pPr>
      <w:bookmarkStart w:id="20" w:name="_Toc34645070"/>
      <w:r w:rsidRPr="005F5D6A">
        <w:rPr>
          <w:rFonts w:ascii="Cambria" w:hAnsi="Cambria"/>
          <w:color w:val="C00000"/>
          <w:sz w:val="24"/>
          <w:szCs w:val="24"/>
        </w:rPr>
        <w:t>Zhvillimet e Tregut Primar t</w:t>
      </w:r>
      <w:r w:rsidR="00D7649A" w:rsidRPr="005F5D6A">
        <w:rPr>
          <w:rFonts w:ascii="Cambria" w:hAnsi="Cambria"/>
          <w:color w:val="C00000"/>
          <w:sz w:val="24"/>
          <w:szCs w:val="24"/>
        </w:rPr>
        <w:t>ë</w:t>
      </w:r>
      <w:r w:rsidR="004769A2" w:rsidRPr="005F5D6A">
        <w:rPr>
          <w:rFonts w:ascii="Cambria" w:hAnsi="Cambria"/>
          <w:color w:val="C00000"/>
          <w:sz w:val="24"/>
          <w:szCs w:val="24"/>
        </w:rPr>
        <w:t xml:space="preserve"> Titujve S</w:t>
      </w:r>
      <w:r w:rsidRPr="005F5D6A">
        <w:rPr>
          <w:rFonts w:ascii="Cambria" w:hAnsi="Cambria"/>
          <w:color w:val="C00000"/>
          <w:sz w:val="24"/>
          <w:szCs w:val="24"/>
        </w:rPr>
        <w:t>htet</w:t>
      </w:r>
      <w:r w:rsidR="00D7649A" w:rsidRPr="005F5D6A">
        <w:rPr>
          <w:rFonts w:ascii="Cambria" w:hAnsi="Cambria"/>
          <w:color w:val="C00000"/>
          <w:sz w:val="24"/>
          <w:szCs w:val="24"/>
        </w:rPr>
        <w:t>ë</w:t>
      </w:r>
      <w:r w:rsidRPr="005F5D6A">
        <w:rPr>
          <w:rFonts w:ascii="Cambria" w:hAnsi="Cambria"/>
          <w:color w:val="C00000"/>
          <w:sz w:val="24"/>
          <w:szCs w:val="24"/>
        </w:rPr>
        <w:t>ror</w:t>
      </w:r>
      <w:r w:rsidR="00D12711" w:rsidRPr="005F5D6A">
        <w:rPr>
          <w:rFonts w:ascii="Cambria" w:hAnsi="Cambria"/>
          <w:color w:val="C00000"/>
          <w:sz w:val="24"/>
          <w:szCs w:val="24"/>
        </w:rPr>
        <w:t>ë</w:t>
      </w:r>
      <w:bookmarkEnd w:id="20"/>
    </w:p>
    <w:p w:rsidR="000D1771" w:rsidRPr="006F1BA4" w:rsidRDefault="000D1771" w:rsidP="000D1771">
      <w:pPr>
        <w:spacing w:after="0" w:line="276" w:lineRule="auto"/>
        <w:rPr>
          <w:sz w:val="20"/>
          <w:highlight w:val="yellow"/>
        </w:rPr>
      </w:pPr>
    </w:p>
    <w:p w:rsidR="0001373B" w:rsidRDefault="0001373B" w:rsidP="0001373B">
      <w:pPr>
        <w:tabs>
          <w:tab w:val="left" w:pos="1182"/>
        </w:tabs>
        <w:spacing w:after="0" w:line="276" w:lineRule="auto"/>
        <w:ind w:right="-46"/>
        <w:jc w:val="both"/>
        <w:rPr>
          <w:rFonts w:ascii="Times New Roman" w:hAnsi="Times New Roman" w:cs="Times New Roman"/>
          <w:sz w:val="24"/>
          <w:szCs w:val="24"/>
        </w:rPr>
      </w:pPr>
      <w:r w:rsidRPr="00983D87">
        <w:rPr>
          <w:rFonts w:ascii="Times New Roman" w:hAnsi="Times New Roman" w:cs="Times New Roman"/>
          <w:sz w:val="24"/>
          <w:szCs w:val="24"/>
        </w:rPr>
        <w:t xml:space="preserve">Tregu primar i titujve shtetërorë gjatë </w:t>
      </w:r>
      <w:r w:rsidR="00B459C4" w:rsidRPr="00983D87">
        <w:rPr>
          <w:rFonts w:ascii="Times New Roman" w:hAnsi="Times New Roman" w:cs="Times New Roman"/>
          <w:sz w:val="24"/>
          <w:szCs w:val="24"/>
        </w:rPr>
        <w:t>vitit 202</w:t>
      </w:r>
      <w:r w:rsidR="001E50CB" w:rsidRPr="00983D87">
        <w:rPr>
          <w:rFonts w:ascii="Times New Roman" w:hAnsi="Times New Roman" w:cs="Times New Roman"/>
          <w:sz w:val="24"/>
          <w:szCs w:val="24"/>
        </w:rPr>
        <w:t>1</w:t>
      </w:r>
      <w:r w:rsidR="00B459C4" w:rsidRPr="00983D87">
        <w:rPr>
          <w:rFonts w:ascii="Times New Roman" w:hAnsi="Times New Roman" w:cs="Times New Roman"/>
          <w:sz w:val="24"/>
          <w:szCs w:val="24"/>
        </w:rPr>
        <w:t xml:space="preserve"> </w:t>
      </w:r>
      <w:r w:rsidRPr="00983D87">
        <w:rPr>
          <w:rFonts w:ascii="Times New Roman" w:hAnsi="Times New Roman" w:cs="Times New Roman"/>
          <w:sz w:val="24"/>
          <w:szCs w:val="24"/>
        </w:rPr>
        <w:t>përgjithësisht është karakterizuar nga zhvillime pozitive, ndër të cilat mund të përmenden</w:t>
      </w:r>
      <w:r w:rsidR="00C20967" w:rsidRPr="00983D87">
        <w:rPr>
          <w:rFonts w:ascii="Times New Roman" w:hAnsi="Times New Roman" w:cs="Times New Roman"/>
          <w:sz w:val="24"/>
          <w:szCs w:val="24"/>
        </w:rPr>
        <w:t>: i)</w:t>
      </w:r>
      <w:r w:rsidRPr="00983D87">
        <w:rPr>
          <w:rFonts w:ascii="Times New Roman" w:hAnsi="Times New Roman" w:cs="Times New Roman"/>
          <w:sz w:val="24"/>
          <w:szCs w:val="24"/>
        </w:rPr>
        <w:t xml:space="preserve"> kërkesa e kënaqshme e tregut në raport me n</w:t>
      </w:r>
      <w:r w:rsidR="00C20967" w:rsidRPr="00983D87">
        <w:rPr>
          <w:rFonts w:ascii="Times New Roman" w:hAnsi="Times New Roman" w:cs="Times New Roman"/>
          <w:sz w:val="24"/>
          <w:szCs w:val="24"/>
        </w:rPr>
        <w:t xml:space="preserve">evojat e qeverisë për huamarrje; ii) vijimi me projektin </w:t>
      </w:r>
      <w:r w:rsidR="00027F60">
        <w:rPr>
          <w:rFonts w:ascii="Times New Roman" w:hAnsi="Times New Roman" w:cs="Times New Roman"/>
          <w:sz w:val="24"/>
          <w:szCs w:val="24"/>
        </w:rPr>
        <w:t>Market Maker</w:t>
      </w:r>
      <w:r w:rsidR="00027F60" w:rsidRPr="00983D87">
        <w:rPr>
          <w:rFonts w:ascii="Times New Roman" w:hAnsi="Times New Roman" w:cs="Times New Roman"/>
          <w:sz w:val="24"/>
          <w:szCs w:val="24"/>
        </w:rPr>
        <w:t xml:space="preserve"> </w:t>
      </w:r>
      <w:r w:rsidR="00C20967" w:rsidRPr="00983D87">
        <w:rPr>
          <w:rFonts w:ascii="Times New Roman" w:hAnsi="Times New Roman" w:cs="Times New Roman"/>
          <w:sz w:val="24"/>
          <w:szCs w:val="24"/>
        </w:rPr>
        <w:t>p</w:t>
      </w:r>
      <w:r w:rsidR="00513848" w:rsidRPr="00983D87">
        <w:rPr>
          <w:rFonts w:ascii="Times New Roman" w:hAnsi="Times New Roman" w:cs="Times New Roman"/>
          <w:sz w:val="24"/>
          <w:szCs w:val="24"/>
        </w:rPr>
        <w:t>ë</w:t>
      </w:r>
      <w:r w:rsidR="00C20967" w:rsidRPr="00983D87">
        <w:rPr>
          <w:rFonts w:ascii="Times New Roman" w:hAnsi="Times New Roman" w:cs="Times New Roman"/>
          <w:sz w:val="24"/>
          <w:szCs w:val="24"/>
        </w:rPr>
        <w:t xml:space="preserve">r emetimin e obligacionit 5-vjeçar </w:t>
      </w:r>
      <w:r w:rsidR="00B459C4" w:rsidRPr="00983D87">
        <w:rPr>
          <w:rFonts w:ascii="Times New Roman" w:hAnsi="Times New Roman" w:cs="Times New Roman"/>
          <w:sz w:val="24"/>
          <w:szCs w:val="24"/>
        </w:rPr>
        <w:t>dhe 3-vjeçar referencë</w:t>
      </w:r>
      <w:r w:rsidR="00C20967" w:rsidRPr="00983D87">
        <w:rPr>
          <w:rFonts w:ascii="Times New Roman" w:hAnsi="Times New Roman" w:cs="Times New Roman"/>
          <w:sz w:val="24"/>
          <w:szCs w:val="24"/>
        </w:rPr>
        <w:t>.</w:t>
      </w:r>
    </w:p>
    <w:p w:rsidR="0001373B" w:rsidRPr="00983D87" w:rsidRDefault="0001373B" w:rsidP="0001373B">
      <w:pPr>
        <w:tabs>
          <w:tab w:val="left" w:pos="1182"/>
        </w:tabs>
        <w:spacing w:after="0" w:line="276" w:lineRule="auto"/>
        <w:ind w:right="-46"/>
        <w:jc w:val="both"/>
        <w:rPr>
          <w:rFonts w:ascii="Times New Roman" w:hAnsi="Times New Roman" w:cs="Times New Roman"/>
          <w:sz w:val="20"/>
          <w:szCs w:val="20"/>
        </w:rPr>
      </w:pPr>
    </w:p>
    <w:p w:rsidR="0039438E" w:rsidRPr="00983D87" w:rsidRDefault="0039438E" w:rsidP="00C20967">
      <w:pPr>
        <w:pStyle w:val="Heading2"/>
        <w:numPr>
          <w:ilvl w:val="1"/>
          <w:numId w:val="5"/>
        </w:numPr>
        <w:spacing w:before="0" w:line="276" w:lineRule="auto"/>
        <w:ind w:left="0" w:right="-45" w:firstLine="0"/>
        <w:jc w:val="both"/>
        <w:rPr>
          <w:rFonts w:ascii="Cambria" w:hAnsi="Cambria"/>
        </w:rPr>
      </w:pPr>
      <w:bookmarkStart w:id="21" w:name="_Toc491861001"/>
      <w:bookmarkStart w:id="22" w:name="_Toc491954314"/>
      <w:bookmarkStart w:id="23" w:name="_Toc34645071"/>
      <w:r w:rsidRPr="00983D87">
        <w:rPr>
          <w:rFonts w:ascii="Cambria" w:hAnsi="Cambria"/>
        </w:rPr>
        <w:t>Ecuria e ankandeve dhe kërkesa për titujt shtetërorë</w:t>
      </w:r>
      <w:bookmarkEnd w:id="21"/>
      <w:bookmarkEnd w:id="22"/>
      <w:bookmarkEnd w:id="23"/>
    </w:p>
    <w:p w:rsidR="00C20967" w:rsidRPr="00983D87" w:rsidRDefault="00C20967" w:rsidP="00C20967">
      <w:pPr>
        <w:spacing w:after="0" w:line="276" w:lineRule="auto"/>
        <w:rPr>
          <w:sz w:val="20"/>
        </w:rPr>
      </w:pPr>
    </w:p>
    <w:p w:rsidR="0001373B" w:rsidRPr="00217D70" w:rsidRDefault="0001373B" w:rsidP="00C20967">
      <w:pPr>
        <w:tabs>
          <w:tab w:val="left" w:pos="1182"/>
        </w:tabs>
        <w:spacing w:after="0" w:line="276" w:lineRule="auto"/>
        <w:ind w:right="-46"/>
        <w:jc w:val="both"/>
        <w:rPr>
          <w:rFonts w:ascii="Times New Roman" w:hAnsi="Times New Roman" w:cs="Times New Roman"/>
          <w:sz w:val="24"/>
          <w:szCs w:val="24"/>
        </w:rPr>
      </w:pPr>
      <w:r w:rsidRPr="00983D87">
        <w:rPr>
          <w:rFonts w:ascii="Times New Roman" w:hAnsi="Times New Roman" w:cs="Times New Roman"/>
          <w:sz w:val="24"/>
          <w:szCs w:val="24"/>
        </w:rPr>
        <w:t xml:space="preserve">Gjatë </w:t>
      </w:r>
      <w:r w:rsidR="00983D87" w:rsidRPr="00FB2E3B">
        <w:rPr>
          <w:rFonts w:ascii="Times New Roman" w:hAnsi="Times New Roman" w:cs="Times New Roman"/>
          <w:sz w:val="24"/>
          <w:szCs w:val="24"/>
        </w:rPr>
        <w:t>vitit</w:t>
      </w:r>
      <w:r w:rsidR="00B459C4" w:rsidRPr="00983D87">
        <w:rPr>
          <w:rFonts w:ascii="Times New Roman" w:hAnsi="Times New Roman" w:cs="Times New Roman"/>
          <w:sz w:val="24"/>
          <w:szCs w:val="24"/>
        </w:rPr>
        <w:t xml:space="preserve"> 202</w:t>
      </w:r>
      <w:r w:rsidR="001E50CB" w:rsidRPr="00983D87">
        <w:rPr>
          <w:rFonts w:ascii="Times New Roman" w:hAnsi="Times New Roman" w:cs="Times New Roman"/>
          <w:sz w:val="24"/>
          <w:szCs w:val="24"/>
        </w:rPr>
        <w:t>1</w:t>
      </w:r>
      <w:r w:rsidRPr="00983D87">
        <w:rPr>
          <w:rFonts w:ascii="Times New Roman" w:hAnsi="Times New Roman" w:cs="Times New Roman"/>
          <w:sz w:val="24"/>
          <w:szCs w:val="24"/>
        </w:rPr>
        <w:t xml:space="preserve"> kërkesa për tituj shtetërorë ka rezultuar në vlerën </w:t>
      </w:r>
      <w:r w:rsidR="00983D87" w:rsidRPr="00FB2E3B">
        <w:rPr>
          <w:rFonts w:ascii="Times New Roman" w:hAnsi="Times New Roman" w:cs="Times New Roman"/>
          <w:sz w:val="24"/>
          <w:szCs w:val="24"/>
        </w:rPr>
        <w:t>463.2</w:t>
      </w:r>
      <w:r w:rsidRPr="00983D87">
        <w:rPr>
          <w:rFonts w:ascii="Times New Roman" w:hAnsi="Times New Roman" w:cs="Times New Roman"/>
          <w:sz w:val="24"/>
          <w:szCs w:val="24"/>
        </w:rPr>
        <w:t xml:space="preserve"> miliard Lekë, nga të cilat </w:t>
      </w:r>
      <w:r w:rsidR="00983D87" w:rsidRPr="00FB2E3B">
        <w:rPr>
          <w:rFonts w:ascii="Times New Roman" w:hAnsi="Times New Roman" w:cs="Times New Roman"/>
          <w:sz w:val="24"/>
          <w:szCs w:val="24"/>
        </w:rPr>
        <w:t>272.9</w:t>
      </w:r>
      <w:r w:rsidRPr="00983D87">
        <w:rPr>
          <w:rFonts w:ascii="Times New Roman" w:hAnsi="Times New Roman" w:cs="Times New Roman"/>
          <w:sz w:val="24"/>
          <w:szCs w:val="24"/>
        </w:rPr>
        <w:t xml:space="preserve"> miliard Lekë për bono thesari dhe </w:t>
      </w:r>
      <w:r w:rsidR="00983D87" w:rsidRPr="00FB2E3B">
        <w:rPr>
          <w:rFonts w:ascii="Times New Roman" w:hAnsi="Times New Roman" w:cs="Times New Roman"/>
          <w:sz w:val="24"/>
          <w:szCs w:val="24"/>
        </w:rPr>
        <w:t>19</w:t>
      </w:r>
      <w:r w:rsidR="00A3493D">
        <w:rPr>
          <w:rFonts w:ascii="Times New Roman" w:hAnsi="Times New Roman" w:cs="Times New Roman"/>
          <w:sz w:val="24"/>
          <w:szCs w:val="24"/>
        </w:rPr>
        <w:t>0</w:t>
      </w:r>
      <w:r w:rsidR="00983D87" w:rsidRPr="00FB2E3B">
        <w:rPr>
          <w:rFonts w:ascii="Times New Roman" w:hAnsi="Times New Roman" w:cs="Times New Roman"/>
          <w:sz w:val="24"/>
          <w:szCs w:val="24"/>
        </w:rPr>
        <w:t>.3</w:t>
      </w:r>
      <w:r w:rsidRPr="00983D87">
        <w:rPr>
          <w:rFonts w:ascii="Times New Roman" w:hAnsi="Times New Roman" w:cs="Times New Roman"/>
          <w:sz w:val="24"/>
          <w:szCs w:val="24"/>
        </w:rPr>
        <w:t xml:space="preserve"> miliard Lekë për obligacione. Kërkesa gjatë </w:t>
      </w:r>
      <w:r w:rsidR="00217D70" w:rsidRPr="00983D87">
        <w:rPr>
          <w:rFonts w:ascii="Times New Roman" w:hAnsi="Times New Roman" w:cs="Times New Roman"/>
          <w:sz w:val="24"/>
          <w:szCs w:val="24"/>
        </w:rPr>
        <w:t>k</w:t>
      </w:r>
      <w:r w:rsidR="00BC4D5A" w:rsidRPr="00983D87">
        <w:rPr>
          <w:rFonts w:ascii="Times New Roman" w:hAnsi="Times New Roman" w:cs="Times New Roman"/>
          <w:sz w:val="24"/>
          <w:szCs w:val="24"/>
        </w:rPr>
        <w:t>ë</w:t>
      </w:r>
      <w:r w:rsidR="00217D70" w:rsidRPr="00983D87">
        <w:rPr>
          <w:rFonts w:ascii="Times New Roman" w:hAnsi="Times New Roman" w:cs="Times New Roman"/>
          <w:sz w:val="24"/>
          <w:szCs w:val="24"/>
        </w:rPr>
        <w:t>saj periudhe</w:t>
      </w:r>
      <w:r w:rsidRPr="00983D87">
        <w:rPr>
          <w:rFonts w:ascii="Times New Roman" w:hAnsi="Times New Roman" w:cs="Times New Roman"/>
          <w:sz w:val="24"/>
          <w:szCs w:val="24"/>
        </w:rPr>
        <w:t xml:space="preserve"> ka qenë më e lartë se oferta e qeverisë për tituj shtetërorë, </w:t>
      </w:r>
      <w:r w:rsidR="001E50CB" w:rsidRPr="00983D87">
        <w:rPr>
          <w:rFonts w:ascii="Times New Roman" w:hAnsi="Times New Roman" w:cs="Times New Roman"/>
          <w:sz w:val="24"/>
          <w:szCs w:val="24"/>
        </w:rPr>
        <w:t xml:space="preserve">ku </w:t>
      </w:r>
      <w:r w:rsidR="00983D87" w:rsidRPr="00FB2E3B">
        <w:rPr>
          <w:rFonts w:ascii="Times New Roman" w:hAnsi="Times New Roman" w:cs="Times New Roman"/>
          <w:sz w:val="24"/>
          <w:szCs w:val="24"/>
        </w:rPr>
        <w:t>raporti i mbulimit mesatarisht p</w:t>
      </w:r>
      <w:r w:rsidR="00FD335A">
        <w:rPr>
          <w:rFonts w:ascii="Times New Roman" w:hAnsi="Times New Roman" w:cs="Times New Roman"/>
          <w:sz w:val="24"/>
          <w:szCs w:val="24"/>
        </w:rPr>
        <w:t>ë</w:t>
      </w:r>
      <w:r w:rsidR="00983D87" w:rsidRPr="00FB2E3B">
        <w:rPr>
          <w:rFonts w:ascii="Times New Roman" w:hAnsi="Times New Roman" w:cs="Times New Roman"/>
          <w:sz w:val="24"/>
          <w:szCs w:val="24"/>
        </w:rPr>
        <w:t>r vitin 2021 ka rezultuar n</w:t>
      </w:r>
      <w:r w:rsidR="00FD335A">
        <w:rPr>
          <w:rFonts w:ascii="Times New Roman" w:hAnsi="Times New Roman" w:cs="Times New Roman"/>
          <w:sz w:val="24"/>
          <w:szCs w:val="24"/>
        </w:rPr>
        <w:t>ë</w:t>
      </w:r>
      <w:r w:rsidR="00983D87" w:rsidRPr="00FB2E3B">
        <w:rPr>
          <w:rFonts w:ascii="Times New Roman" w:hAnsi="Times New Roman" w:cs="Times New Roman"/>
          <w:sz w:val="24"/>
          <w:szCs w:val="24"/>
        </w:rPr>
        <w:t xml:space="preserve"> shifr</w:t>
      </w:r>
      <w:r w:rsidR="00FD335A">
        <w:rPr>
          <w:rFonts w:ascii="Times New Roman" w:hAnsi="Times New Roman" w:cs="Times New Roman"/>
          <w:sz w:val="24"/>
          <w:szCs w:val="24"/>
        </w:rPr>
        <w:t>ë</w:t>
      </w:r>
      <w:r w:rsidR="00983D87" w:rsidRPr="00FB2E3B">
        <w:rPr>
          <w:rFonts w:ascii="Times New Roman" w:hAnsi="Times New Roman" w:cs="Times New Roman"/>
          <w:sz w:val="24"/>
          <w:szCs w:val="24"/>
        </w:rPr>
        <w:t>n 1.35</w:t>
      </w:r>
      <w:r w:rsidR="00B5234C" w:rsidRPr="00983D87">
        <w:rPr>
          <w:rFonts w:ascii="Times New Roman" w:hAnsi="Times New Roman" w:cs="Times New Roman"/>
          <w:sz w:val="24"/>
          <w:szCs w:val="24"/>
        </w:rPr>
        <w:t>.</w:t>
      </w:r>
    </w:p>
    <w:p w:rsidR="00427DA9" w:rsidRPr="00FB2E3B" w:rsidRDefault="00427DA9" w:rsidP="00F3674C">
      <w:pPr>
        <w:tabs>
          <w:tab w:val="left" w:pos="1182"/>
        </w:tabs>
        <w:spacing w:after="0" w:line="276" w:lineRule="auto"/>
        <w:ind w:right="-46"/>
        <w:rPr>
          <w:rFonts w:ascii="Cambria" w:hAnsi="Cambria" w:cs="Times New Roman"/>
          <w:b/>
          <w:sz w:val="12"/>
          <w:szCs w:val="12"/>
          <w:highlight w:val="yellow"/>
        </w:rPr>
      </w:pPr>
    </w:p>
    <w:p w:rsidR="00DA1DA3" w:rsidRPr="00217D70" w:rsidRDefault="006C78A7" w:rsidP="00FC2F2F">
      <w:pPr>
        <w:tabs>
          <w:tab w:val="left" w:pos="1182"/>
        </w:tabs>
        <w:spacing w:after="0" w:line="276" w:lineRule="auto"/>
        <w:ind w:right="-46"/>
        <w:jc w:val="center"/>
        <w:rPr>
          <w:rFonts w:ascii="Cambria" w:hAnsi="Cambria" w:cs="Times New Roman"/>
          <w:i/>
          <w:sz w:val="20"/>
          <w:szCs w:val="20"/>
        </w:rPr>
      </w:pPr>
      <w:r w:rsidRPr="00217D70">
        <w:rPr>
          <w:rFonts w:ascii="Cambria" w:hAnsi="Cambria" w:cs="Times New Roman"/>
          <w:b/>
          <w:sz w:val="20"/>
          <w:szCs w:val="20"/>
        </w:rPr>
        <w:t xml:space="preserve">Paraqitje Grafike </w:t>
      </w:r>
      <w:r w:rsidR="00113EA3" w:rsidRPr="00217D70">
        <w:rPr>
          <w:rFonts w:ascii="Cambria" w:hAnsi="Cambria" w:cs="Times New Roman"/>
          <w:b/>
          <w:sz w:val="20"/>
          <w:szCs w:val="20"/>
        </w:rPr>
        <w:t xml:space="preserve">6.1 </w:t>
      </w:r>
      <w:r w:rsidR="00772B83" w:rsidRPr="00217D70">
        <w:rPr>
          <w:rFonts w:ascii="Cambria" w:hAnsi="Cambria" w:cs="Times New Roman"/>
          <w:b/>
          <w:sz w:val="20"/>
          <w:szCs w:val="20"/>
        </w:rPr>
        <w:t xml:space="preserve">: </w:t>
      </w:r>
      <w:r w:rsidR="00DA1DA3" w:rsidRPr="00217D70">
        <w:rPr>
          <w:rFonts w:ascii="Cambria" w:hAnsi="Cambria" w:cs="Times New Roman"/>
          <w:i/>
          <w:sz w:val="20"/>
          <w:szCs w:val="20"/>
        </w:rPr>
        <w:t>Raporti i mbulimit të ankandeve të titujve shtetërorë</w:t>
      </w:r>
      <w:r w:rsidR="00772B83" w:rsidRPr="00217D70">
        <w:rPr>
          <w:rFonts w:ascii="Cambria" w:hAnsi="Cambria" w:cs="Times New Roman"/>
          <w:i/>
          <w:sz w:val="20"/>
          <w:szCs w:val="20"/>
        </w:rPr>
        <w:t xml:space="preserve"> (</w:t>
      </w:r>
      <w:r w:rsidR="00B459C4" w:rsidRPr="00217D70">
        <w:rPr>
          <w:rFonts w:ascii="Cambria" w:hAnsi="Cambria" w:cs="Times New Roman"/>
          <w:i/>
          <w:sz w:val="20"/>
          <w:szCs w:val="20"/>
        </w:rPr>
        <w:t>Janar-</w:t>
      </w:r>
      <w:r w:rsidR="00217D70" w:rsidRPr="00217D70">
        <w:rPr>
          <w:rFonts w:ascii="Cambria" w:hAnsi="Cambria" w:cs="Times New Roman"/>
          <w:i/>
          <w:sz w:val="20"/>
          <w:szCs w:val="20"/>
        </w:rPr>
        <w:t>Shtator</w:t>
      </w:r>
      <w:r w:rsidR="00B459C4" w:rsidRPr="00217D70">
        <w:rPr>
          <w:rFonts w:ascii="Cambria" w:hAnsi="Cambria" w:cs="Times New Roman"/>
          <w:i/>
          <w:sz w:val="20"/>
          <w:szCs w:val="20"/>
        </w:rPr>
        <w:t xml:space="preserve"> 20</w:t>
      </w:r>
      <w:r w:rsidR="00B1170F" w:rsidRPr="00217D70">
        <w:rPr>
          <w:rFonts w:ascii="Cambria" w:hAnsi="Cambria" w:cs="Times New Roman"/>
          <w:i/>
          <w:sz w:val="20"/>
          <w:szCs w:val="20"/>
        </w:rPr>
        <w:t>2</w:t>
      </w:r>
      <w:r w:rsidR="001E50CB" w:rsidRPr="00217D70">
        <w:rPr>
          <w:rFonts w:ascii="Cambria" w:hAnsi="Cambria" w:cs="Times New Roman"/>
          <w:i/>
          <w:sz w:val="20"/>
          <w:szCs w:val="20"/>
        </w:rPr>
        <w:t>1</w:t>
      </w:r>
      <w:r w:rsidR="00772B83" w:rsidRPr="00217D70">
        <w:rPr>
          <w:rFonts w:ascii="Cambria" w:hAnsi="Cambria" w:cs="Times New Roman"/>
          <w:i/>
          <w:sz w:val="20"/>
          <w:szCs w:val="20"/>
        </w:rPr>
        <w:t>)</w:t>
      </w:r>
    </w:p>
    <w:p w:rsidR="006D4DED" w:rsidRPr="00B8790D" w:rsidRDefault="00983D87" w:rsidP="00FC2F2F">
      <w:pPr>
        <w:tabs>
          <w:tab w:val="left" w:pos="1182"/>
        </w:tabs>
        <w:spacing w:after="0" w:line="276" w:lineRule="auto"/>
        <w:ind w:right="-46"/>
        <w:jc w:val="center"/>
        <w:rPr>
          <w:rFonts w:ascii="Cambria" w:hAnsi="Cambria" w:cs="Times New Roman"/>
          <w:i/>
          <w:sz w:val="20"/>
          <w:szCs w:val="20"/>
        </w:rPr>
      </w:pPr>
      <w:r w:rsidRPr="00FB2E3B">
        <w:rPr>
          <w:rFonts w:ascii="Cambria" w:hAnsi="Cambria" w:cs="Times New Roman"/>
          <w:i/>
          <w:noProof/>
          <w:sz w:val="20"/>
          <w:szCs w:val="20"/>
          <w:lang w:val="en-US"/>
        </w:rPr>
        <w:drawing>
          <wp:inline distT="0" distB="0" distL="0" distR="0" wp14:anchorId="5C82D09D" wp14:editId="2189F213">
            <wp:extent cx="5731510" cy="1836115"/>
            <wp:effectExtent l="0" t="0" r="2540" b="12065"/>
            <wp:docPr id="33" name="Chart 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A5FF7" w:rsidRPr="00022EE4" w:rsidRDefault="009D6626" w:rsidP="00591F30">
      <w:pPr>
        <w:tabs>
          <w:tab w:val="left" w:pos="1182"/>
        </w:tabs>
        <w:spacing w:after="0" w:line="276" w:lineRule="auto"/>
        <w:ind w:right="-46"/>
        <w:jc w:val="center"/>
        <w:rPr>
          <w:rFonts w:ascii="Cambria" w:hAnsi="Cambria" w:cs="Times New Roman"/>
          <w:i/>
          <w:sz w:val="20"/>
          <w:szCs w:val="20"/>
        </w:rPr>
      </w:pPr>
      <w:r w:rsidRPr="00B8790D">
        <w:rPr>
          <w:rFonts w:ascii="Cambria" w:hAnsi="Cambria" w:cs="Times New Roman"/>
          <w:b/>
          <w:sz w:val="20"/>
          <w:szCs w:val="20"/>
        </w:rPr>
        <w:t xml:space="preserve">Burimi: </w:t>
      </w:r>
      <w:r w:rsidRPr="00B8790D">
        <w:rPr>
          <w:rFonts w:ascii="Cambria" w:hAnsi="Cambria" w:cs="Times New Roman"/>
          <w:i/>
          <w:sz w:val="20"/>
          <w:szCs w:val="20"/>
        </w:rPr>
        <w:t xml:space="preserve">Ministria </w:t>
      </w:r>
      <w:r w:rsidR="004A5FF7" w:rsidRPr="00B8790D">
        <w:rPr>
          <w:rFonts w:ascii="Cambria" w:hAnsi="Cambria" w:cs="Times New Roman"/>
          <w:i/>
          <w:sz w:val="20"/>
          <w:szCs w:val="20"/>
        </w:rPr>
        <w:t>e Financave dhe Ekonomisë (20</w:t>
      </w:r>
      <w:r w:rsidR="00591F30" w:rsidRPr="00B8790D">
        <w:rPr>
          <w:rFonts w:ascii="Cambria" w:hAnsi="Cambria" w:cs="Times New Roman"/>
          <w:i/>
          <w:sz w:val="20"/>
          <w:szCs w:val="20"/>
        </w:rPr>
        <w:t>2</w:t>
      </w:r>
      <w:r w:rsidR="000467B8">
        <w:rPr>
          <w:rFonts w:ascii="Cambria" w:hAnsi="Cambria" w:cs="Times New Roman"/>
          <w:i/>
          <w:sz w:val="20"/>
          <w:szCs w:val="20"/>
        </w:rPr>
        <w:t>2</w:t>
      </w:r>
      <w:r w:rsidR="00C064AA" w:rsidRPr="00B8790D">
        <w:rPr>
          <w:rFonts w:ascii="Cambria" w:hAnsi="Cambria" w:cs="Times New Roman"/>
          <w:i/>
          <w:sz w:val="20"/>
          <w:szCs w:val="20"/>
        </w:rPr>
        <w:t>)</w:t>
      </w:r>
    </w:p>
    <w:p w:rsidR="00B459C4" w:rsidRPr="00FB2E3B" w:rsidRDefault="00B459C4" w:rsidP="00E93B2E">
      <w:pPr>
        <w:spacing w:after="0" w:line="276" w:lineRule="auto"/>
        <w:ind w:right="-46"/>
        <w:jc w:val="both"/>
        <w:rPr>
          <w:rFonts w:ascii="Times New Roman" w:hAnsi="Times New Roman" w:cs="Times New Roman"/>
          <w:noProof/>
          <w:sz w:val="12"/>
          <w:szCs w:val="12"/>
        </w:rPr>
      </w:pPr>
    </w:p>
    <w:p w:rsidR="00B5234C" w:rsidRPr="006F1BA4" w:rsidRDefault="005772D5" w:rsidP="00AA474F">
      <w:pPr>
        <w:spacing w:after="0" w:line="276" w:lineRule="auto"/>
        <w:ind w:right="-46"/>
        <w:jc w:val="both"/>
        <w:rPr>
          <w:rFonts w:ascii="Times New Roman" w:hAnsi="Times New Roman" w:cs="Times New Roman"/>
          <w:sz w:val="24"/>
          <w:szCs w:val="24"/>
        </w:rPr>
      </w:pPr>
      <w:r w:rsidRPr="006F1BA4">
        <w:rPr>
          <w:rFonts w:ascii="Times New Roman" w:hAnsi="Times New Roman" w:cs="Times New Roman"/>
          <w:noProof/>
          <w:sz w:val="24"/>
          <w:szCs w:val="24"/>
        </w:rPr>
        <w:t xml:space="preserve">Nga pikëpamja e investitorëve, </w:t>
      </w:r>
      <w:r w:rsidR="00AA474F" w:rsidRPr="006F1BA4">
        <w:rPr>
          <w:rFonts w:ascii="Times New Roman" w:hAnsi="Times New Roman" w:cs="Times New Roman"/>
          <w:sz w:val="24"/>
          <w:szCs w:val="24"/>
        </w:rPr>
        <w:t>b</w:t>
      </w:r>
      <w:r w:rsidR="00D900F2" w:rsidRPr="006F1BA4">
        <w:rPr>
          <w:rFonts w:ascii="Times New Roman" w:hAnsi="Times New Roman" w:cs="Times New Roman"/>
          <w:sz w:val="24"/>
          <w:szCs w:val="24"/>
        </w:rPr>
        <w:t>aza e investitor</w:t>
      </w:r>
      <w:r w:rsidR="00513848" w:rsidRPr="006F1BA4">
        <w:rPr>
          <w:rFonts w:ascii="Times New Roman" w:hAnsi="Times New Roman" w:cs="Times New Roman"/>
          <w:sz w:val="24"/>
          <w:szCs w:val="24"/>
        </w:rPr>
        <w:t>ë</w:t>
      </w:r>
      <w:r w:rsidR="00AA474F" w:rsidRPr="006F1BA4">
        <w:rPr>
          <w:rFonts w:ascii="Times New Roman" w:hAnsi="Times New Roman" w:cs="Times New Roman"/>
          <w:sz w:val="24"/>
          <w:szCs w:val="24"/>
        </w:rPr>
        <w:t>ve, vijon të jetë e</w:t>
      </w:r>
      <w:r w:rsidR="00EB4D77" w:rsidRPr="006F1BA4">
        <w:rPr>
          <w:rFonts w:ascii="Times New Roman" w:hAnsi="Times New Roman" w:cs="Times New Roman"/>
          <w:sz w:val="24"/>
          <w:szCs w:val="24"/>
        </w:rPr>
        <w:t xml:space="preserve"> përqë</w:t>
      </w:r>
      <w:r w:rsidR="00D900F2" w:rsidRPr="006F1BA4">
        <w:rPr>
          <w:rFonts w:ascii="Times New Roman" w:hAnsi="Times New Roman" w:cs="Times New Roman"/>
          <w:sz w:val="24"/>
          <w:szCs w:val="24"/>
        </w:rPr>
        <w:t>ndruar në mbi 60% tek sektori bankar duke e b</w:t>
      </w:r>
      <w:r w:rsidR="00513848" w:rsidRPr="006F1BA4">
        <w:rPr>
          <w:rFonts w:ascii="Times New Roman" w:hAnsi="Times New Roman" w:cs="Times New Roman"/>
          <w:sz w:val="24"/>
          <w:szCs w:val="24"/>
        </w:rPr>
        <w:t>ë</w:t>
      </w:r>
      <w:r w:rsidR="00D900F2" w:rsidRPr="006F1BA4">
        <w:rPr>
          <w:rFonts w:ascii="Times New Roman" w:hAnsi="Times New Roman" w:cs="Times New Roman"/>
          <w:sz w:val="24"/>
          <w:szCs w:val="24"/>
        </w:rPr>
        <w:t>r</w:t>
      </w:r>
      <w:r w:rsidR="00513848" w:rsidRPr="006F1BA4">
        <w:rPr>
          <w:rFonts w:ascii="Times New Roman" w:hAnsi="Times New Roman" w:cs="Times New Roman"/>
          <w:sz w:val="24"/>
          <w:szCs w:val="24"/>
        </w:rPr>
        <w:t>ë</w:t>
      </w:r>
      <w:r w:rsidR="00D900F2" w:rsidRPr="006F1BA4">
        <w:rPr>
          <w:rFonts w:ascii="Times New Roman" w:hAnsi="Times New Roman" w:cs="Times New Roman"/>
          <w:sz w:val="24"/>
          <w:szCs w:val="24"/>
        </w:rPr>
        <w:t xml:space="preserve"> portofolin e borxhit t</w:t>
      </w:r>
      <w:r w:rsidR="00513848" w:rsidRPr="006F1BA4">
        <w:rPr>
          <w:rFonts w:ascii="Times New Roman" w:hAnsi="Times New Roman" w:cs="Times New Roman"/>
          <w:sz w:val="24"/>
          <w:szCs w:val="24"/>
        </w:rPr>
        <w:t>ë</w:t>
      </w:r>
      <w:r w:rsidR="00D900F2" w:rsidRPr="006F1BA4">
        <w:rPr>
          <w:rFonts w:ascii="Times New Roman" w:hAnsi="Times New Roman" w:cs="Times New Roman"/>
          <w:sz w:val="24"/>
          <w:szCs w:val="24"/>
        </w:rPr>
        <w:t xml:space="preserve"> brendsh</w:t>
      </w:r>
      <w:r w:rsidR="00513848" w:rsidRPr="006F1BA4">
        <w:rPr>
          <w:rFonts w:ascii="Times New Roman" w:hAnsi="Times New Roman" w:cs="Times New Roman"/>
          <w:sz w:val="24"/>
          <w:szCs w:val="24"/>
        </w:rPr>
        <w:t>ë</w:t>
      </w:r>
      <w:r w:rsidR="00D900F2" w:rsidRPr="006F1BA4">
        <w:rPr>
          <w:rFonts w:ascii="Times New Roman" w:hAnsi="Times New Roman" w:cs="Times New Roman"/>
          <w:sz w:val="24"/>
          <w:szCs w:val="24"/>
        </w:rPr>
        <w:t>m t</w:t>
      </w:r>
      <w:r w:rsidR="00513848" w:rsidRPr="006F1BA4">
        <w:rPr>
          <w:rFonts w:ascii="Times New Roman" w:hAnsi="Times New Roman" w:cs="Times New Roman"/>
          <w:sz w:val="24"/>
          <w:szCs w:val="24"/>
        </w:rPr>
        <w:t>ë</w:t>
      </w:r>
      <w:r w:rsidR="00D900F2" w:rsidRPr="006F1BA4">
        <w:rPr>
          <w:rFonts w:ascii="Times New Roman" w:hAnsi="Times New Roman" w:cs="Times New Roman"/>
          <w:sz w:val="24"/>
          <w:szCs w:val="24"/>
        </w:rPr>
        <w:t xml:space="preserve"> ndjesh</w:t>
      </w:r>
      <w:r w:rsidR="00513848" w:rsidRPr="006F1BA4">
        <w:rPr>
          <w:rFonts w:ascii="Times New Roman" w:hAnsi="Times New Roman" w:cs="Times New Roman"/>
          <w:sz w:val="24"/>
          <w:szCs w:val="24"/>
        </w:rPr>
        <w:t>ë</w:t>
      </w:r>
      <w:r w:rsidR="00D900F2" w:rsidRPr="006F1BA4">
        <w:rPr>
          <w:rFonts w:ascii="Times New Roman" w:hAnsi="Times New Roman" w:cs="Times New Roman"/>
          <w:sz w:val="24"/>
          <w:szCs w:val="24"/>
        </w:rPr>
        <w:t>m ndaj risqeve sistemike q</w:t>
      </w:r>
      <w:r w:rsidR="00513848" w:rsidRPr="006F1BA4">
        <w:rPr>
          <w:rFonts w:ascii="Times New Roman" w:hAnsi="Times New Roman" w:cs="Times New Roman"/>
          <w:sz w:val="24"/>
          <w:szCs w:val="24"/>
        </w:rPr>
        <w:t>ë</w:t>
      </w:r>
      <w:r w:rsidR="00D900F2" w:rsidRPr="006F1BA4">
        <w:rPr>
          <w:rFonts w:ascii="Times New Roman" w:hAnsi="Times New Roman" w:cs="Times New Roman"/>
          <w:sz w:val="24"/>
          <w:szCs w:val="24"/>
        </w:rPr>
        <w:t xml:space="preserve"> mund t</w:t>
      </w:r>
      <w:r w:rsidR="00513848" w:rsidRPr="006F1BA4">
        <w:rPr>
          <w:rFonts w:ascii="Times New Roman" w:hAnsi="Times New Roman" w:cs="Times New Roman"/>
          <w:sz w:val="24"/>
          <w:szCs w:val="24"/>
        </w:rPr>
        <w:t>ë</w:t>
      </w:r>
      <w:r w:rsidR="00D900F2" w:rsidRPr="006F1BA4">
        <w:rPr>
          <w:rFonts w:ascii="Times New Roman" w:hAnsi="Times New Roman" w:cs="Times New Roman"/>
          <w:sz w:val="24"/>
          <w:szCs w:val="24"/>
        </w:rPr>
        <w:t xml:space="preserve"> paraqes</w:t>
      </w:r>
      <w:r w:rsidR="00513848" w:rsidRPr="006F1BA4">
        <w:rPr>
          <w:rFonts w:ascii="Times New Roman" w:hAnsi="Times New Roman" w:cs="Times New Roman"/>
          <w:sz w:val="24"/>
          <w:szCs w:val="24"/>
        </w:rPr>
        <w:t>ë</w:t>
      </w:r>
      <w:r w:rsidR="00D900F2" w:rsidRPr="006F1BA4">
        <w:rPr>
          <w:rFonts w:ascii="Times New Roman" w:hAnsi="Times New Roman" w:cs="Times New Roman"/>
          <w:sz w:val="24"/>
          <w:szCs w:val="24"/>
        </w:rPr>
        <w:t xml:space="preserve"> ky sektor</w:t>
      </w:r>
      <w:r w:rsidR="00AA474F" w:rsidRPr="006F1BA4">
        <w:rPr>
          <w:rFonts w:ascii="Times New Roman" w:hAnsi="Times New Roman" w:cs="Times New Roman"/>
          <w:sz w:val="24"/>
          <w:szCs w:val="24"/>
        </w:rPr>
        <w:t xml:space="preserve">. </w:t>
      </w:r>
    </w:p>
    <w:p w:rsidR="00904748" w:rsidRPr="00FB2E3B" w:rsidRDefault="00904748" w:rsidP="00AA474F">
      <w:pPr>
        <w:spacing w:after="0" w:line="276" w:lineRule="auto"/>
        <w:ind w:right="-46"/>
        <w:jc w:val="both"/>
        <w:rPr>
          <w:rFonts w:ascii="Times New Roman" w:hAnsi="Times New Roman" w:cs="Times New Roman"/>
          <w:sz w:val="24"/>
          <w:szCs w:val="24"/>
        </w:rPr>
      </w:pPr>
    </w:p>
    <w:p w:rsidR="001B48C0" w:rsidRPr="00022EE4" w:rsidRDefault="00AA474F" w:rsidP="00126DF8">
      <w:pPr>
        <w:spacing w:after="0" w:line="276" w:lineRule="auto"/>
        <w:ind w:right="-46"/>
        <w:jc w:val="both"/>
        <w:rPr>
          <w:rFonts w:ascii="Times New Roman" w:hAnsi="Times New Roman" w:cs="Times New Roman"/>
          <w:noProof/>
          <w:sz w:val="24"/>
          <w:szCs w:val="20"/>
        </w:rPr>
      </w:pPr>
      <w:r w:rsidRPr="006F1BA4">
        <w:rPr>
          <w:rFonts w:ascii="Times New Roman" w:hAnsi="Times New Roman" w:cs="Times New Roman"/>
          <w:sz w:val="24"/>
          <w:szCs w:val="24"/>
        </w:rPr>
        <w:t>Struktura e t</w:t>
      </w:r>
      <w:r w:rsidR="00084A95" w:rsidRPr="006F1BA4">
        <w:rPr>
          <w:rFonts w:ascii="Times New Roman" w:hAnsi="Times New Roman" w:cs="Times New Roman"/>
          <w:sz w:val="24"/>
          <w:szCs w:val="24"/>
        </w:rPr>
        <w:t>regut primar të titujve</w:t>
      </w:r>
      <w:r w:rsidRPr="006F1BA4">
        <w:rPr>
          <w:rFonts w:ascii="Times New Roman" w:hAnsi="Times New Roman" w:cs="Times New Roman"/>
          <w:sz w:val="24"/>
          <w:szCs w:val="24"/>
        </w:rPr>
        <w:t xml:space="preserve"> </w:t>
      </w:r>
      <w:r w:rsidR="00B5234C" w:rsidRPr="006F1BA4">
        <w:rPr>
          <w:rFonts w:ascii="Times New Roman" w:hAnsi="Times New Roman" w:cs="Times New Roman"/>
          <w:sz w:val="24"/>
          <w:szCs w:val="24"/>
        </w:rPr>
        <w:t>ka vijuar t</w:t>
      </w:r>
      <w:r w:rsidR="00E502E6" w:rsidRPr="006F1BA4">
        <w:rPr>
          <w:rFonts w:ascii="Times New Roman" w:hAnsi="Times New Roman" w:cs="Times New Roman"/>
          <w:sz w:val="24"/>
          <w:szCs w:val="24"/>
        </w:rPr>
        <w:t>ë</w:t>
      </w:r>
      <w:r w:rsidRPr="006F1BA4">
        <w:rPr>
          <w:rFonts w:ascii="Times New Roman" w:hAnsi="Times New Roman" w:cs="Times New Roman"/>
          <w:sz w:val="24"/>
          <w:szCs w:val="24"/>
        </w:rPr>
        <w:t xml:space="preserve"> konsolidohet </w:t>
      </w:r>
      <w:r w:rsidR="00B5234C" w:rsidRPr="006F1BA4">
        <w:rPr>
          <w:rFonts w:ascii="Times New Roman" w:hAnsi="Times New Roman" w:cs="Times New Roman"/>
          <w:sz w:val="24"/>
          <w:szCs w:val="24"/>
        </w:rPr>
        <w:t>n</w:t>
      </w:r>
      <w:r w:rsidR="00E502E6" w:rsidRPr="006F1BA4">
        <w:rPr>
          <w:rFonts w:ascii="Times New Roman" w:hAnsi="Times New Roman" w:cs="Times New Roman"/>
          <w:sz w:val="24"/>
          <w:szCs w:val="24"/>
        </w:rPr>
        <w:t>ë</w:t>
      </w:r>
      <w:r w:rsidR="00B5234C" w:rsidRPr="006F1BA4">
        <w:rPr>
          <w:rFonts w:ascii="Times New Roman" w:hAnsi="Times New Roman" w:cs="Times New Roman"/>
          <w:sz w:val="24"/>
          <w:szCs w:val="24"/>
        </w:rPr>
        <w:t>p</w:t>
      </w:r>
      <w:r w:rsidR="00E502E6" w:rsidRPr="006F1BA4">
        <w:rPr>
          <w:rFonts w:ascii="Times New Roman" w:hAnsi="Times New Roman" w:cs="Times New Roman"/>
          <w:sz w:val="24"/>
          <w:szCs w:val="24"/>
        </w:rPr>
        <w:t>ë</w:t>
      </w:r>
      <w:r w:rsidR="00B5234C" w:rsidRPr="006F1BA4">
        <w:rPr>
          <w:rFonts w:ascii="Times New Roman" w:hAnsi="Times New Roman" w:cs="Times New Roman"/>
          <w:sz w:val="24"/>
          <w:szCs w:val="24"/>
        </w:rPr>
        <w:t>rmjet</w:t>
      </w:r>
      <w:r w:rsidRPr="006F1BA4">
        <w:rPr>
          <w:rFonts w:ascii="Times New Roman" w:hAnsi="Times New Roman" w:cs="Times New Roman"/>
          <w:sz w:val="24"/>
          <w:szCs w:val="24"/>
        </w:rPr>
        <w:t xml:space="preserve"> strategji</w:t>
      </w:r>
      <w:r w:rsidR="00B5234C" w:rsidRPr="006F1BA4">
        <w:rPr>
          <w:rFonts w:ascii="Times New Roman" w:hAnsi="Times New Roman" w:cs="Times New Roman"/>
          <w:sz w:val="24"/>
          <w:szCs w:val="24"/>
        </w:rPr>
        <w:t>s</w:t>
      </w:r>
      <w:r w:rsidR="00E502E6" w:rsidRPr="006F1BA4">
        <w:rPr>
          <w:rFonts w:ascii="Times New Roman" w:hAnsi="Times New Roman" w:cs="Times New Roman"/>
          <w:sz w:val="24"/>
          <w:szCs w:val="24"/>
        </w:rPr>
        <w:t>ë</w:t>
      </w:r>
      <w:r w:rsidRPr="006F1BA4">
        <w:rPr>
          <w:rFonts w:ascii="Times New Roman" w:hAnsi="Times New Roman" w:cs="Times New Roman"/>
          <w:sz w:val="24"/>
          <w:szCs w:val="24"/>
        </w:rPr>
        <w:t xml:space="preserve"> </w:t>
      </w:r>
      <w:r w:rsidR="00B5234C" w:rsidRPr="006F1BA4">
        <w:rPr>
          <w:rFonts w:ascii="Times New Roman" w:hAnsi="Times New Roman" w:cs="Times New Roman"/>
          <w:sz w:val="24"/>
          <w:szCs w:val="24"/>
        </w:rPr>
        <w:t xml:space="preserve">e cila synon emetimin e </w:t>
      </w:r>
      <w:r w:rsidRPr="006F1BA4">
        <w:rPr>
          <w:rFonts w:ascii="Times New Roman" w:hAnsi="Times New Roman" w:cs="Times New Roman"/>
          <w:sz w:val="24"/>
          <w:szCs w:val="24"/>
        </w:rPr>
        <w:t>tituj</w:t>
      </w:r>
      <w:r w:rsidR="00B5234C" w:rsidRPr="006F1BA4">
        <w:rPr>
          <w:rFonts w:ascii="Times New Roman" w:hAnsi="Times New Roman" w:cs="Times New Roman"/>
          <w:sz w:val="24"/>
          <w:szCs w:val="24"/>
        </w:rPr>
        <w:t>ve</w:t>
      </w:r>
      <w:r w:rsidRPr="006F1BA4">
        <w:rPr>
          <w:rFonts w:ascii="Times New Roman" w:hAnsi="Times New Roman" w:cs="Times New Roman"/>
          <w:sz w:val="24"/>
          <w:szCs w:val="24"/>
        </w:rPr>
        <w:t xml:space="preserve"> referencë, si shtysë për zhvillimin e tregut sekondar në të ardhmen</w:t>
      </w:r>
      <w:r w:rsidR="00084A95" w:rsidRPr="006F1BA4">
        <w:rPr>
          <w:rFonts w:ascii="Times New Roman" w:hAnsi="Times New Roman" w:cs="Times New Roman"/>
          <w:sz w:val="24"/>
          <w:szCs w:val="24"/>
        </w:rPr>
        <w:t>.</w:t>
      </w:r>
      <w:r w:rsidR="00904748" w:rsidRPr="006F1BA4">
        <w:rPr>
          <w:rFonts w:ascii="Times New Roman" w:hAnsi="Times New Roman" w:cs="Times New Roman"/>
          <w:sz w:val="24"/>
          <w:szCs w:val="24"/>
        </w:rPr>
        <w:t xml:space="preserve"> </w:t>
      </w:r>
      <w:bookmarkStart w:id="24" w:name="_Toc491861002"/>
      <w:bookmarkStart w:id="25" w:name="_Toc491954315"/>
      <w:r w:rsidR="00B5234C" w:rsidRPr="006F1BA4">
        <w:rPr>
          <w:rFonts w:ascii="Times New Roman" w:hAnsi="Times New Roman" w:cs="Times New Roman"/>
          <w:noProof/>
          <w:sz w:val="24"/>
          <w:szCs w:val="20"/>
        </w:rPr>
        <w:t>N</w:t>
      </w:r>
      <w:r w:rsidR="00E502E6" w:rsidRPr="006F1BA4">
        <w:rPr>
          <w:rFonts w:ascii="Times New Roman" w:hAnsi="Times New Roman" w:cs="Times New Roman"/>
          <w:noProof/>
          <w:sz w:val="24"/>
          <w:szCs w:val="20"/>
        </w:rPr>
        <w:t>ë</w:t>
      </w:r>
      <w:r w:rsidR="00B5234C" w:rsidRPr="006F1BA4">
        <w:rPr>
          <w:rFonts w:ascii="Times New Roman" w:hAnsi="Times New Roman" w:cs="Times New Roman"/>
          <w:noProof/>
          <w:sz w:val="24"/>
          <w:szCs w:val="20"/>
        </w:rPr>
        <w:t xml:space="preserve"> k</w:t>
      </w:r>
      <w:r w:rsidR="00E502E6" w:rsidRPr="006F1BA4">
        <w:rPr>
          <w:rFonts w:ascii="Times New Roman" w:hAnsi="Times New Roman" w:cs="Times New Roman"/>
          <w:noProof/>
          <w:sz w:val="24"/>
          <w:szCs w:val="20"/>
        </w:rPr>
        <w:t>ë</w:t>
      </w:r>
      <w:r w:rsidR="00B5234C" w:rsidRPr="006F1BA4">
        <w:rPr>
          <w:rFonts w:ascii="Times New Roman" w:hAnsi="Times New Roman" w:cs="Times New Roman"/>
          <w:noProof/>
          <w:sz w:val="24"/>
          <w:szCs w:val="20"/>
        </w:rPr>
        <w:t>t</w:t>
      </w:r>
      <w:r w:rsidR="00E502E6" w:rsidRPr="006F1BA4">
        <w:rPr>
          <w:rFonts w:ascii="Times New Roman" w:hAnsi="Times New Roman" w:cs="Times New Roman"/>
          <w:noProof/>
          <w:sz w:val="24"/>
          <w:szCs w:val="20"/>
        </w:rPr>
        <w:t>ë</w:t>
      </w:r>
      <w:r w:rsidR="00B5234C" w:rsidRPr="006F1BA4">
        <w:rPr>
          <w:rFonts w:ascii="Times New Roman" w:hAnsi="Times New Roman" w:cs="Times New Roman"/>
          <w:noProof/>
          <w:sz w:val="24"/>
          <w:szCs w:val="20"/>
        </w:rPr>
        <w:t xml:space="preserve"> drejtim, gjat</w:t>
      </w:r>
      <w:r w:rsidR="00E502E6" w:rsidRPr="006F1BA4">
        <w:rPr>
          <w:rFonts w:ascii="Times New Roman" w:hAnsi="Times New Roman" w:cs="Times New Roman"/>
          <w:noProof/>
          <w:sz w:val="24"/>
          <w:szCs w:val="20"/>
        </w:rPr>
        <w:t>ë</w:t>
      </w:r>
      <w:r w:rsidR="00B5234C" w:rsidRPr="006F1BA4">
        <w:rPr>
          <w:rFonts w:ascii="Times New Roman" w:hAnsi="Times New Roman" w:cs="Times New Roman"/>
          <w:noProof/>
          <w:sz w:val="24"/>
          <w:szCs w:val="20"/>
        </w:rPr>
        <w:t xml:space="preserve"> </w:t>
      </w:r>
      <w:r w:rsidR="006F1BA4" w:rsidRPr="00FB2E3B">
        <w:rPr>
          <w:rFonts w:ascii="Times New Roman" w:hAnsi="Times New Roman" w:cs="Times New Roman"/>
          <w:noProof/>
          <w:sz w:val="24"/>
          <w:szCs w:val="20"/>
        </w:rPr>
        <w:t>vitit</w:t>
      </w:r>
      <w:r w:rsidR="00B8790D" w:rsidRPr="006F1BA4">
        <w:rPr>
          <w:rFonts w:ascii="Times New Roman" w:hAnsi="Times New Roman" w:cs="Times New Roman"/>
          <w:noProof/>
          <w:sz w:val="24"/>
          <w:szCs w:val="20"/>
        </w:rPr>
        <w:t xml:space="preserve"> 2021</w:t>
      </w:r>
      <w:r w:rsidR="00B5234C" w:rsidRPr="006F1BA4">
        <w:rPr>
          <w:rFonts w:ascii="Times New Roman" w:hAnsi="Times New Roman" w:cs="Times New Roman"/>
          <w:noProof/>
          <w:sz w:val="24"/>
          <w:szCs w:val="20"/>
        </w:rPr>
        <w:t xml:space="preserve"> </w:t>
      </w:r>
      <w:r w:rsidR="00E502E6" w:rsidRPr="006F1BA4">
        <w:rPr>
          <w:rFonts w:ascii="Times New Roman" w:hAnsi="Times New Roman" w:cs="Times New Roman"/>
          <w:noProof/>
          <w:sz w:val="24"/>
          <w:szCs w:val="20"/>
        </w:rPr>
        <w:t>ë</w:t>
      </w:r>
      <w:r w:rsidR="00B5234C" w:rsidRPr="006F1BA4">
        <w:rPr>
          <w:rFonts w:ascii="Times New Roman" w:hAnsi="Times New Roman" w:cs="Times New Roman"/>
          <w:noProof/>
          <w:sz w:val="24"/>
          <w:szCs w:val="20"/>
        </w:rPr>
        <w:t>sht</w:t>
      </w:r>
      <w:r w:rsidR="00E502E6" w:rsidRPr="006F1BA4">
        <w:rPr>
          <w:rFonts w:ascii="Times New Roman" w:hAnsi="Times New Roman" w:cs="Times New Roman"/>
          <w:noProof/>
          <w:sz w:val="24"/>
          <w:szCs w:val="20"/>
        </w:rPr>
        <w:t>ë</w:t>
      </w:r>
      <w:r w:rsidR="00B5234C" w:rsidRPr="006F1BA4">
        <w:rPr>
          <w:rFonts w:ascii="Times New Roman" w:hAnsi="Times New Roman" w:cs="Times New Roman"/>
          <w:noProof/>
          <w:sz w:val="24"/>
          <w:szCs w:val="20"/>
        </w:rPr>
        <w:t xml:space="preserve"> vijuar me emetimin e obligacioneve</w:t>
      </w:r>
      <w:r w:rsidRPr="006F1BA4">
        <w:rPr>
          <w:rFonts w:ascii="Times New Roman" w:hAnsi="Times New Roman" w:cs="Times New Roman"/>
          <w:noProof/>
          <w:sz w:val="24"/>
          <w:szCs w:val="20"/>
        </w:rPr>
        <w:t xml:space="preserve"> 3 dhe 5 vjeçare</w:t>
      </w:r>
      <w:r w:rsidR="00B5234C" w:rsidRPr="006F1BA4">
        <w:rPr>
          <w:rFonts w:ascii="Times New Roman" w:hAnsi="Times New Roman" w:cs="Times New Roman"/>
          <w:noProof/>
          <w:sz w:val="24"/>
          <w:szCs w:val="20"/>
        </w:rPr>
        <w:t xml:space="preserve"> referenc</w:t>
      </w:r>
      <w:r w:rsidR="00E502E6" w:rsidRPr="006F1BA4">
        <w:rPr>
          <w:rFonts w:ascii="Times New Roman" w:hAnsi="Times New Roman" w:cs="Times New Roman"/>
          <w:noProof/>
          <w:sz w:val="24"/>
          <w:szCs w:val="20"/>
        </w:rPr>
        <w:t>ë</w:t>
      </w:r>
      <w:r w:rsidR="00B5234C" w:rsidRPr="006F1BA4">
        <w:rPr>
          <w:rFonts w:ascii="Times New Roman" w:hAnsi="Times New Roman" w:cs="Times New Roman"/>
          <w:noProof/>
          <w:sz w:val="24"/>
          <w:szCs w:val="20"/>
        </w:rPr>
        <w:t>.</w:t>
      </w:r>
    </w:p>
    <w:p w:rsidR="001B22B9" w:rsidRPr="00022EE4" w:rsidRDefault="001B22B9" w:rsidP="00556CC6">
      <w:pPr>
        <w:spacing w:after="0" w:line="276" w:lineRule="auto"/>
        <w:ind w:right="-46"/>
        <w:rPr>
          <w:rFonts w:ascii="Cambria" w:hAnsi="Cambria" w:cs="Times New Roman"/>
          <w:i/>
          <w:sz w:val="20"/>
          <w:szCs w:val="20"/>
          <w:lang w:val="it-IT"/>
        </w:rPr>
      </w:pPr>
    </w:p>
    <w:p w:rsidR="00DA1DA3" w:rsidRPr="00022EE4" w:rsidRDefault="00DA1DA3" w:rsidP="00FC2F2F">
      <w:pPr>
        <w:pStyle w:val="Heading2"/>
        <w:numPr>
          <w:ilvl w:val="1"/>
          <w:numId w:val="5"/>
        </w:numPr>
        <w:spacing w:before="0" w:line="276" w:lineRule="auto"/>
        <w:ind w:left="709" w:right="-46" w:hanging="709"/>
        <w:jc w:val="both"/>
        <w:rPr>
          <w:rFonts w:ascii="Cambria" w:hAnsi="Cambria"/>
        </w:rPr>
      </w:pPr>
      <w:bookmarkStart w:id="26" w:name="_Toc34645072"/>
      <w:r w:rsidRPr="00022EE4">
        <w:rPr>
          <w:rFonts w:ascii="Cambria" w:hAnsi="Cambria"/>
        </w:rPr>
        <w:t>Ecuria e normave të interesit</w:t>
      </w:r>
      <w:bookmarkEnd w:id="24"/>
      <w:bookmarkEnd w:id="25"/>
      <w:bookmarkEnd w:id="26"/>
    </w:p>
    <w:p w:rsidR="00480D26" w:rsidRPr="00FB2E3B" w:rsidRDefault="00480D26" w:rsidP="0003109A">
      <w:pPr>
        <w:spacing w:after="0" w:line="276" w:lineRule="auto"/>
        <w:ind w:right="-46"/>
        <w:jc w:val="both"/>
        <w:rPr>
          <w:rFonts w:ascii="Cambria" w:hAnsi="Cambria"/>
          <w:b/>
          <w:sz w:val="12"/>
          <w:szCs w:val="12"/>
        </w:rPr>
      </w:pPr>
    </w:p>
    <w:p w:rsidR="006F1BA4" w:rsidRPr="00FB2E3B" w:rsidRDefault="006F1BA4" w:rsidP="00FB2E3B">
      <w:pPr>
        <w:spacing w:after="0" w:line="276" w:lineRule="auto"/>
        <w:ind w:right="-46"/>
        <w:jc w:val="both"/>
        <w:rPr>
          <w:rFonts w:ascii="Times New Roman" w:hAnsi="Times New Roman" w:cs="Times New Roman"/>
          <w:sz w:val="24"/>
          <w:szCs w:val="24"/>
        </w:rPr>
      </w:pPr>
      <w:r w:rsidRPr="00FB2E3B">
        <w:rPr>
          <w:rFonts w:ascii="Times New Roman" w:hAnsi="Times New Roman" w:cs="Times New Roman"/>
          <w:sz w:val="24"/>
          <w:szCs w:val="24"/>
        </w:rPr>
        <w:t xml:space="preserve">Gjatë vitit 2021, normat e interesit në tregun e letrave me vlerë kanë shënuar ulje krahasuar me ato të vitit 2020, pavarësisht nga nevoja </w:t>
      </w:r>
      <w:r w:rsidR="005F5D6A">
        <w:rPr>
          <w:rFonts w:ascii="Times New Roman" w:hAnsi="Times New Roman" w:cs="Times New Roman"/>
          <w:sz w:val="24"/>
          <w:szCs w:val="24"/>
        </w:rPr>
        <w:t>e lartë për</w:t>
      </w:r>
      <w:r w:rsidRPr="00FB2E3B">
        <w:rPr>
          <w:rFonts w:ascii="Times New Roman" w:hAnsi="Times New Roman" w:cs="Times New Roman"/>
          <w:sz w:val="24"/>
          <w:szCs w:val="24"/>
        </w:rPr>
        <w:t xml:space="preserve"> financim</w:t>
      </w:r>
      <w:bookmarkStart w:id="27" w:name="_GoBack"/>
      <w:bookmarkEnd w:id="27"/>
      <w:r w:rsidRPr="00FB2E3B">
        <w:rPr>
          <w:rFonts w:ascii="Times New Roman" w:hAnsi="Times New Roman" w:cs="Times New Roman"/>
          <w:sz w:val="24"/>
          <w:szCs w:val="24"/>
        </w:rPr>
        <w:t>. Normat e interesit të instrumenteve me maturitet më të gjatë (5Vj, 7Vj dhe 10Vj) kanë qenë më të ulta se vitin e kaluar. Instrumentat afatshkurtër, bonot e thesarit kanë pësuar gjithashtu një ulje të lehtë të normës. Instrumentat me maturitet afatmesëm (2VJ dhe 3VJ) gjatë 2021 kanë shfaqur norma lehtësisht më të larta krahasur me ato të vitit 2020. Gjithashtu në muajin tetor të vitit 2021 është prezantuar për herë të parë obligacioni 15 vjeçar me një normë interesi 5.88%.</w:t>
      </w:r>
    </w:p>
    <w:p w:rsidR="009C4A9F" w:rsidRPr="00FB2E3B" w:rsidRDefault="009C4A9F" w:rsidP="006D4DED">
      <w:pPr>
        <w:spacing w:after="0" w:line="276" w:lineRule="auto"/>
        <w:ind w:right="-46"/>
        <w:jc w:val="both"/>
        <w:rPr>
          <w:rFonts w:ascii="Times New Roman" w:hAnsi="Times New Roman" w:cs="Times New Roman"/>
          <w:sz w:val="24"/>
          <w:szCs w:val="24"/>
        </w:rPr>
      </w:pPr>
    </w:p>
    <w:p w:rsidR="002949AA" w:rsidRPr="00022EE4" w:rsidRDefault="004A2218" w:rsidP="00057778">
      <w:pPr>
        <w:spacing w:after="0" w:line="276" w:lineRule="auto"/>
        <w:ind w:right="-46"/>
        <w:jc w:val="center"/>
        <w:rPr>
          <w:rFonts w:ascii="Cambria" w:hAnsi="Cambria"/>
          <w:i/>
          <w:sz w:val="20"/>
          <w:szCs w:val="20"/>
        </w:rPr>
      </w:pPr>
      <w:r w:rsidRPr="00022EE4">
        <w:rPr>
          <w:rFonts w:ascii="Cambria" w:hAnsi="Cambria"/>
          <w:b/>
          <w:sz w:val="20"/>
          <w:szCs w:val="20"/>
        </w:rPr>
        <w:t xml:space="preserve">Paraqitje Grafike </w:t>
      </w:r>
      <w:r w:rsidR="008D0C8F" w:rsidRPr="00022EE4">
        <w:rPr>
          <w:rFonts w:ascii="Cambria" w:hAnsi="Cambria"/>
          <w:b/>
          <w:sz w:val="20"/>
          <w:szCs w:val="20"/>
        </w:rPr>
        <w:t>6.2</w:t>
      </w:r>
      <w:r w:rsidRPr="00022EE4">
        <w:rPr>
          <w:rFonts w:ascii="Cambria" w:hAnsi="Cambria"/>
          <w:b/>
          <w:sz w:val="20"/>
          <w:szCs w:val="20"/>
        </w:rPr>
        <w:t xml:space="preserve">: </w:t>
      </w:r>
      <w:r w:rsidR="00057778" w:rsidRPr="00022EE4">
        <w:rPr>
          <w:rFonts w:ascii="Cambria" w:hAnsi="Cambria"/>
          <w:i/>
          <w:sz w:val="20"/>
          <w:szCs w:val="20"/>
        </w:rPr>
        <w:t>Norma mesatare e ponde</w:t>
      </w:r>
      <w:r w:rsidR="00B94B12" w:rsidRPr="00022EE4">
        <w:rPr>
          <w:rFonts w:ascii="Cambria" w:hAnsi="Cambria"/>
          <w:i/>
          <w:sz w:val="20"/>
          <w:szCs w:val="20"/>
        </w:rPr>
        <w:t>ruar e</w:t>
      </w:r>
      <w:r w:rsidR="00057778" w:rsidRPr="00022EE4">
        <w:rPr>
          <w:rFonts w:ascii="Cambria" w:hAnsi="Cambria"/>
          <w:i/>
          <w:sz w:val="20"/>
          <w:szCs w:val="20"/>
        </w:rPr>
        <w:t xml:space="preserve"> titujve shtetërorë</w:t>
      </w:r>
      <w:r w:rsidR="00057778" w:rsidRPr="00022EE4">
        <w:rPr>
          <w:rStyle w:val="FootnoteReference"/>
          <w:rFonts w:ascii="Cambria" w:hAnsi="Cambria"/>
          <w:i/>
          <w:sz w:val="20"/>
          <w:szCs w:val="20"/>
        </w:rPr>
        <w:footnoteReference w:id="2"/>
      </w:r>
      <w:r w:rsidR="00057778" w:rsidRPr="00022EE4">
        <w:rPr>
          <w:rFonts w:ascii="Cambria" w:hAnsi="Cambria"/>
          <w:i/>
          <w:sz w:val="20"/>
          <w:szCs w:val="20"/>
        </w:rPr>
        <w:t xml:space="preserve"> </w:t>
      </w:r>
      <w:r w:rsidR="00AA474F" w:rsidRPr="00022EE4">
        <w:rPr>
          <w:rFonts w:ascii="Cambria" w:hAnsi="Cambria"/>
          <w:i/>
          <w:sz w:val="20"/>
          <w:szCs w:val="20"/>
        </w:rPr>
        <w:t>(201</w:t>
      </w:r>
      <w:r w:rsidR="006D4DED" w:rsidRPr="00022EE4">
        <w:rPr>
          <w:rFonts w:ascii="Cambria" w:hAnsi="Cambria"/>
          <w:i/>
          <w:sz w:val="20"/>
          <w:szCs w:val="20"/>
        </w:rPr>
        <w:t>9</w:t>
      </w:r>
      <w:r w:rsidR="00022EE4" w:rsidRPr="00022EE4">
        <w:rPr>
          <w:rFonts w:ascii="Cambria" w:hAnsi="Cambria"/>
          <w:i/>
          <w:sz w:val="20"/>
          <w:szCs w:val="20"/>
        </w:rPr>
        <w:t>-</w:t>
      </w:r>
      <w:r w:rsidR="00AA474F" w:rsidRPr="00022EE4">
        <w:rPr>
          <w:rFonts w:ascii="Cambria" w:hAnsi="Cambria"/>
          <w:i/>
          <w:sz w:val="20"/>
          <w:szCs w:val="20"/>
        </w:rPr>
        <w:t xml:space="preserve"> 202</w:t>
      </w:r>
      <w:r w:rsidR="001E50CB" w:rsidRPr="00022EE4">
        <w:rPr>
          <w:rFonts w:ascii="Cambria" w:hAnsi="Cambria"/>
          <w:i/>
          <w:sz w:val="20"/>
          <w:szCs w:val="20"/>
        </w:rPr>
        <w:t>1</w:t>
      </w:r>
      <w:r w:rsidR="00A45E02" w:rsidRPr="00022EE4">
        <w:rPr>
          <w:rFonts w:ascii="Cambria" w:hAnsi="Cambria"/>
          <w:i/>
          <w:sz w:val="20"/>
          <w:szCs w:val="20"/>
        </w:rPr>
        <w:t>)</w:t>
      </w:r>
    </w:p>
    <w:p w:rsidR="006D4DED" w:rsidRPr="00EE7E9F" w:rsidRDefault="006F1BA4" w:rsidP="00057778">
      <w:pPr>
        <w:spacing w:after="0" w:line="276" w:lineRule="auto"/>
        <w:ind w:right="-46"/>
        <w:jc w:val="center"/>
        <w:rPr>
          <w:rFonts w:ascii="Cambria" w:hAnsi="Cambria"/>
          <w:i/>
          <w:sz w:val="20"/>
          <w:szCs w:val="20"/>
          <w:highlight w:val="yellow"/>
        </w:rPr>
      </w:pPr>
      <w:r w:rsidRPr="00FB2E3B">
        <w:rPr>
          <w:rFonts w:ascii="Cambria" w:hAnsi="Cambria"/>
          <w:i/>
          <w:noProof/>
          <w:sz w:val="20"/>
          <w:szCs w:val="20"/>
          <w:highlight w:val="yellow"/>
          <w:lang w:val="en-US"/>
        </w:rPr>
        <w:drawing>
          <wp:inline distT="0" distB="0" distL="0" distR="0" wp14:anchorId="441890FA" wp14:editId="4E93FE5A">
            <wp:extent cx="5731510" cy="2491740"/>
            <wp:effectExtent l="0" t="0" r="2540" b="3810"/>
            <wp:docPr id="26" name="Chart 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502E6" w:rsidRDefault="009D6626" w:rsidP="0078555D">
      <w:pPr>
        <w:spacing w:after="0" w:line="276" w:lineRule="auto"/>
        <w:ind w:right="-46"/>
        <w:jc w:val="center"/>
        <w:rPr>
          <w:rFonts w:ascii="Cambria" w:hAnsi="Cambria"/>
          <w:i/>
          <w:sz w:val="20"/>
          <w:szCs w:val="20"/>
        </w:rPr>
      </w:pPr>
      <w:r w:rsidRPr="00022EE4">
        <w:rPr>
          <w:rFonts w:ascii="Cambria" w:hAnsi="Cambria"/>
          <w:b/>
          <w:sz w:val="20"/>
          <w:szCs w:val="20"/>
        </w:rPr>
        <w:t xml:space="preserve">Burimi: </w:t>
      </w:r>
      <w:r w:rsidRPr="00022EE4">
        <w:rPr>
          <w:rFonts w:ascii="Cambria" w:hAnsi="Cambria"/>
          <w:i/>
          <w:sz w:val="20"/>
          <w:szCs w:val="20"/>
        </w:rPr>
        <w:t>Ministria</w:t>
      </w:r>
      <w:r w:rsidR="00DE350A" w:rsidRPr="00022EE4">
        <w:rPr>
          <w:rFonts w:ascii="Cambria" w:hAnsi="Cambria"/>
          <w:i/>
          <w:sz w:val="20"/>
          <w:szCs w:val="20"/>
        </w:rPr>
        <w:t xml:space="preserve"> e Financave dhe Ekonomisë (20</w:t>
      </w:r>
      <w:r w:rsidR="00A45E02" w:rsidRPr="00022EE4">
        <w:rPr>
          <w:rFonts w:ascii="Cambria" w:hAnsi="Cambria"/>
          <w:i/>
          <w:sz w:val="20"/>
          <w:szCs w:val="20"/>
        </w:rPr>
        <w:t>2</w:t>
      </w:r>
      <w:r w:rsidR="000467B8">
        <w:rPr>
          <w:rFonts w:ascii="Cambria" w:hAnsi="Cambria"/>
          <w:i/>
          <w:sz w:val="20"/>
          <w:szCs w:val="20"/>
        </w:rPr>
        <w:t>2</w:t>
      </w:r>
      <w:r w:rsidRPr="00022EE4">
        <w:rPr>
          <w:rFonts w:ascii="Cambria" w:hAnsi="Cambria"/>
          <w:i/>
          <w:sz w:val="20"/>
          <w:szCs w:val="20"/>
        </w:rPr>
        <w:t>)</w:t>
      </w: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Default="000467B8" w:rsidP="0078555D">
      <w:pPr>
        <w:spacing w:after="0" w:line="276" w:lineRule="auto"/>
        <w:ind w:right="-46"/>
        <w:jc w:val="center"/>
        <w:rPr>
          <w:rFonts w:ascii="Cambria" w:hAnsi="Cambria"/>
          <w:i/>
          <w:sz w:val="20"/>
          <w:szCs w:val="20"/>
        </w:rPr>
      </w:pPr>
    </w:p>
    <w:p w:rsidR="000467B8" w:rsidRPr="0078555D" w:rsidRDefault="000467B8" w:rsidP="0017092C">
      <w:pPr>
        <w:spacing w:after="0" w:line="276" w:lineRule="auto"/>
        <w:ind w:right="-46"/>
        <w:rPr>
          <w:rFonts w:ascii="Cambria" w:hAnsi="Cambria"/>
          <w:i/>
          <w:sz w:val="20"/>
          <w:szCs w:val="20"/>
          <w:highlight w:val="yellow"/>
        </w:rPr>
      </w:pPr>
    </w:p>
    <w:p w:rsidR="00E502E6" w:rsidRPr="00EE7E9F" w:rsidRDefault="00E502E6" w:rsidP="00FC2F2F">
      <w:pPr>
        <w:tabs>
          <w:tab w:val="left" w:pos="1182"/>
        </w:tabs>
        <w:spacing w:after="0" w:line="240" w:lineRule="auto"/>
        <w:ind w:right="-46"/>
        <w:rPr>
          <w:rFonts w:ascii="Cambria" w:hAnsi="Cambria" w:cs="Times New Roman"/>
          <w:sz w:val="20"/>
          <w:szCs w:val="20"/>
          <w:highlight w:val="yellow"/>
        </w:rPr>
      </w:pPr>
    </w:p>
    <w:p w:rsidR="009354F2" w:rsidRPr="00082B20" w:rsidRDefault="009354F2" w:rsidP="009354F2">
      <w:pPr>
        <w:keepNext/>
        <w:keepLines/>
        <w:spacing w:after="0" w:line="360" w:lineRule="auto"/>
        <w:ind w:right="-45"/>
        <w:jc w:val="center"/>
        <w:outlineLvl w:val="0"/>
        <w:rPr>
          <w:rFonts w:ascii="Cambria" w:eastAsia="Times New Roman" w:hAnsi="Cambria" w:cstheme="majorBidi"/>
          <w:b/>
          <w:noProof/>
          <w:color w:val="C00000"/>
          <w:sz w:val="24"/>
          <w:szCs w:val="32"/>
        </w:rPr>
      </w:pPr>
      <w:bookmarkStart w:id="28" w:name="_Toc482629551"/>
      <w:bookmarkStart w:id="29" w:name="_Toc523237144"/>
      <w:bookmarkStart w:id="30" w:name="_Toc34645073"/>
      <w:r w:rsidRPr="00082B20">
        <w:rPr>
          <w:rFonts w:ascii="Cambria" w:eastAsia="Times New Roman" w:hAnsi="Cambria" w:cstheme="majorBidi"/>
          <w:b/>
          <w:noProof/>
          <w:color w:val="C00000"/>
          <w:sz w:val="24"/>
          <w:szCs w:val="32"/>
        </w:rPr>
        <w:t>ANEKS</w:t>
      </w:r>
      <w:bookmarkEnd w:id="28"/>
      <w:r w:rsidRPr="00082B20">
        <w:rPr>
          <w:rFonts w:ascii="Cambria" w:eastAsia="Times New Roman" w:hAnsi="Cambria" w:cstheme="majorBidi"/>
          <w:b/>
          <w:noProof/>
          <w:color w:val="C00000"/>
          <w:sz w:val="24"/>
          <w:szCs w:val="32"/>
        </w:rPr>
        <w:t>I I</w:t>
      </w:r>
      <w:bookmarkEnd w:id="29"/>
      <w:bookmarkEnd w:id="30"/>
    </w:p>
    <w:p w:rsidR="009354F2" w:rsidRPr="00082B20" w:rsidRDefault="009354F2" w:rsidP="009354F2">
      <w:pPr>
        <w:keepNext/>
        <w:keepLines/>
        <w:spacing w:after="0" w:line="360" w:lineRule="auto"/>
        <w:ind w:right="-45"/>
        <w:jc w:val="center"/>
        <w:outlineLvl w:val="0"/>
        <w:rPr>
          <w:rFonts w:ascii="Cambria" w:eastAsia="Times New Roman" w:hAnsi="Cambria" w:cstheme="majorBidi"/>
          <w:b/>
          <w:noProof/>
          <w:color w:val="C00000"/>
          <w:sz w:val="24"/>
          <w:szCs w:val="32"/>
        </w:rPr>
      </w:pPr>
      <w:r w:rsidRPr="00082B20">
        <w:rPr>
          <w:rFonts w:ascii="Cambria" w:eastAsia="Times New Roman" w:hAnsi="Cambria" w:cstheme="majorBidi"/>
          <w:b/>
          <w:noProof/>
          <w:color w:val="C00000"/>
          <w:sz w:val="24"/>
          <w:szCs w:val="32"/>
        </w:rPr>
        <w:t xml:space="preserve"> </w:t>
      </w:r>
      <w:bookmarkStart w:id="31" w:name="_Toc523237145"/>
      <w:bookmarkStart w:id="32" w:name="_Toc9249214"/>
      <w:bookmarkStart w:id="33" w:name="_Toc34645074"/>
      <w:r w:rsidRPr="00082B20">
        <w:rPr>
          <w:rFonts w:ascii="Cambria" w:eastAsia="Times New Roman" w:hAnsi="Cambria" w:cstheme="majorBidi"/>
          <w:b/>
          <w:noProof/>
          <w:color w:val="C00000"/>
          <w:sz w:val="24"/>
          <w:szCs w:val="32"/>
        </w:rPr>
        <w:t>AKRONIME DHE FJALOR SHPJEGUES</w:t>
      </w:r>
      <w:bookmarkEnd w:id="31"/>
      <w:bookmarkEnd w:id="32"/>
      <w:bookmarkEnd w:id="33"/>
    </w:p>
    <w:p w:rsidR="009354F2" w:rsidRPr="00082B20" w:rsidRDefault="009354F2" w:rsidP="009354F2">
      <w:pPr>
        <w:keepNext/>
        <w:keepLines/>
        <w:spacing w:before="240" w:after="0"/>
        <w:ind w:right="-46"/>
        <w:jc w:val="center"/>
        <w:outlineLvl w:val="0"/>
        <w:rPr>
          <w:rFonts w:ascii="Cambria" w:eastAsia="Times New Roman" w:hAnsi="Cambria" w:cstheme="majorBidi"/>
          <w:b/>
          <w:noProof/>
          <w:color w:val="C00000"/>
          <w:sz w:val="28"/>
          <w:szCs w:val="32"/>
        </w:rPr>
      </w:pPr>
    </w:p>
    <w:p w:rsidR="009354F2" w:rsidRPr="00082B20" w:rsidRDefault="009354F2" w:rsidP="009354F2">
      <w:pPr>
        <w:ind w:right="-46"/>
        <w:rPr>
          <w:rFonts w:ascii="Cambria" w:eastAsia="Times New Roman" w:hAnsi="Cambria"/>
          <w:b/>
          <w:noProof/>
          <w:u w:val="single"/>
        </w:rPr>
      </w:pPr>
    </w:p>
    <w:p w:rsidR="009354F2" w:rsidRPr="00082B20" w:rsidRDefault="009354F2" w:rsidP="009354F2">
      <w:pPr>
        <w:ind w:right="-46"/>
        <w:rPr>
          <w:rFonts w:ascii="Cambria" w:eastAsia="Times New Roman" w:hAnsi="Cambria"/>
          <w:b/>
          <w:noProof/>
          <w:sz w:val="24"/>
        </w:rPr>
      </w:pPr>
      <w:r w:rsidRPr="00082B20">
        <w:rPr>
          <w:rFonts w:ascii="Cambria" w:eastAsia="Times New Roman" w:hAnsi="Cambria"/>
          <w:b/>
          <w:noProof/>
          <w:sz w:val="24"/>
        </w:rPr>
        <w:t>AKRONIME</w:t>
      </w:r>
    </w:p>
    <w:p w:rsidR="009354F2" w:rsidRPr="00082B20" w:rsidRDefault="009354F2" w:rsidP="009354F2">
      <w:pPr>
        <w:ind w:right="-46"/>
        <w:rPr>
          <w:rFonts w:ascii="Cambria" w:eastAsia="Times New Roman" w:hAnsi="Cambria"/>
          <w:b/>
          <w:noProof/>
          <w:sz w:val="24"/>
        </w:rPr>
      </w:pPr>
    </w:p>
    <w:p w:rsidR="009354F2" w:rsidRPr="00082B20" w:rsidRDefault="009354F2" w:rsidP="009354F2">
      <w:pPr>
        <w:autoSpaceDE w:val="0"/>
        <w:autoSpaceDN w:val="0"/>
        <w:adjustRightInd w:val="0"/>
        <w:spacing w:after="0" w:line="360" w:lineRule="auto"/>
        <w:ind w:left="284" w:right="-46" w:hanging="284"/>
        <w:rPr>
          <w:rFonts w:ascii="Times New Roman" w:hAnsi="Times New Roman" w:cs="Times New Roman"/>
          <w:b/>
          <w:sz w:val="24"/>
          <w:szCs w:val="24"/>
        </w:rPr>
      </w:pPr>
      <w:r w:rsidRPr="00082B20">
        <w:rPr>
          <w:rFonts w:ascii="Times New Roman" w:hAnsi="Times New Roman" w:cs="Times New Roman"/>
          <w:b/>
          <w:sz w:val="24"/>
          <w:szCs w:val="24"/>
        </w:rPr>
        <w:t xml:space="preserve">BSH </w:t>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sz w:val="24"/>
          <w:szCs w:val="24"/>
        </w:rPr>
        <w:t>Banka e Shqipërisë</w:t>
      </w:r>
    </w:p>
    <w:p w:rsidR="009354F2" w:rsidRPr="00082B20"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082B20">
        <w:rPr>
          <w:rFonts w:ascii="Times New Roman" w:hAnsi="Times New Roman" w:cs="Times New Roman"/>
          <w:b/>
          <w:sz w:val="24"/>
          <w:szCs w:val="24"/>
        </w:rPr>
        <w:t xml:space="preserve">DMM </w:t>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sz w:val="24"/>
          <w:szCs w:val="24"/>
        </w:rPr>
        <w:t>Ditët Mesatare në Maturim</w:t>
      </w:r>
    </w:p>
    <w:p w:rsidR="009354F2" w:rsidRPr="00082B20" w:rsidRDefault="009354F2" w:rsidP="009354F2">
      <w:pPr>
        <w:tabs>
          <w:tab w:val="left" w:pos="567"/>
        </w:tabs>
        <w:autoSpaceDE w:val="0"/>
        <w:autoSpaceDN w:val="0"/>
        <w:adjustRightInd w:val="0"/>
        <w:spacing w:after="0" w:line="360" w:lineRule="auto"/>
        <w:ind w:left="284" w:right="-46" w:hanging="284"/>
        <w:rPr>
          <w:rFonts w:ascii="Times New Roman" w:hAnsi="Times New Roman" w:cs="Times New Roman"/>
          <w:sz w:val="24"/>
          <w:szCs w:val="24"/>
        </w:rPr>
      </w:pPr>
      <w:r w:rsidRPr="00082B20">
        <w:rPr>
          <w:rFonts w:ascii="Times New Roman" w:hAnsi="Times New Roman" w:cs="Times New Roman"/>
          <w:b/>
          <w:sz w:val="24"/>
          <w:szCs w:val="24"/>
        </w:rPr>
        <w:t>EUR</w:t>
      </w:r>
      <w:r w:rsidRPr="00082B20">
        <w:rPr>
          <w:rFonts w:ascii="Times New Roman" w:hAnsi="Times New Roman" w:cs="Times New Roman"/>
          <w:sz w:val="24"/>
          <w:szCs w:val="24"/>
        </w:rPr>
        <w:t xml:space="preserve"> </w:t>
      </w:r>
      <w:r w:rsidRPr="00082B20">
        <w:rPr>
          <w:rFonts w:ascii="Times New Roman" w:hAnsi="Times New Roman" w:cs="Times New Roman"/>
          <w:sz w:val="24"/>
          <w:szCs w:val="24"/>
        </w:rPr>
        <w:tab/>
      </w:r>
      <w:r w:rsidRPr="00082B20">
        <w:rPr>
          <w:rFonts w:ascii="Times New Roman" w:hAnsi="Times New Roman" w:cs="Times New Roman"/>
          <w:sz w:val="24"/>
          <w:szCs w:val="24"/>
        </w:rPr>
        <w:tab/>
      </w:r>
      <w:r w:rsidRPr="00082B20">
        <w:rPr>
          <w:rFonts w:ascii="Times New Roman" w:hAnsi="Times New Roman" w:cs="Times New Roman"/>
          <w:sz w:val="24"/>
          <w:szCs w:val="24"/>
        </w:rPr>
        <w:tab/>
      </w:r>
      <w:r w:rsidRPr="00082B20">
        <w:rPr>
          <w:rFonts w:ascii="Times New Roman" w:hAnsi="Times New Roman" w:cs="Times New Roman"/>
          <w:sz w:val="24"/>
          <w:szCs w:val="24"/>
        </w:rPr>
        <w:tab/>
      </w:r>
      <w:r w:rsidRPr="00082B20">
        <w:rPr>
          <w:rFonts w:ascii="Times New Roman" w:hAnsi="Times New Roman" w:cs="Times New Roman"/>
          <w:sz w:val="24"/>
          <w:szCs w:val="24"/>
        </w:rPr>
        <w:tab/>
      </w:r>
      <w:r w:rsidRPr="00082B20">
        <w:rPr>
          <w:rFonts w:ascii="Times New Roman" w:hAnsi="Times New Roman" w:cs="Times New Roman"/>
          <w:sz w:val="24"/>
          <w:szCs w:val="24"/>
        </w:rPr>
        <w:tab/>
      </w:r>
      <w:r w:rsidR="00B308B7" w:rsidRPr="00082B20">
        <w:rPr>
          <w:rFonts w:ascii="Times New Roman" w:hAnsi="Times New Roman" w:cs="Times New Roman"/>
          <w:sz w:val="24"/>
          <w:szCs w:val="24"/>
        </w:rPr>
        <w:t>Monedha e Bashkimit Evropian</w:t>
      </w:r>
    </w:p>
    <w:p w:rsidR="009354F2" w:rsidRPr="00082B20"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082B20">
        <w:rPr>
          <w:rFonts w:ascii="Times New Roman" w:hAnsi="Times New Roman" w:cs="Times New Roman"/>
          <w:b/>
          <w:sz w:val="24"/>
          <w:szCs w:val="24"/>
        </w:rPr>
        <w:t xml:space="preserve">JPY </w:t>
      </w:r>
      <w:r w:rsidRPr="00082B20">
        <w:rPr>
          <w:rFonts w:ascii="Times New Roman" w:hAnsi="Times New Roman" w:cs="Times New Roman"/>
          <w:sz w:val="24"/>
          <w:szCs w:val="24"/>
        </w:rPr>
        <w:tab/>
      </w:r>
      <w:r w:rsidRPr="00082B20">
        <w:rPr>
          <w:rFonts w:ascii="Times New Roman" w:hAnsi="Times New Roman" w:cs="Times New Roman"/>
          <w:sz w:val="24"/>
          <w:szCs w:val="24"/>
        </w:rPr>
        <w:tab/>
      </w:r>
      <w:r w:rsidRPr="00082B20">
        <w:rPr>
          <w:rFonts w:ascii="Times New Roman" w:hAnsi="Times New Roman" w:cs="Times New Roman"/>
          <w:sz w:val="24"/>
          <w:szCs w:val="24"/>
        </w:rPr>
        <w:tab/>
      </w:r>
      <w:r w:rsidRPr="00082B20">
        <w:rPr>
          <w:rFonts w:ascii="Times New Roman" w:hAnsi="Times New Roman" w:cs="Times New Roman"/>
          <w:sz w:val="24"/>
          <w:szCs w:val="24"/>
        </w:rPr>
        <w:tab/>
      </w:r>
      <w:r w:rsidRPr="00082B20">
        <w:rPr>
          <w:rFonts w:ascii="Times New Roman" w:hAnsi="Times New Roman" w:cs="Times New Roman"/>
          <w:sz w:val="24"/>
          <w:szCs w:val="24"/>
        </w:rPr>
        <w:tab/>
      </w:r>
      <w:r w:rsidR="00B308B7" w:rsidRPr="00082B20">
        <w:rPr>
          <w:rFonts w:ascii="Times New Roman" w:hAnsi="Times New Roman" w:cs="Times New Roman"/>
          <w:sz w:val="24"/>
          <w:szCs w:val="24"/>
        </w:rPr>
        <w:t>Monedha kombëtare e Japonisë</w:t>
      </w:r>
    </w:p>
    <w:p w:rsidR="009354F2" w:rsidRPr="00082B20"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082B20">
        <w:rPr>
          <w:rFonts w:ascii="Times New Roman" w:hAnsi="Times New Roman" w:cs="Times New Roman"/>
          <w:b/>
          <w:sz w:val="24"/>
          <w:szCs w:val="24"/>
        </w:rPr>
        <w:t xml:space="preserve">KMM                                     </w:t>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sz w:val="24"/>
          <w:szCs w:val="24"/>
        </w:rPr>
        <w:t>Koha Mesatare në Maturim</w:t>
      </w:r>
    </w:p>
    <w:p w:rsidR="009354F2" w:rsidRPr="00082B20" w:rsidRDefault="009354F2" w:rsidP="009354F2">
      <w:pPr>
        <w:autoSpaceDE w:val="0"/>
        <w:autoSpaceDN w:val="0"/>
        <w:adjustRightInd w:val="0"/>
        <w:spacing w:after="0" w:line="360" w:lineRule="auto"/>
        <w:ind w:left="284" w:right="-46" w:hanging="284"/>
        <w:rPr>
          <w:rFonts w:ascii="Times New Roman" w:hAnsi="Times New Roman" w:cs="Times New Roman"/>
          <w:b/>
          <w:sz w:val="24"/>
          <w:szCs w:val="24"/>
        </w:rPr>
      </w:pPr>
      <w:r w:rsidRPr="00082B20">
        <w:rPr>
          <w:rFonts w:ascii="Times New Roman" w:hAnsi="Times New Roman" w:cs="Times New Roman"/>
          <w:b/>
          <w:sz w:val="24"/>
          <w:szCs w:val="24"/>
        </w:rPr>
        <w:t xml:space="preserve">KMR                                     </w:t>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sz w:val="24"/>
          <w:szCs w:val="24"/>
        </w:rPr>
        <w:t>Koha Mesatare në Rifiksim</w:t>
      </w:r>
    </w:p>
    <w:p w:rsidR="009354F2" w:rsidRPr="00082B20"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082B20">
        <w:rPr>
          <w:rFonts w:ascii="Times New Roman" w:hAnsi="Times New Roman" w:cs="Times New Roman"/>
          <w:b/>
          <w:sz w:val="24"/>
          <w:szCs w:val="24"/>
        </w:rPr>
        <w:t xml:space="preserve">PBB </w:t>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sz w:val="24"/>
          <w:szCs w:val="24"/>
        </w:rPr>
        <w:t>Produkti i Brendshëm Bruto</w:t>
      </w:r>
    </w:p>
    <w:p w:rsidR="009354F2" w:rsidRPr="00082B20"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082B20">
        <w:rPr>
          <w:rFonts w:ascii="Times New Roman" w:hAnsi="Times New Roman" w:cs="Times New Roman"/>
          <w:b/>
          <w:sz w:val="24"/>
          <w:szCs w:val="24"/>
        </w:rPr>
        <w:t xml:space="preserve">PP                                          </w:t>
      </w:r>
      <w:r w:rsidRPr="00082B20">
        <w:rPr>
          <w:rFonts w:ascii="Times New Roman" w:hAnsi="Times New Roman" w:cs="Times New Roman"/>
          <w:b/>
          <w:sz w:val="24"/>
          <w:szCs w:val="24"/>
        </w:rPr>
        <w:tab/>
      </w:r>
      <w:r w:rsidRPr="00082B20">
        <w:rPr>
          <w:rFonts w:ascii="Times New Roman" w:hAnsi="Times New Roman" w:cs="Times New Roman"/>
          <w:b/>
          <w:sz w:val="24"/>
          <w:szCs w:val="24"/>
        </w:rPr>
        <w:tab/>
      </w:r>
      <w:r w:rsidRPr="00082B20">
        <w:rPr>
          <w:rFonts w:ascii="Times New Roman" w:hAnsi="Times New Roman" w:cs="Times New Roman"/>
          <w:sz w:val="24"/>
          <w:szCs w:val="24"/>
        </w:rPr>
        <w:t>Pikë Përqindje</w:t>
      </w:r>
    </w:p>
    <w:p w:rsidR="009354F2" w:rsidRPr="00082B20"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082B20">
        <w:rPr>
          <w:rFonts w:ascii="Times New Roman" w:hAnsi="Times New Roman" w:cs="Times New Roman"/>
          <w:b/>
          <w:sz w:val="24"/>
          <w:szCs w:val="24"/>
        </w:rPr>
        <w:t xml:space="preserve">PB                       </w:t>
      </w:r>
      <w:r w:rsidR="00D4722B" w:rsidRPr="00082B20">
        <w:rPr>
          <w:rFonts w:ascii="Times New Roman" w:hAnsi="Times New Roman" w:cs="Times New Roman"/>
          <w:b/>
          <w:sz w:val="24"/>
          <w:szCs w:val="24"/>
        </w:rPr>
        <w:t xml:space="preserve">                                </w:t>
      </w:r>
      <w:r w:rsidRPr="00082B20">
        <w:rPr>
          <w:rFonts w:ascii="Times New Roman" w:hAnsi="Times New Roman" w:cs="Times New Roman"/>
          <w:sz w:val="24"/>
          <w:szCs w:val="24"/>
        </w:rPr>
        <w:t>Pikë Bazë</w:t>
      </w:r>
    </w:p>
    <w:p w:rsidR="009354F2" w:rsidRPr="00082B20"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082B20">
        <w:rPr>
          <w:rFonts w:ascii="Times New Roman" w:hAnsi="Times New Roman" w:cs="Times New Roman"/>
          <w:b/>
          <w:sz w:val="24"/>
          <w:szCs w:val="24"/>
        </w:rPr>
        <w:t xml:space="preserve">SAMB                                                </w:t>
      </w:r>
      <w:r w:rsidRPr="00082B20">
        <w:rPr>
          <w:rFonts w:ascii="Times New Roman" w:hAnsi="Times New Roman" w:cs="Times New Roman"/>
          <w:sz w:val="24"/>
          <w:szCs w:val="24"/>
        </w:rPr>
        <w:t>Strategjia Afatmesme e Menaxhimit të Borxhit</w:t>
      </w:r>
    </w:p>
    <w:p w:rsidR="009354F2" w:rsidRPr="00082B20" w:rsidRDefault="009354F2" w:rsidP="009354F2">
      <w:pPr>
        <w:spacing w:after="0" w:line="360" w:lineRule="auto"/>
        <w:ind w:left="284" w:right="-46" w:hanging="284"/>
        <w:rPr>
          <w:rFonts w:ascii="Cambria" w:eastAsia="Times New Roman" w:hAnsi="Cambria"/>
          <w:b/>
          <w:noProof/>
          <w:color w:val="833C0B" w:themeColor="accent2" w:themeShade="80"/>
          <w:sz w:val="24"/>
          <w:szCs w:val="24"/>
        </w:rPr>
      </w:pPr>
      <w:r w:rsidRPr="00082B20">
        <w:rPr>
          <w:rFonts w:ascii="Times New Roman" w:hAnsi="Times New Roman" w:cs="Times New Roman"/>
          <w:b/>
          <w:sz w:val="24"/>
          <w:szCs w:val="24"/>
        </w:rPr>
        <w:t>USD</w:t>
      </w:r>
      <w:r w:rsidRPr="00082B20">
        <w:rPr>
          <w:rFonts w:ascii="Times New Roman" w:hAnsi="Times New Roman" w:cs="Times New Roman"/>
          <w:sz w:val="24"/>
          <w:szCs w:val="24"/>
        </w:rPr>
        <w:t xml:space="preserve"> </w:t>
      </w:r>
      <w:r w:rsidRPr="00082B20">
        <w:rPr>
          <w:rFonts w:ascii="Times New Roman" w:hAnsi="Times New Roman" w:cs="Times New Roman"/>
          <w:sz w:val="24"/>
          <w:szCs w:val="24"/>
        </w:rPr>
        <w:tab/>
      </w:r>
      <w:r w:rsidRPr="00082B20">
        <w:rPr>
          <w:rFonts w:ascii="Times New Roman" w:hAnsi="Times New Roman" w:cs="Times New Roman"/>
          <w:sz w:val="24"/>
          <w:szCs w:val="24"/>
        </w:rPr>
        <w:tab/>
      </w:r>
      <w:r w:rsidRPr="00082B20">
        <w:rPr>
          <w:rFonts w:ascii="Times New Roman" w:hAnsi="Times New Roman" w:cs="Times New Roman"/>
          <w:sz w:val="24"/>
          <w:szCs w:val="24"/>
        </w:rPr>
        <w:tab/>
      </w:r>
      <w:r w:rsidRPr="00082B20">
        <w:rPr>
          <w:rFonts w:ascii="Times New Roman" w:hAnsi="Times New Roman" w:cs="Times New Roman"/>
          <w:sz w:val="24"/>
          <w:szCs w:val="24"/>
        </w:rPr>
        <w:tab/>
      </w:r>
      <w:r w:rsidRPr="00082B20">
        <w:rPr>
          <w:rFonts w:ascii="Times New Roman" w:hAnsi="Times New Roman" w:cs="Times New Roman"/>
          <w:sz w:val="24"/>
          <w:szCs w:val="24"/>
        </w:rPr>
        <w:tab/>
      </w:r>
      <w:r w:rsidR="00B308B7" w:rsidRPr="00082B20">
        <w:rPr>
          <w:rFonts w:ascii="Times New Roman" w:hAnsi="Times New Roman" w:cs="Times New Roman"/>
          <w:sz w:val="24"/>
          <w:szCs w:val="24"/>
        </w:rPr>
        <w:t>Monedha Shteteve të Bashkuara të Amerikës</w:t>
      </w:r>
    </w:p>
    <w:p w:rsidR="009354F2" w:rsidRPr="00082B20" w:rsidRDefault="004F7EA2" w:rsidP="009354F2">
      <w:pPr>
        <w:spacing w:after="0" w:line="360" w:lineRule="auto"/>
        <w:ind w:left="284" w:right="-46" w:hanging="284"/>
        <w:rPr>
          <w:rFonts w:ascii="Times New Roman" w:hAnsi="Times New Roman" w:cs="Times New Roman"/>
          <w:sz w:val="24"/>
          <w:szCs w:val="24"/>
        </w:rPr>
      </w:pPr>
      <w:r w:rsidRPr="00082B20">
        <w:rPr>
          <w:rFonts w:ascii="Times New Roman" w:hAnsi="Times New Roman" w:cs="Times New Roman"/>
          <w:b/>
          <w:sz w:val="24"/>
          <w:szCs w:val="24"/>
        </w:rPr>
        <w:t>N</w:t>
      </w:r>
      <w:r w:rsidR="009354F2" w:rsidRPr="00082B20">
        <w:rPr>
          <w:rFonts w:ascii="Times New Roman" w:hAnsi="Times New Roman" w:cs="Times New Roman"/>
          <w:b/>
          <w:sz w:val="24"/>
          <w:szCs w:val="24"/>
        </w:rPr>
        <w:t xml:space="preserve">MP </w:t>
      </w:r>
      <w:r w:rsidR="009354F2" w:rsidRPr="00082B20">
        <w:rPr>
          <w:rFonts w:ascii="Times New Roman" w:hAnsi="Times New Roman" w:cs="Times New Roman"/>
          <w:sz w:val="24"/>
          <w:szCs w:val="24"/>
        </w:rPr>
        <w:tab/>
      </w:r>
      <w:r w:rsidR="009354F2" w:rsidRPr="00082B20">
        <w:rPr>
          <w:rFonts w:ascii="Times New Roman" w:hAnsi="Times New Roman" w:cs="Times New Roman"/>
          <w:sz w:val="24"/>
          <w:szCs w:val="24"/>
        </w:rPr>
        <w:tab/>
      </w:r>
      <w:r w:rsidR="009354F2" w:rsidRPr="00082B20">
        <w:rPr>
          <w:rFonts w:ascii="Times New Roman" w:hAnsi="Times New Roman" w:cs="Times New Roman"/>
          <w:sz w:val="24"/>
          <w:szCs w:val="24"/>
        </w:rPr>
        <w:tab/>
      </w:r>
      <w:r w:rsidR="009354F2" w:rsidRPr="00082B20">
        <w:rPr>
          <w:rFonts w:ascii="Times New Roman" w:hAnsi="Times New Roman" w:cs="Times New Roman"/>
          <w:sz w:val="24"/>
          <w:szCs w:val="24"/>
        </w:rPr>
        <w:tab/>
      </w:r>
      <w:r w:rsidR="009354F2" w:rsidRPr="00082B20">
        <w:rPr>
          <w:rFonts w:ascii="Times New Roman" w:hAnsi="Times New Roman" w:cs="Times New Roman"/>
          <w:sz w:val="24"/>
          <w:szCs w:val="24"/>
        </w:rPr>
        <w:tab/>
      </w:r>
      <w:r w:rsidRPr="00082B20">
        <w:rPr>
          <w:rFonts w:ascii="Times New Roman" w:hAnsi="Times New Roman" w:cs="Times New Roman"/>
          <w:sz w:val="24"/>
          <w:szCs w:val="24"/>
        </w:rPr>
        <w:t>Norma</w:t>
      </w:r>
      <w:r w:rsidR="009354F2" w:rsidRPr="00082B20">
        <w:rPr>
          <w:rFonts w:ascii="Times New Roman" w:hAnsi="Times New Roman" w:cs="Times New Roman"/>
          <w:sz w:val="24"/>
          <w:szCs w:val="24"/>
        </w:rPr>
        <w:t xml:space="preserve"> Mesatar</w:t>
      </w:r>
      <w:r w:rsidRPr="00082B20">
        <w:rPr>
          <w:rFonts w:ascii="Times New Roman" w:hAnsi="Times New Roman" w:cs="Times New Roman"/>
          <w:sz w:val="24"/>
          <w:szCs w:val="24"/>
        </w:rPr>
        <w:t>e</w:t>
      </w:r>
      <w:r w:rsidR="009354F2" w:rsidRPr="00082B20">
        <w:rPr>
          <w:rFonts w:ascii="Times New Roman" w:hAnsi="Times New Roman" w:cs="Times New Roman"/>
          <w:sz w:val="24"/>
          <w:szCs w:val="24"/>
        </w:rPr>
        <w:t xml:space="preserve"> </w:t>
      </w:r>
      <w:r w:rsidRPr="00082B20">
        <w:rPr>
          <w:rFonts w:ascii="Times New Roman" w:hAnsi="Times New Roman" w:cs="Times New Roman"/>
          <w:sz w:val="24"/>
          <w:szCs w:val="24"/>
        </w:rPr>
        <w:t>e</w:t>
      </w:r>
      <w:r w:rsidR="009354F2" w:rsidRPr="00082B20">
        <w:rPr>
          <w:rFonts w:ascii="Times New Roman" w:hAnsi="Times New Roman" w:cs="Times New Roman"/>
          <w:sz w:val="24"/>
          <w:szCs w:val="24"/>
        </w:rPr>
        <w:t xml:space="preserve"> Ponderuar</w:t>
      </w:r>
    </w:p>
    <w:p w:rsidR="009354F2" w:rsidRPr="00082B20" w:rsidRDefault="009354F2" w:rsidP="009354F2">
      <w:pPr>
        <w:ind w:right="-46"/>
        <w:rPr>
          <w:noProof/>
        </w:rPr>
      </w:pPr>
    </w:p>
    <w:p w:rsidR="009354F2" w:rsidRPr="00082B20" w:rsidRDefault="009354F2" w:rsidP="009354F2">
      <w:pPr>
        <w:ind w:right="-46"/>
        <w:rPr>
          <w:noProof/>
        </w:rPr>
      </w:pPr>
    </w:p>
    <w:p w:rsidR="009354F2" w:rsidRPr="00082B20" w:rsidRDefault="009354F2" w:rsidP="009354F2">
      <w:pPr>
        <w:ind w:right="-46"/>
        <w:rPr>
          <w:noProof/>
        </w:rPr>
      </w:pPr>
    </w:p>
    <w:p w:rsidR="006975DB" w:rsidRPr="00082B20" w:rsidRDefault="006975DB" w:rsidP="009354F2">
      <w:pPr>
        <w:ind w:right="-46"/>
        <w:rPr>
          <w:noProof/>
        </w:rPr>
      </w:pPr>
    </w:p>
    <w:p w:rsidR="006975DB" w:rsidRPr="00082B20" w:rsidRDefault="006975DB" w:rsidP="009354F2">
      <w:pPr>
        <w:ind w:right="-46"/>
        <w:rPr>
          <w:noProof/>
        </w:rPr>
      </w:pPr>
    </w:p>
    <w:p w:rsidR="006975DB" w:rsidRPr="00082B20" w:rsidRDefault="006975DB" w:rsidP="009354F2">
      <w:pPr>
        <w:ind w:right="-46"/>
        <w:rPr>
          <w:noProof/>
        </w:rPr>
      </w:pPr>
    </w:p>
    <w:p w:rsidR="006975DB" w:rsidRPr="00082B20" w:rsidRDefault="006975DB" w:rsidP="009354F2">
      <w:pPr>
        <w:ind w:right="-46"/>
        <w:rPr>
          <w:noProof/>
        </w:rPr>
      </w:pPr>
    </w:p>
    <w:p w:rsidR="006975DB" w:rsidRPr="00082B20" w:rsidRDefault="006975DB" w:rsidP="009354F2">
      <w:pPr>
        <w:ind w:right="-46"/>
        <w:rPr>
          <w:noProof/>
        </w:rPr>
      </w:pPr>
    </w:p>
    <w:p w:rsidR="006975DB" w:rsidRPr="00082B20" w:rsidRDefault="006975DB" w:rsidP="009354F2">
      <w:pPr>
        <w:ind w:right="-46"/>
        <w:rPr>
          <w:noProof/>
        </w:rPr>
      </w:pPr>
    </w:p>
    <w:p w:rsidR="006975DB" w:rsidRPr="00082B20" w:rsidRDefault="006975DB" w:rsidP="009354F2">
      <w:pPr>
        <w:ind w:right="-46"/>
        <w:rPr>
          <w:noProof/>
        </w:rPr>
      </w:pPr>
    </w:p>
    <w:p w:rsidR="006975DB" w:rsidRPr="00082B20" w:rsidRDefault="006975DB" w:rsidP="009354F2">
      <w:pPr>
        <w:ind w:right="-46"/>
        <w:rPr>
          <w:noProof/>
        </w:rPr>
      </w:pPr>
    </w:p>
    <w:p w:rsidR="006975DB" w:rsidRPr="00082B20" w:rsidRDefault="006975DB" w:rsidP="009354F2">
      <w:pPr>
        <w:ind w:right="-46"/>
        <w:rPr>
          <w:noProof/>
        </w:rPr>
      </w:pPr>
    </w:p>
    <w:p w:rsidR="004F7EA2" w:rsidRPr="00082B20" w:rsidRDefault="004F7EA2" w:rsidP="009354F2">
      <w:pPr>
        <w:ind w:right="-46"/>
        <w:rPr>
          <w:noProof/>
        </w:rPr>
      </w:pPr>
    </w:p>
    <w:p w:rsidR="009354F2" w:rsidRPr="00082B20" w:rsidRDefault="009354F2" w:rsidP="009354F2">
      <w:pPr>
        <w:ind w:right="-46"/>
        <w:rPr>
          <w:rFonts w:ascii="Cambria" w:eastAsia="Times New Roman" w:hAnsi="Cambria"/>
          <w:b/>
          <w:noProof/>
          <w:u w:val="single"/>
        </w:rPr>
      </w:pPr>
    </w:p>
    <w:p w:rsidR="009354F2" w:rsidRPr="00082B20" w:rsidRDefault="009354F2" w:rsidP="00197C26">
      <w:pPr>
        <w:spacing w:after="0" w:line="276" w:lineRule="auto"/>
        <w:ind w:right="-46"/>
        <w:jc w:val="both"/>
        <w:rPr>
          <w:rFonts w:ascii="Cambria" w:eastAsia="Times New Roman" w:hAnsi="Cambria"/>
          <w:b/>
          <w:noProof/>
          <w:sz w:val="24"/>
        </w:rPr>
      </w:pPr>
      <w:r w:rsidRPr="00082B20">
        <w:rPr>
          <w:rFonts w:ascii="Cambria" w:eastAsia="Times New Roman" w:hAnsi="Cambria"/>
          <w:b/>
          <w:noProof/>
          <w:sz w:val="24"/>
        </w:rPr>
        <w:t>FJALOR SHPJEGUES</w:t>
      </w:r>
    </w:p>
    <w:p w:rsidR="009354F2" w:rsidRPr="00082B20" w:rsidRDefault="009354F2" w:rsidP="00197C26">
      <w:pPr>
        <w:spacing w:after="0" w:line="276" w:lineRule="auto"/>
        <w:ind w:right="-46"/>
        <w:jc w:val="both"/>
        <w:rPr>
          <w:rFonts w:ascii="Cambria" w:eastAsia="Times New Roman" w:hAnsi="Cambria"/>
          <w:b/>
          <w:noProof/>
          <w:color w:val="C00000"/>
          <w:sz w:val="24"/>
        </w:rPr>
      </w:pPr>
    </w:p>
    <w:p w:rsidR="009354F2" w:rsidRPr="00082B20" w:rsidRDefault="009354F2" w:rsidP="00197C26">
      <w:pPr>
        <w:spacing w:after="0" w:line="276" w:lineRule="auto"/>
        <w:ind w:right="-46"/>
        <w:jc w:val="both"/>
        <w:rPr>
          <w:rFonts w:ascii="Cambria" w:eastAsia="Times New Roman" w:hAnsi="Cambria"/>
          <w:b/>
          <w:noProof/>
          <w:sz w:val="6"/>
          <w:szCs w:val="6"/>
        </w:rPr>
      </w:pPr>
    </w:p>
    <w:p w:rsidR="009354F2" w:rsidRPr="00082B20"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082B20">
        <w:rPr>
          <w:rFonts w:ascii="Cambria" w:eastAsia="Times New Roman" w:hAnsi="Cambria" w:cs="Times New Roman"/>
          <w:b/>
          <w:noProof/>
          <w:sz w:val="24"/>
          <w:szCs w:val="24"/>
        </w:rPr>
        <w:t xml:space="preserve">Ankande shkëmbimi </w:t>
      </w:r>
      <w:r w:rsidRPr="00082B20">
        <w:rPr>
          <w:rFonts w:ascii="Cambria" w:eastAsia="Times New Roman" w:hAnsi="Cambria" w:cs="Times New Roman"/>
          <w:b/>
          <w:i/>
          <w:noProof/>
          <w:sz w:val="24"/>
          <w:szCs w:val="24"/>
        </w:rPr>
        <w:t xml:space="preserve">(exchange auctions) </w:t>
      </w:r>
      <w:r w:rsidRPr="00082B20">
        <w:rPr>
          <w:rFonts w:ascii="Times New Roman" w:eastAsia="Times New Roman" w:hAnsi="Times New Roman" w:cs="Times New Roman"/>
          <w:b/>
          <w:noProof/>
          <w:sz w:val="24"/>
          <w:szCs w:val="24"/>
        </w:rPr>
        <w:t>–</w:t>
      </w:r>
      <w:r w:rsidRPr="00082B20">
        <w:rPr>
          <w:rFonts w:ascii="Times New Roman" w:eastAsia="Times New Roman" w:hAnsi="Times New Roman" w:cs="Times New Roman"/>
          <w:noProof/>
          <w:sz w:val="24"/>
          <w:szCs w:val="24"/>
        </w:rPr>
        <w:t xml:space="preserve"> Parablerja e titujve shtetërorë më përpara datës së maturimit, ndërkohë që transaksioni kryhet duke e paguar mbajtësin e titullit të parablerë me një titull të emetuar rishtazi.</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0"/>
          <w:szCs w:val="20"/>
          <w:lang w:eastAsia="ko-KR"/>
        </w:rPr>
      </w:pP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082B20">
        <w:rPr>
          <w:rFonts w:ascii="Cambria" w:eastAsia="Batang" w:hAnsi="Cambria" w:cs="Times New Roman"/>
          <w:b/>
          <w:noProof/>
          <w:color w:val="000000"/>
          <w:sz w:val="24"/>
          <w:szCs w:val="24"/>
        </w:rPr>
        <w:t>Borxh</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color w:val="000000"/>
          <w:sz w:val="24"/>
          <w:szCs w:val="24"/>
        </w:rPr>
        <w:t>Referuar si “Borxh Total” ose “Totali i detyrimeve të borxhit”, konsiston në të gjitha detyrimet që janë instrumente borxhi.</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0"/>
          <w:szCs w:val="20"/>
          <w:lang w:eastAsia="ko-KR"/>
        </w:rPr>
      </w:pP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082B20">
        <w:rPr>
          <w:rFonts w:ascii="Cambria" w:eastAsia="Batang" w:hAnsi="Cambria" w:cs="Times New Roman"/>
          <w:b/>
          <w:noProof/>
          <w:color w:val="000000"/>
          <w:sz w:val="24"/>
          <w:szCs w:val="24"/>
        </w:rPr>
        <w:t>Borxh afatgjatë</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color w:val="000000"/>
          <w:sz w:val="24"/>
          <w:szCs w:val="24"/>
        </w:rPr>
        <w:t>Borxh me afat maturimi më të lartë se një vit.</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0"/>
          <w:szCs w:val="20"/>
          <w:lang w:eastAsia="ko-KR"/>
        </w:rPr>
      </w:pP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082B20">
        <w:rPr>
          <w:rFonts w:ascii="Cambria" w:eastAsia="Batang" w:hAnsi="Cambria" w:cs="Times New Roman"/>
          <w:b/>
          <w:noProof/>
          <w:color w:val="000000"/>
          <w:sz w:val="24"/>
          <w:szCs w:val="24"/>
        </w:rPr>
        <w:t>Borxh i brendshëm</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color w:val="000000"/>
          <w:sz w:val="24"/>
          <w:szCs w:val="24"/>
        </w:rPr>
        <w:t>Detyrimet e borxhit të rezidentëve të një vendi ndaj rezidentëve të po atij vendi.</w:t>
      </w: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0"/>
          <w:szCs w:val="20"/>
        </w:rPr>
      </w:pP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082B20">
        <w:rPr>
          <w:rFonts w:ascii="Cambria" w:eastAsia="Batang" w:hAnsi="Cambria" w:cs="Times New Roman"/>
          <w:b/>
          <w:noProof/>
          <w:color w:val="000000"/>
          <w:sz w:val="24"/>
          <w:szCs w:val="24"/>
        </w:rPr>
        <w:t>Borxh i jashtëm</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color w:val="000000"/>
          <w:sz w:val="24"/>
          <w:szCs w:val="24"/>
        </w:rPr>
        <w:t>Detyrimet e borxhit të rezidentëve të një vendi ndaj jo rezidentëve.</w:t>
      </w: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0"/>
          <w:szCs w:val="20"/>
        </w:rPr>
      </w:pP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082B20">
        <w:rPr>
          <w:rFonts w:ascii="Cambria" w:eastAsia="Batang" w:hAnsi="Cambria" w:cs="Times New Roman"/>
          <w:b/>
          <w:noProof/>
          <w:color w:val="000000"/>
          <w:sz w:val="24"/>
          <w:szCs w:val="24"/>
        </w:rPr>
        <w:t>Borxhi publik i garantuar</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color w:val="000000"/>
          <w:sz w:val="24"/>
          <w:szCs w:val="24"/>
        </w:rPr>
        <w:t>Detyrimet e borxhit të sektorit publik dhe privat, shërbimi i të cilit është i garantuar me marrëveshje nga njësitë e sektorit publik.</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082B20">
        <w:rPr>
          <w:rFonts w:ascii="Cambria" w:eastAsia="Batang" w:hAnsi="Cambria" w:cs="Times New Roman"/>
          <w:b/>
          <w:noProof/>
          <w:sz w:val="24"/>
          <w:szCs w:val="24"/>
          <w:lang w:eastAsia="ko-KR"/>
        </w:rPr>
        <w:t>Buyback</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lang w:eastAsia="ko-KR"/>
        </w:rPr>
        <w:t>Është forma e ndërsjellë e emetimit të titujve shtetërorë, e cila mundëson maturimin e parakohëshëm të një titull shtetëror.</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0"/>
          <w:szCs w:val="20"/>
          <w:lang w:eastAsia="ko-KR"/>
        </w:rPr>
      </w:pP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082B20">
        <w:rPr>
          <w:rFonts w:ascii="Cambria" w:eastAsia="Batang" w:hAnsi="Cambria" w:cs="Times New Roman"/>
          <w:b/>
          <w:noProof/>
          <w:color w:val="000000"/>
          <w:sz w:val="24"/>
          <w:szCs w:val="24"/>
        </w:rPr>
        <w:t>Disbursim</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color w:val="000000"/>
          <w:sz w:val="24"/>
          <w:szCs w:val="24"/>
        </w:rPr>
        <w:t>Transaksioni i vënies në dispozicion të burimeve financiare.</w:t>
      </w: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0"/>
          <w:szCs w:val="20"/>
        </w:rPr>
      </w:pP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082B20">
        <w:rPr>
          <w:rFonts w:ascii="Cambria" w:eastAsia="Batang" w:hAnsi="Cambria" w:cs="Times New Roman"/>
          <w:b/>
          <w:noProof/>
          <w:color w:val="000000"/>
          <w:sz w:val="24"/>
          <w:szCs w:val="24"/>
        </w:rPr>
        <w:t>Eurobond</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color w:val="000000"/>
          <w:sz w:val="24"/>
          <w:szCs w:val="24"/>
        </w:rPr>
        <w:t>Një obligacion (</w:t>
      </w:r>
      <w:r w:rsidRPr="00082B20">
        <w:rPr>
          <w:rFonts w:ascii="Times New Roman" w:eastAsia="Batang" w:hAnsi="Times New Roman" w:cs="Times New Roman"/>
          <w:i/>
          <w:noProof/>
          <w:color w:val="000000"/>
          <w:sz w:val="24"/>
          <w:szCs w:val="24"/>
        </w:rPr>
        <w:t>titull financiar</w:t>
      </w:r>
      <w:r w:rsidRPr="00082B20">
        <w:rPr>
          <w:rFonts w:ascii="Times New Roman" w:eastAsia="Batang" w:hAnsi="Times New Roman" w:cs="Times New Roman"/>
          <w:noProof/>
          <w:color w:val="000000"/>
          <w:sz w:val="24"/>
          <w:szCs w:val="24"/>
        </w:rPr>
        <w:t>) me afat maturimi më shumë se një vit i emetuar dhe tregtuar në tregjet ndërkombëtare financiare, jashtë kufijve të vendit që e emeton atë.</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color w:val="800000"/>
          <w:sz w:val="20"/>
          <w:szCs w:val="20"/>
          <w:lang w:eastAsia="ko-KR"/>
        </w:rPr>
      </w:pPr>
    </w:p>
    <w:p w:rsidR="009354F2" w:rsidRPr="00082B20" w:rsidRDefault="009354F2" w:rsidP="00197C26">
      <w:pPr>
        <w:tabs>
          <w:tab w:val="left" w:pos="360"/>
        </w:tabs>
        <w:spacing w:after="0" w:line="240" w:lineRule="auto"/>
        <w:ind w:right="-46"/>
        <w:jc w:val="both"/>
        <w:rPr>
          <w:rFonts w:ascii="Times New Roman" w:eastAsia="Batang" w:hAnsi="Times New Roman" w:cs="Times New Roman"/>
          <w:noProof/>
          <w:sz w:val="24"/>
          <w:szCs w:val="24"/>
        </w:rPr>
      </w:pPr>
      <w:r w:rsidRPr="00082B20">
        <w:rPr>
          <w:rFonts w:ascii="Cambria" w:eastAsia="Times New Roman" w:hAnsi="Cambria" w:cs="Times New Roman"/>
          <w:b/>
          <w:noProof/>
          <w:sz w:val="24"/>
          <w:szCs w:val="24"/>
        </w:rPr>
        <w:t xml:space="preserve">Kreditor dypalësh </w:t>
      </w:r>
      <w:r w:rsidRPr="00082B20">
        <w:rPr>
          <w:rFonts w:ascii="Times New Roman" w:eastAsia="Batang" w:hAnsi="Times New Roman" w:cs="Times New Roman"/>
          <w:b/>
          <w:noProof/>
          <w:sz w:val="24"/>
          <w:szCs w:val="24"/>
          <w:lang w:eastAsia="ko-KR"/>
        </w:rPr>
        <w:t xml:space="preserve">– </w:t>
      </w:r>
      <w:r w:rsidRPr="00082B20">
        <w:rPr>
          <w:rFonts w:ascii="Times New Roman" w:eastAsia="Batang" w:hAnsi="Times New Roman" w:cs="Times New Roman"/>
          <w:noProof/>
          <w:sz w:val="24"/>
          <w:szCs w:val="24"/>
        </w:rPr>
        <w:t>Tipi i kreditorëve si qeveritë dhe agjencitë e tyre.</w:t>
      </w:r>
    </w:p>
    <w:p w:rsidR="009354F2" w:rsidRPr="00082B20" w:rsidRDefault="009354F2" w:rsidP="00197C26">
      <w:pPr>
        <w:tabs>
          <w:tab w:val="left" w:pos="360"/>
        </w:tabs>
        <w:spacing w:after="0" w:line="240" w:lineRule="auto"/>
        <w:ind w:right="-46"/>
        <w:jc w:val="both"/>
        <w:rPr>
          <w:rFonts w:ascii="Times New Roman" w:eastAsia="Batang" w:hAnsi="Times New Roman" w:cs="Times New Roman"/>
          <w:noProof/>
          <w:sz w:val="20"/>
          <w:szCs w:val="20"/>
        </w:rPr>
      </w:pPr>
    </w:p>
    <w:p w:rsidR="009354F2" w:rsidRPr="00082B20" w:rsidRDefault="009354F2" w:rsidP="00197C26">
      <w:pPr>
        <w:spacing w:after="0" w:line="23" w:lineRule="atLeast"/>
        <w:ind w:right="-46"/>
        <w:jc w:val="both"/>
        <w:rPr>
          <w:rFonts w:ascii="Times New Roman" w:eastAsia="Batang" w:hAnsi="Times New Roman" w:cs="Times New Roman"/>
          <w:noProof/>
          <w:color w:val="000000"/>
          <w:sz w:val="24"/>
          <w:szCs w:val="24"/>
        </w:rPr>
      </w:pPr>
      <w:r w:rsidRPr="00082B20">
        <w:rPr>
          <w:rFonts w:ascii="Cambria" w:eastAsia="Batang" w:hAnsi="Cambria" w:cs="Times New Roman"/>
          <w:b/>
          <w:noProof/>
          <w:color w:val="000000"/>
          <w:sz w:val="24"/>
          <w:szCs w:val="24"/>
        </w:rPr>
        <w:t>Kredi koncesionale</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color w:val="000000"/>
          <w:sz w:val="24"/>
          <w:szCs w:val="24"/>
        </w:rPr>
        <w:t>Kredi me terma më të favorshme se ato të tregut.</w:t>
      </w:r>
    </w:p>
    <w:p w:rsidR="009354F2" w:rsidRPr="00082B20" w:rsidRDefault="009354F2" w:rsidP="00197C26">
      <w:pPr>
        <w:tabs>
          <w:tab w:val="left" w:pos="360"/>
        </w:tabs>
        <w:spacing w:after="0" w:line="240" w:lineRule="auto"/>
        <w:ind w:right="-46"/>
        <w:jc w:val="both"/>
        <w:rPr>
          <w:rFonts w:ascii="Times New Roman" w:eastAsia="Batang" w:hAnsi="Times New Roman" w:cs="Times New Roman"/>
          <w:noProof/>
          <w:sz w:val="20"/>
          <w:szCs w:val="20"/>
        </w:rPr>
      </w:pPr>
    </w:p>
    <w:p w:rsidR="009354F2" w:rsidRPr="00082B20"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082B20">
        <w:rPr>
          <w:rFonts w:ascii="Cambria" w:eastAsia="Times New Roman" w:hAnsi="Cambria" w:cs="Times New Roman"/>
          <w:b/>
          <w:noProof/>
          <w:sz w:val="24"/>
          <w:szCs w:val="24"/>
        </w:rPr>
        <w:t>Kreditor shumëpalësh</w:t>
      </w:r>
      <w:r w:rsidRPr="00082B20">
        <w:rPr>
          <w:rFonts w:ascii="Times New Roman" w:eastAsia="Times New Roman" w:hAnsi="Times New Roman" w:cs="Times New Roman"/>
          <w:b/>
          <w:noProof/>
          <w:sz w:val="24"/>
          <w:szCs w:val="24"/>
        </w:rPr>
        <w:t xml:space="preserve"> –</w:t>
      </w:r>
      <w:r w:rsidRPr="00082B20">
        <w:rPr>
          <w:rFonts w:ascii="Times New Roman" w:eastAsia="Times New Roman" w:hAnsi="Times New Roman" w:cs="Times New Roman"/>
          <w:noProof/>
          <w:sz w:val="24"/>
          <w:szCs w:val="24"/>
        </w:rPr>
        <w:t xml:space="preserve"> Tipi i kreditorëve që përfshinë institucionet financiare si Banka Botërore, FMN, etj..</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color w:val="800000"/>
          <w:sz w:val="20"/>
          <w:szCs w:val="20"/>
          <w:lang w:eastAsia="ko-KR"/>
        </w:rPr>
      </w:pPr>
    </w:p>
    <w:p w:rsidR="009354F2" w:rsidRPr="00082B20"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4"/>
          <w:szCs w:val="24"/>
        </w:rPr>
      </w:pPr>
      <w:r w:rsidRPr="00082B20">
        <w:rPr>
          <w:rFonts w:ascii="Cambria" w:eastAsia="Batang" w:hAnsi="Cambria" w:cs="Times New Roman"/>
          <w:b/>
          <w:noProof/>
          <w:sz w:val="24"/>
          <w:szCs w:val="24"/>
        </w:rPr>
        <w:t>Kreditorë privatë</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rPr>
        <w:t>Kreditorët që nuk janë as qeveri dhe as agjenci të sektorit publik. Këto përfshijnë mbajtësit privatë të titujve shtetërorë, bankat private dhe institucionet e tjera financiare.</w:t>
      </w:r>
    </w:p>
    <w:p w:rsidR="009354F2" w:rsidRPr="00082B20"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0"/>
          <w:szCs w:val="20"/>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r w:rsidRPr="00082B20">
        <w:rPr>
          <w:rFonts w:ascii="Cambria" w:eastAsia="Batang" w:hAnsi="Cambria" w:cs="Times New Roman"/>
          <w:b/>
          <w:noProof/>
          <w:sz w:val="24"/>
          <w:szCs w:val="24"/>
          <w:lang w:eastAsia="ko-KR"/>
        </w:rPr>
        <w:t>KMM</w:t>
      </w:r>
      <w:r w:rsidRPr="00082B20">
        <w:rPr>
          <w:rFonts w:ascii="Times New Roman" w:eastAsia="Batang" w:hAnsi="Times New Roman" w:cs="Times New Roman"/>
          <w:b/>
          <w:i/>
          <w:noProof/>
          <w:sz w:val="24"/>
          <w:szCs w:val="24"/>
          <w:lang w:eastAsia="ko-KR"/>
        </w:rPr>
        <w:t xml:space="preserve"> </w:t>
      </w:r>
      <w:r w:rsidRPr="00082B20">
        <w:rPr>
          <w:rFonts w:ascii="Times New Roman" w:eastAsia="Batang" w:hAnsi="Times New Roman" w:cs="Times New Roman"/>
          <w:b/>
          <w:noProof/>
          <w:color w:val="000000"/>
          <w:sz w:val="24"/>
          <w:szCs w:val="24"/>
          <w:lang w:eastAsia="ko-KR"/>
        </w:rPr>
        <w:t>–</w:t>
      </w:r>
      <w:r w:rsidRPr="00082B20">
        <w:rPr>
          <w:rFonts w:ascii="Times New Roman" w:eastAsia="Batang" w:hAnsi="Times New Roman" w:cs="Times New Roman"/>
          <w:noProof/>
          <w:color w:val="000000"/>
          <w:sz w:val="24"/>
          <w:szCs w:val="24"/>
          <w:lang w:eastAsia="ko-KR"/>
        </w:rPr>
        <w:t xml:space="preserve"> Tregues i riskut të ri-financimit për borxhin. KMM është periudha mesatare e shprehur në ditë ose në vite, që i duhet portofolit të borxhit për t’u maturuar. Sa më larg në kohë të jetë e projektuar data e maturimit të një instrumenti, aq më i ulët është risku i ri-financimit dhe aq më e lartë është vlera e këtij treguesi. KMM për instrumentet financiarë të borxhit përllogaritet sipas formulës së mëposhtme:</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u w:val="single"/>
          <w:lang w:eastAsia="ko-KR"/>
        </w:rPr>
      </w:pPr>
      <m:oMathPara>
        <m:oMathParaPr>
          <m:jc m:val="left"/>
        </m:oMathParaPr>
        <m:oMath>
          <m:r>
            <m:rPr>
              <m:sty m:val="p"/>
            </m:rPr>
            <w:rPr>
              <w:rFonts w:ascii="Cambria Math" w:eastAsia="Batang" w:hAnsi="Cambria Math" w:cs="Cambria Math"/>
              <w:noProof/>
              <w:color w:val="000000"/>
              <w:sz w:val="24"/>
              <w:szCs w:val="24"/>
              <w:lang w:eastAsia="ko-KR"/>
            </w:rPr>
            <m:t>KMM=</m:t>
          </m:r>
          <m:f>
            <m:fPr>
              <m:ctrlPr>
                <w:rPr>
                  <w:rFonts w:ascii="Cambria Math" w:eastAsia="Batang" w:hAnsi="Cambria Math" w:cs="Times New Roman"/>
                  <w:noProof/>
                  <w:color w:val="000000"/>
                  <w:sz w:val="24"/>
                  <w:szCs w:val="24"/>
                  <w:lang w:eastAsia="ko-KR"/>
                </w:rPr>
              </m:ctrlPr>
            </m:fPr>
            <m:num>
              <m:r>
                <m:rPr>
                  <m:sty m:val="p"/>
                </m:rPr>
                <w:rPr>
                  <w:rFonts w:ascii="Cambria Math" w:eastAsia="Batang" w:hAnsi="Cambria Math" w:cs="Times New Roman"/>
                  <w:noProof/>
                  <w:color w:val="000000"/>
                  <w:sz w:val="24"/>
                  <w:szCs w:val="24"/>
                  <w:lang w:eastAsia="ko-KR"/>
                </w:rPr>
                <m:t xml:space="preserve">  </m:t>
              </m:r>
              <m:nary>
                <m:naryPr>
                  <m:chr m:val="∑"/>
                  <m:grow m:val="1"/>
                  <m:ctrlPr>
                    <w:rPr>
                      <w:rFonts w:ascii="Cambria Math" w:eastAsia="Batang" w:hAnsi="Cambria Math" w:cs="Cambria Math"/>
                      <w:noProof/>
                      <w:color w:val="000000"/>
                      <w:sz w:val="24"/>
                      <w:szCs w:val="24"/>
                      <w:lang w:eastAsia="ko-KR"/>
                    </w:rPr>
                  </m:ctrlPr>
                </m:naryPr>
                <m:sub>
                  <m:r>
                    <w:rPr>
                      <w:rFonts w:ascii="Cambria Math" w:eastAsia="Cambria Math" w:hAnsi="Cambria Math" w:cs="Cambria Math"/>
                      <w:noProof/>
                      <w:color w:val="000000"/>
                      <w:sz w:val="24"/>
                      <w:szCs w:val="24"/>
                      <w:lang w:eastAsia="ko-KR"/>
                    </w:rPr>
                    <m:t>t∈T</m:t>
                  </m:r>
                </m:sub>
                <m:sup/>
                <m:e>
                  <m:r>
                    <m:rPr>
                      <m:sty m:val="p"/>
                    </m:rPr>
                    <w:rPr>
                      <w:rFonts w:ascii="Cambria Math" w:eastAsia="Batang" w:hAnsi="Cambria Math" w:cs="Cambria Math"/>
                      <w:noProof/>
                      <w:color w:val="000000"/>
                      <w:sz w:val="24"/>
                      <w:szCs w:val="24"/>
                      <w:lang w:eastAsia="ko-KR"/>
                    </w:rPr>
                    <m:t xml:space="preserve"> </m:t>
                  </m:r>
                </m:e>
              </m:nary>
              <m:r>
                <w:rPr>
                  <w:rFonts w:ascii="Cambria Math" w:eastAsia="Batang" w:hAnsi="Cambria Math" w:cs="Cambria Math"/>
                  <w:noProof/>
                  <w:color w:val="000000"/>
                  <w:sz w:val="24"/>
                  <w:szCs w:val="24"/>
                  <w:lang w:eastAsia="ko-KR"/>
                </w:rPr>
                <m:t>t Nt</m:t>
              </m:r>
            </m:num>
            <m:den>
              <m:nary>
                <m:naryPr>
                  <m:chr m:val="∑"/>
                  <m:grow m:val="1"/>
                  <m:ctrlPr>
                    <w:rPr>
                      <w:rFonts w:ascii="Cambria Math" w:eastAsia="Batang" w:hAnsi="Cambria Math" w:cs="Cambria Math"/>
                      <w:noProof/>
                      <w:color w:val="000000"/>
                      <w:sz w:val="24"/>
                      <w:szCs w:val="24"/>
                      <w:lang w:eastAsia="ko-KR"/>
                    </w:rPr>
                  </m:ctrlPr>
                </m:naryPr>
                <m:sub>
                  <m:r>
                    <w:rPr>
                      <w:rFonts w:ascii="Cambria Math" w:eastAsia="Cambria Math" w:hAnsi="Cambria Math" w:cs="Cambria Math"/>
                      <w:noProof/>
                      <w:color w:val="000000"/>
                      <w:sz w:val="24"/>
                      <w:szCs w:val="24"/>
                      <w:lang w:eastAsia="ko-KR"/>
                    </w:rPr>
                    <m:t>t∈T</m:t>
                  </m:r>
                </m:sub>
                <m:sup/>
                <m:e>
                  <m:r>
                    <m:rPr>
                      <m:sty m:val="p"/>
                    </m:rPr>
                    <w:rPr>
                      <w:rFonts w:ascii="Cambria Math" w:eastAsia="Batang" w:hAnsi="Cambria Math" w:cs="Cambria Math"/>
                      <w:noProof/>
                      <w:color w:val="000000"/>
                      <w:sz w:val="24"/>
                      <w:szCs w:val="24"/>
                      <w:lang w:eastAsia="ko-KR"/>
                    </w:rPr>
                    <m:t xml:space="preserve"> </m:t>
                  </m:r>
                </m:e>
              </m:nary>
              <m:r>
                <w:rPr>
                  <w:rFonts w:ascii="Cambria Math" w:eastAsia="Batang" w:hAnsi="Cambria Math" w:cs="Cambria Math"/>
                  <w:noProof/>
                  <w:color w:val="000000"/>
                  <w:sz w:val="24"/>
                  <w:szCs w:val="24"/>
                  <w:lang w:eastAsia="ko-KR"/>
                </w:rPr>
                <m:t>Nt</m:t>
              </m:r>
            </m:den>
          </m:f>
        </m:oMath>
      </m:oMathPara>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082B20">
        <w:rPr>
          <w:rFonts w:ascii="Times New Roman" w:eastAsia="Batang" w:hAnsi="Times New Roman" w:cs="Times New Roman"/>
          <w:noProof/>
          <w:sz w:val="24"/>
          <w:szCs w:val="24"/>
          <w:lang w:eastAsia="ko-KR"/>
        </w:rPr>
        <w:t>Nga ku:</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lang w:eastAsia="ko-KR"/>
        </w:rPr>
      </w:pPr>
      <w:r w:rsidRPr="00082B20">
        <w:rPr>
          <w:rFonts w:ascii="Times New Roman" w:eastAsia="Batang" w:hAnsi="Times New Roman" w:cs="Times New Roman"/>
          <w:i/>
          <w:noProof/>
          <w:lang w:eastAsia="ko-KR"/>
        </w:rPr>
        <w:t xml:space="preserve">t – </w:t>
      </w:r>
      <w:r w:rsidRPr="00082B20">
        <w:rPr>
          <w:rFonts w:ascii="Times New Roman" w:eastAsia="Batang" w:hAnsi="Times New Roman" w:cs="Times New Roman"/>
          <w:noProof/>
          <w:lang w:eastAsia="ko-KR"/>
        </w:rPr>
        <w:t xml:space="preserve">data e maturimit; </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lang w:eastAsia="ko-KR"/>
        </w:rPr>
      </w:pPr>
      <w:r w:rsidRPr="00082B20">
        <w:rPr>
          <w:rFonts w:ascii="Times New Roman" w:eastAsia="Batang" w:hAnsi="Times New Roman" w:cs="Times New Roman"/>
          <w:i/>
          <w:noProof/>
          <w:lang w:eastAsia="ko-KR"/>
        </w:rPr>
        <w:t xml:space="preserve">T – </w:t>
      </w:r>
      <w:r w:rsidRPr="00082B20">
        <w:rPr>
          <w:rFonts w:ascii="Times New Roman" w:eastAsia="Batang" w:hAnsi="Times New Roman" w:cs="Times New Roman"/>
          <w:noProof/>
          <w:lang w:eastAsia="ko-KR"/>
        </w:rPr>
        <w:t>bashkësia e të gjitha datave të maturimit;</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lang w:eastAsia="ko-KR"/>
        </w:rPr>
      </w:pPr>
      <w:r w:rsidRPr="00082B20">
        <w:rPr>
          <w:rFonts w:ascii="Times New Roman" w:eastAsia="Batang" w:hAnsi="Times New Roman" w:cs="Times New Roman"/>
          <w:i/>
          <w:noProof/>
          <w:lang w:eastAsia="ko-KR"/>
        </w:rPr>
        <w:t>N</w:t>
      </w:r>
      <w:r w:rsidRPr="00082B20">
        <w:rPr>
          <w:rFonts w:ascii="Times New Roman" w:eastAsia="Batang" w:hAnsi="Times New Roman" w:cs="Times New Roman"/>
          <w:i/>
          <w:noProof/>
          <w:vertAlign w:val="subscript"/>
          <w:lang w:eastAsia="ko-KR"/>
        </w:rPr>
        <w:t xml:space="preserve">t </w:t>
      </w:r>
      <w:r w:rsidRPr="00082B20">
        <w:rPr>
          <w:rFonts w:ascii="Times New Roman" w:eastAsia="Batang" w:hAnsi="Times New Roman" w:cs="Times New Roman"/>
          <w:i/>
          <w:noProof/>
          <w:lang w:eastAsia="ko-KR"/>
        </w:rPr>
        <w:t xml:space="preserve">– </w:t>
      </w:r>
      <w:r w:rsidRPr="00082B20">
        <w:rPr>
          <w:rFonts w:ascii="Times New Roman" w:eastAsia="Batang" w:hAnsi="Times New Roman" w:cs="Times New Roman"/>
          <w:noProof/>
          <w:lang w:eastAsia="ko-KR"/>
        </w:rPr>
        <w:t>Vlera nominale që do të paguhet në datën</w:t>
      </w:r>
      <w:r w:rsidRPr="00082B20">
        <w:rPr>
          <w:rFonts w:ascii="Times New Roman" w:eastAsia="Batang" w:hAnsi="Times New Roman" w:cs="Times New Roman"/>
          <w:i/>
          <w:noProof/>
          <w:lang w:eastAsia="ko-KR"/>
        </w:rPr>
        <w:t xml:space="preserve"> t.</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r w:rsidRPr="00082B20">
        <w:rPr>
          <w:rFonts w:ascii="Cambria" w:eastAsia="Batang" w:hAnsi="Cambria" w:cs="Times New Roman"/>
          <w:b/>
          <w:noProof/>
          <w:sz w:val="24"/>
          <w:szCs w:val="24"/>
          <w:lang w:eastAsia="ko-KR"/>
        </w:rPr>
        <w:t>KMR</w:t>
      </w:r>
      <w:r w:rsidRPr="00082B20">
        <w:rPr>
          <w:rFonts w:ascii="Times New Roman" w:eastAsia="Batang" w:hAnsi="Times New Roman" w:cs="Times New Roman"/>
          <w:i/>
          <w:noProof/>
          <w:sz w:val="24"/>
          <w:szCs w:val="24"/>
          <w:lang w:eastAsia="ko-KR"/>
        </w:rPr>
        <w:t xml:space="preserve"> </w:t>
      </w:r>
      <w:r w:rsidRPr="00082B20">
        <w:rPr>
          <w:rFonts w:ascii="Times New Roman" w:eastAsia="Batang" w:hAnsi="Times New Roman" w:cs="Times New Roman"/>
          <w:b/>
          <w:noProof/>
          <w:sz w:val="24"/>
          <w:szCs w:val="24"/>
          <w:lang w:eastAsia="ko-KR"/>
        </w:rPr>
        <w:t>–</w:t>
      </w:r>
      <w:r w:rsidRPr="00082B20">
        <w:rPr>
          <w:rFonts w:ascii="Times New Roman" w:eastAsia="Batang" w:hAnsi="Times New Roman" w:cs="Times New Roman"/>
          <w:noProof/>
          <w:sz w:val="24"/>
          <w:szCs w:val="24"/>
          <w:lang w:eastAsia="ko-KR"/>
        </w:rPr>
        <w:t xml:space="preserve"> Tregues i </w:t>
      </w:r>
      <w:r w:rsidRPr="00082B20">
        <w:rPr>
          <w:rFonts w:ascii="Times New Roman" w:eastAsia="Batang" w:hAnsi="Times New Roman" w:cs="Times New Roman"/>
          <w:noProof/>
          <w:color w:val="000000"/>
          <w:sz w:val="24"/>
          <w:szCs w:val="24"/>
          <w:lang w:eastAsia="ko-KR"/>
        </w:rPr>
        <w:t>riskut</w:t>
      </w:r>
      <w:r w:rsidRPr="00082B20">
        <w:rPr>
          <w:rFonts w:ascii="Times New Roman" w:eastAsia="Batang" w:hAnsi="Times New Roman" w:cs="Times New Roman"/>
          <w:noProof/>
          <w:sz w:val="24"/>
          <w:szCs w:val="24"/>
          <w:lang w:eastAsia="ko-KR"/>
        </w:rPr>
        <w:t xml:space="preserve"> të normave të interesit për borxhin. Jep informacion lidhur me ekspozimin e portofolit të borxhit kundrejt ndryshimit të normave të interesit. KMR interpretohet si koha mesatare (në vite) që i duhet portofolit të borxhit për të ripërcaktuar normën e interesit. Sa më e madhe të jetë sasia e instrumenteve afatshkurtër dhe sasia e instrumenteve me norma interesi të ndryshueshëm në portofolin e borxhit, aq më i madh është </w:t>
      </w:r>
      <w:r w:rsidRPr="00082B20">
        <w:rPr>
          <w:rFonts w:ascii="Times New Roman" w:eastAsia="Batang" w:hAnsi="Times New Roman" w:cs="Times New Roman"/>
          <w:noProof/>
          <w:color w:val="000000"/>
          <w:sz w:val="24"/>
          <w:szCs w:val="24"/>
          <w:lang w:eastAsia="ko-KR"/>
        </w:rPr>
        <w:t>risku</w:t>
      </w:r>
      <w:r w:rsidRPr="00082B20">
        <w:rPr>
          <w:rFonts w:ascii="Times New Roman" w:eastAsia="Batang" w:hAnsi="Times New Roman" w:cs="Times New Roman"/>
          <w:noProof/>
          <w:sz w:val="24"/>
          <w:szCs w:val="24"/>
          <w:lang w:eastAsia="ko-KR"/>
        </w:rPr>
        <w:t xml:space="preserve"> i normave të interesit dhe aq më i vogël ky tregues dhe anasjelltas. </w:t>
      </w:r>
      <w:r w:rsidRPr="00082B20">
        <w:rPr>
          <w:rFonts w:ascii="Times New Roman" w:eastAsia="Batang" w:hAnsi="Times New Roman" w:cs="Times New Roman"/>
          <w:noProof/>
          <w:color w:val="000000"/>
          <w:sz w:val="24"/>
          <w:szCs w:val="24"/>
          <w:lang w:eastAsia="ko-KR"/>
        </w:rPr>
        <w:t>KMR për instrumentet financiarë të borxhit përllogaritet sipas formulës së mëposhtme:</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m:oMathPara>
        <m:oMathParaPr>
          <m:jc m:val="left"/>
        </m:oMathParaPr>
        <m:oMath>
          <m:r>
            <m:rPr>
              <m:sty m:val="p"/>
            </m:rPr>
            <w:rPr>
              <w:rFonts w:ascii="Cambria Math" w:eastAsia="Batang" w:hAnsi="Cambria Math" w:cs="Cambria Math"/>
              <w:noProof/>
              <w:color w:val="000000"/>
              <w:sz w:val="24"/>
              <w:szCs w:val="24"/>
              <w:lang w:eastAsia="ko-KR"/>
            </w:rPr>
            <m:t>KMR=</m:t>
          </m:r>
          <m:f>
            <m:fPr>
              <m:ctrlPr>
                <w:rPr>
                  <w:rFonts w:ascii="Cambria Math" w:eastAsia="Batang" w:hAnsi="Cambria Math" w:cs="Times New Roman"/>
                  <w:noProof/>
                  <w:color w:val="000000"/>
                  <w:sz w:val="24"/>
                  <w:szCs w:val="24"/>
                  <w:lang w:eastAsia="ko-KR"/>
                </w:rPr>
              </m:ctrlPr>
            </m:fPr>
            <m:num>
              <m:r>
                <m:rPr>
                  <m:sty m:val="p"/>
                </m:rPr>
                <w:rPr>
                  <w:rFonts w:ascii="Cambria Math" w:eastAsia="Batang" w:hAnsi="Cambria Math" w:cs="Times New Roman"/>
                  <w:noProof/>
                  <w:color w:val="000000"/>
                  <w:sz w:val="24"/>
                  <w:szCs w:val="24"/>
                  <w:lang w:eastAsia="ko-KR"/>
                </w:rPr>
                <m:t xml:space="preserve">  </m:t>
              </m:r>
              <m:nary>
                <m:naryPr>
                  <m:chr m:val="∑"/>
                  <m:grow m:val="1"/>
                  <m:ctrlPr>
                    <w:rPr>
                      <w:rFonts w:ascii="Cambria Math" w:eastAsia="Batang" w:hAnsi="Cambria Math" w:cs="Cambria Math"/>
                      <w:noProof/>
                      <w:color w:val="000000"/>
                      <w:sz w:val="24"/>
                      <w:szCs w:val="24"/>
                      <w:lang w:eastAsia="ko-KR"/>
                    </w:rPr>
                  </m:ctrlPr>
                </m:naryPr>
                <m:sub>
                  <m:r>
                    <w:rPr>
                      <w:rFonts w:ascii="Cambria Math" w:eastAsia="Cambria Math" w:hAnsi="Cambria Math" w:cs="Cambria Math"/>
                      <w:noProof/>
                      <w:color w:val="000000"/>
                      <w:sz w:val="24"/>
                      <w:szCs w:val="24"/>
                      <w:lang w:eastAsia="ko-KR"/>
                    </w:rPr>
                    <m:t>r∈R</m:t>
                  </m:r>
                </m:sub>
                <m:sup/>
                <m:e>
                  <m:r>
                    <w:rPr>
                      <w:rFonts w:ascii="Cambria Math" w:eastAsia="Batang" w:hAnsi="Cambria Math" w:cs="Cambria Math"/>
                      <w:noProof/>
                      <w:color w:val="000000"/>
                      <w:sz w:val="24"/>
                      <w:szCs w:val="24"/>
                      <w:lang w:eastAsia="ko-KR"/>
                    </w:rPr>
                    <m:t xml:space="preserve">  r Nr</m:t>
                  </m:r>
                </m:e>
              </m:nary>
              <m:r>
                <m:rPr>
                  <m:sty m:val="p"/>
                </m:rPr>
                <w:rPr>
                  <w:rFonts w:ascii="Cambria Math" w:eastAsia="Batang" w:hAnsi="Cambria Math" w:cs="Cambria Math"/>
                  <w:noProof/>
                  <w:color w:val="000000"/>
                  <w:sz w:val="24"/>
                  <w:szCs w:val="24"/>
                  <w:lang w:eastAsia="ko-KR"/>
                </w:rPr>
                <m:t>+</m:t>
              </m:r>
              <m:nary>
                <m:naryPr>
                  <m:chr m:val="∑"/>
                  <m:grow m:val="1"/>
                  <m:ctrlPr>
                    <w:rPr>
                      <w:rFonts w:ascii="Cambria Math" w:eastAsia="Batang" w:hAnsi="Cambria Math" w:cs="Cambria Math"/>
                      <w:noProof/>
                      <w:color w:val="000000"/>
                      <w:sz w:val="24"/>
                      <w:szCs w:val="24"/>
                      <w:lang w:eastAsia="ko-KR"/>
                    </w:rPr>
                  </m:ctrlPr>
                </m:naryPr>
                <m:sub>
                  <m:r>
                    <w:rPr>
                      <w:rFonts w:ascii="Cambria Math" w:eastAsia="Cambria Math" w:hAnsi="Cambria Math" w:cs="Cambria Math"/>
                      <w:noProof/>
                      <w:color w:val="000000"/>
                      <w:sz w:val="24"/>
                      <w:szCs w:val="24"/>
                      <w:lang w:eastAsia="ko-KR"/>
                    </w:rPr>
                    <m:t>t∈T</m:t>
                  </m:r>
                </m:sub>
                <m:sup/>
                <m:e>
                  <m:r>
                    <m:rPr>
                      <m:sty m:val="p"/>
                    </m:rPr>
                    <w:rPr>
                      <w:rFonts w:ascii="Cambria Math" w:eastAsia="Batang" w:hAnsi="Cambria Math" w:cs="Cambria Math"/>
                      <w:noProof/>
                      <w:color w:val="000000"/>
                      <w:sz w:val="24"/>
                      <w:szCs w:val="24"/>
                      <w:lang w:eastAsia="ko-KR"/>
                    </w:rPr>
                    <m:t xml:space="preserve"> </m:t>
                  </m:r>
                </m:e>
              </m:nary>
              <m:r>
                <w:rPr>
                  <w:rFonts w:ascii="Cambria Math" w:eastAsia="Batang" w:hAnsi="Cambria Math" w:cs="Cambria Math"/>
                  <w:noProof/>
                  <w:color w:val="000000"/>
                  <w:sz w:val="24"/>
                  <w:szCs w:val="24"/>
                  <w:lang w:eastAsia="ko-KR"/>
                </w:rPr>
                <m:t>t Nt</m:t>
              </m:r>
            </m:num>
            <m:den>
              <m:nary>
                <m:naryPr>
                  <m:chr m:val="∑"/>
                  <m:grow m:val="1"/>
                  <m:ctrlPr>
                    <w:rPr>
                      <w:rFonts w:ascii="Cambria Math" w:eastAsia="Batang" w:hAnsi="Cambria Math" w:cs="Cambria Math"/>
                      <w:noProof/>
                      <w:color w:val="000000"/>
                      <w:sz w:val="24"/>
                      <w:szCs w:val="24"/>
                      <w:lang w:eastAsia="ko-KR"/>
                    </w:rPr>
                  </m:ctrlPr>
                </m:naryPr>
                <m:sub>
                  <m:r>
                    <w:rPr>
                      <w:rFonts w:ascii="Cambria Math" w:eastAsia="Cambria Math" w:hAnsi="Cambria Math" w:cs="Cambria Math"/>
                      <w:noProof/>
                      <w:color w:val="000000"/>
                      <w:sz w:val="24"/>
                      <w:szCs w:val="24"/>
                      <w:lang w:eastAsia="ko-KR"/>
                    </w:rPr>
                    <m:t>r∈R</m:t>
                  </m:r>
                </m:sub>
                <m:sup/>
                <m:e>
                  <m:r>
                    <w:rPr>
                      <w:rFonts w:ascii="Cambria Math" w:eastAsia="Batang" w:hAnsi="Cambria Math" w:cs="Cambria Math"/>
                      <w:noProof/>
                      <w:color w:val="000000"/>
                      <w:sz w:val="24"/>
                      <w:szCs w:val="24"/>
                      <w:lang w:eastAsia="ko-KR"/>
                    </w:rPr>
                    <m:t xml:space="preserve"> Nr</m:t>
                  </m:r>
                </m:e>
              </m:nary>
              <m:r>
                <m:rPr>
                  <m:sty m:val="p"/>
                </m:rPr>
                <w:rPr>
                  <w:rFonts w:ascii="Cambria Math" w:eastAsia="Batang" w:hAnsi="Cambria Math" w:cs="Cambria Math"/>
                  <w:noProof/>
                  <w:color w:val="000000"/>
                  <w:sz w:val="24"/>
                  <w:szCs w:val="24"/>
                  <w:lang w:eastAsia="ko-KR"/>
                </w:rPr>
                <m:t>+</m:t>
              </m:r>
              <m:nary>
                <m:naryPr>
                  <m:chr m:val="∑"/>
                  <m:grow m:val="1"/>
                  <m:ctrlPr>
                    <w:rPr>
                      <w:rFonts w:ascii="Cambria Math" w:eastAsia="Batang" w:hAnsi="Cambria Math" w:cs="Cambria Math"/>
                      <w:noProof/>
                      <w:color w:val="000000"/>
                      <w:sz w:val="24"/>
                      <w:szCs w:val="24"/>
                      <w:lang w:eastAsia="ko-KR"/>
                    </w:rPr>
                  </m:ctrlPr>
                </m:naryPr>
                <m:sub>
                  <m:r>
                    <w:rPr>
                      <w:rFonts w:ascii="Cambria Math" w:eastAsia="Cambria Math" w:hAnsi="Cambria Math" w:cs="Cambria Math"/>
                      <w:noProof/>
                      <w:color w:val="000000"/>
                      <w:sz w:val="24"/>
                      <w:szCs w:val="24"/>
                      <w:lang w:eastAsia="ko-KR"/>
                    </w:rPr>
                    <m:t>t∈T</m:t>
                  </m:r>
                </m:sub>
                <m:sup/>
                <m:e>
                  <m:r>
                    <m:rPr>
                      <m:sty m:val="p"/>
                    </m:rPr>
                    <w:rPr>
                      <w:rFonts w:ascii="Cambria Math" w:eastAsia="Batang" w:hAnsi="Cambria Math" w:cs="Cambria Math"/>
                      <w:noProof/>
                      <w:color w:val="000000"/>
                      <w:sz w:val="24"/>
                      <w:szCs w:val="24"/>
                      <w:lang w:eastAsia="ko-KR"/>
                    </w:rPr>
                    <m:t xml:space="preserve"> </m:t>
                  </m:r>
                </m:e>
              </m:nary>
              <m:r>
                <w:rPr>
                  <w:rFonts w:ascii="Cambria Math" w:eastAsia="Batang" w:hAnsi="Cambria Math" w:cs="Cambria Math"/>
                  <w:noProof/>
                  <w:color w:val="000000"/>
                  <w:sz w:val="24"/>
                  <w:szCs w:val="24"/>
                  <w:lang w:eastAsia="ko-KR"/>
                </w:rPr>
                <m:t>Nt</m:t>
              </m:r>
            </m:den>
          </m:f>
        </m:oMath>
      </m:oMathPara>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082B20">
        <w:rPr>
          <w:rFonts w:ascii="Times New Roman" w:eastAsia="Batang" w:hAnsi="Times New Roman" w:cs="Times New Roman"/>
          <w:noProof/>
          <w:sz w:val="24"/>
          <w:szCs w:val="24"/>
          <w:lang w:eastAsia="ko-KR"/>
        </w:rPr>
        <w:t>Nga ku:</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lang w:eastAsia="ko-KR"/>
        </w:rPr>
      </w:pPr>
      <w:r w:rsidRPr="00082B20">
        <w:rPr>
          <w:rFonts w:ascii="Times New Roman" w:eastAsia="Batang" w:hAnsi="Times New Roman" w:cs="Times New Roman"/>
          <w:i/>
          <w:noProof/>
          <w:lang w:eastAsia="ko-KR"/>
        </w:rPr>
        <w:t xml:space="preserve"> r</w:t>
      </w:r>
      <w:r w:rsidRPr="00082B20">
        <w:rPr>
          <w:rFonts w:ascii="Times New Roman" w:eastAsia="Batang" w:hAnsi="Times New Roman" w:cs="Times New Roman"/>
          <w:i/>
          <w:noProof/>
          <w:vertAlign w:val="subscript"/>
          <w:lang w:eastAsia="ko-KR"/>
        </w:rPr>
        <w:t xml:space="preserve"> </w:t>
      </w:r>
      <w:r w:rsidRPr="00082B20">
        <w:rPr>
          <w:rFonts w:ascii="Times New Roman" w:eastAsia="Batang" w:hAnsi="Times New Roman" w:cs="Times New Roman"/>
          <w:noProof/>
          <w:lang w:eastAsia="ko-KR"/>
        </w:rPr>
        <w:t xml:space="preserve">– </w:t>
      </w:r>
      <w:r w:rsidRPr="00082B20">
        <w:rPr>
          <w:rFonts w:ascii="Times New Roman" w:eastAsia="Batang" w:hAnsi="Times New Roman" w:cs="Times New Roman"/>
          <w:i/>
          <w:noProof/>
          <w:lang w:eastAsia="ko-KR"/>
        </w:rPr>
        <w:t xml:space="preserve"> </w:t>
      </w:r>
      <w:r w:rsidRPr="00082B20">
        <w:rPr>
          <w:rFonts w:ascii="Times New Roman" w:eastAsia="Batang" w:hAnsi="Times New Roman" w:cs="Times New Roman"/>
          <w:noProof/>
          <w:lang w:eastAsia="ko-KR"/>
        </w:rPr>
        <w:t>data e pagesës së kuponit të instrumentit me norma interesi të lëvizshme;</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lang w:eastAsia="ko-KR"/>
        </w:rPr>
      </w:pPr>
      <w:r w:rsidRPr="00082B20">
        <w:rPr>
          <w:rFonts w:ascii="Times New Roman" w:eastAsia="Batang" w:hAnsi="Times New Roman" w:cs="Times New Roman"/>
          <w:i/>
          <w:noProof/>
          <w:lang w:eastAsia="ko-KR"/>
        </w:rPr>
        <w:t xml:space="preserve"> t </w:t>
      </w:r>
      <w:r w:rsidRPr="00082B20">
        <w:rPr>
          <w:rFonts w:ascii="Times New Roman" w:eastAsia="Batang" w:hAnsi="Times New Roman" w:cs="Times New Roman"/>
          <w:noProof/>
          <w:lang w:eastAsia="ko-KR"/>
        </w:rPr>
        <w:t>–</w:t>
      </w:r>
      <w:r w:rsidRPr="00082B20">
        <w:rPr>
          <w:rFonts w:ascii="Times New Roman" w:eastAsia="Batang" w:hAnsi="Times New Roman" w:cs="Times New Roman"/>
          <w:i/>
          <w:noProof/>
          <w:lang w:eastAsia="ko-KR"/>
        </w:rPr>
        <w:t xml:space="preserve">  </w:t>
      </w:r>
      <w:r w:rsidRPr="00082B20">
        <w:rPr>
          <w:rFonts w:ascii="Times New Roman" w:eastAsia="Batang" w:hAnsi="Times New Roman" w:cs="Times New Roman"/>
          <w:noProof/>
          <w:lang w:eastAsia="ko-KR"/>
        </w:rPr>
        <w:t>data e maturimit të instrumentit me norma interesi fikse;</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lang w:eastAsia="ko-KR"/>
        </w:rPr>
      </w:pPr>
      <w:r w:rsidRPr="00082B20">
        <w:rPr>
          <w:rFonts w:ascii="Times New Roman" w:eastAsia="Batang" w:hAnsi="Times New Roman" w:cs="Times New Roman"/>
          <w:i/>
          <w:noProof/>
          <w:lang w:eastAsia="ko-KR"/>
        </w:rPr>
        <w:t>N</w:t>
      </w:r>
      <w:r w:rsidRPr="00082B20">
        <w:rPr>
          <w:rFonts w:ascii="Times New Roman" w:eastAsia="Batang" w:hAnsi="Times New Roman" w:cs="Times New Roman"/>
          <w:i/>
          <w:noProof/>
          <w:vertAlign w:val="subscript"/>
          <w:lang w:eastAsia="ko-KR"/>
        </w:rPr>
        <w:t xml:space="preserve">r </w:t>
      </w:r>
      <w:r w:rsidRPr="00082B20">
        <w:rPr>
          <w:rFonts w:ascii="Times New Roman" w:eastAsia="Batang" w:hAnsi="Times New Roman" w:cs="Times New Roman"/>
          <w:noProof/>
          <w:lang w:eastAsia="ko-KR"/>
        </w:rPr>
        <w:t>– vlera nominale e instrumentit me norma interesi të lëvizshme;</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lang w:eastAsia="ko-KR"/>
        </w:rPr>
      </w:pPr>
      <w:r w:rsidRPr="00082B20">
        <w:rPr>
          <w:rFonts w:ascii="Times New Roman" w:eastAsia="Batang" w:hAnsi="Times New Roman" w:cs="Times New Roman"/>
          <w:i/>
          <w:noProof/>
          <w:lang w:eastAsia="ko-KR"/>
        </w:rPr>
        <w:t>N</w:t>
      </w:r>
      <w:r w:rsidRPr="00082B20">
        <w:rPr>
          <w:rFonts w:ascii="Times New Roman" w:eastAsia="Batang" w:hAnsi="Times New Roman" w:cs="Times New Roman"/>
          <w:i/>
          <w:noProof/>
          <w:vertAlign w:val="subscript"/>
          <w:lang w:eastAsia="ko-KR"/>
        </w:rPr>
        <w:t xml:space="preserve">t </w:t>
      </w:r>
      <w:r w:rsidRPr="00082B20">
        <w:rPr>
          <w:rFonts w:ascii="Times New Roman" w:eastAsia="Batang" w:hAnsi="Times New Roman" w:cs="Times New Roman"/>
          <w:noProof/>
          <w:lang w:eastAsia="ko-KR"/>
        </w:rPr>
        <w:t>– vlera nominale e instrumentit me norma interesi fikse;</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lang w:eastAsia="ko-KR"/>
        </w:rPr>
      </w:pPr>
      <w:r w:rsidRPr="00082B20">
        <w:rPr>
          <w:rFonts w:ascii="Times New Roman" w:eastAsia="Batang" w:hAnsi="Times New Roman" w:cs="Times New Roman"/>
          <w:i/>
          <w:noProof/>
          <w:lang w:eastAsia="ko-KR"/>
        </w:rPr>
        <w:t xml:space="preserve">R –  </w:t>
      </w:r>
      <w:r w:rsidRPr="00082B20">
        <w:rPr>
          <w:rFonts w:ascii="Times New Roman" w:eastAsia="Batang" w:hAnsi="Times New Roman" w:cs="Times New Roman"/>
          <w:noProof/>
          <w:lang w:eastAsia="ko-KR"/>
        </w:rPr>
        <w:t>bashkësia e të gjitha datave të maturimit për instrumente me norma interesi të lëvizshme;</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lang w:eastAsia="ko-KR"/>
        </w:rPr>
      </w:pPr>
      <w:r w:rsidRPr="00082B20">
        <w:rPr>
          <w:rFonts w:ascii="Times New Roman" w:eastAsia="Batang" w:hAnsi="Times New Roman" w:cs="Times New Roman"/>
          <w:i/>
          <w:noProof/>
          <w:lang w:eastAsia="ko-KR"/>
        </w:rPr>
        <w:t xml:space="preserve">T –  </w:t>
      </w:r>
      <w:r w:rsidRPr="00082B20">
        <w:rPr>
          <w:rFonts w:ascii="Times New Roman" w:eastAsia="Batang" w:hAnsi="Times New Roman" w:cs="Times New Roman"/>
          <w:noProof/>
          <w:lang w:eastAsia="ko-KR"/>
        </w:rPr>
        <w:t>bashkësia e të gjitha datave të maturimit për instrumente me norma interesi fikse.</w:t>
      </w:r>
    </w:p>
    <w:p w:rsidR="009354F2" w:rsidRPr="00082B20" w:rsidRDefault="009354F2" w:rsidP="00197C26">
      <w:pPr>
        <w:tabs>
          <w:tab w:val="left" w:pos="360"/>
        </w:tabs>
        <w:autoSpaceDE w:val="0"/>
        <w:autoSpaceDN w:val="0"/>
        <w:adjustRightInd w:val="0"/>
        <w:spacing w:after="0" w:line="240" w:lineRule="auto"/>
        <w:ind w:right="-46"/>
        <w:jc w:val="both"/>
        <w:rPr>
          <w:rFonts w:ascii="Cambria" w:eastAsia="Batang" w:hAnsi="Cambria" w:cs="Times New Roman"/>
          <w:b/>
          <w:noProof/>
          <w:color w:val="000000"/>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r w:rsidRPr="00082B20">
        <w:rPr>
          <w:rFonts w:ascii="Cambria" w:eastAsia="Batang" w:hAnsi="Cambria" w:cs="Times New Roman"/>
          <w:b/>
          <w:noProof/>
          <w:color w:val="000000"/>
          <w:sz w:val="24"/>
          <w:szCs w:val="24"/>
          <w:lang w:eastAsia="ko-KR"/>
        </w:rPr>
        <w:t xml:space="preserve">PBG </w:t>
      </w:r>
      <w:r w:rsidRPr="00082B20">
        <w:rPr>
          <w:rFonts w:ascii="Times New Roman" w:eastAsia="Batang" w:hAnsi="Times New Roman" w:cs="Times New Roman"/>
          <w:b/>
          <w:noProof/>
          <w:sz w:val="24"/>
          <w:szCs w:val="24"/>
          <w:lang w:eastAsia="ko-KR"/>
        </w:rPr>
        <w:t xml:space="preserve">– </w:t>
      </w:r>
      <w:r w:rsidRPr="00082B20">
        <w:rPr>
          <w:rFonts w:ascii="Times New Roman" w:eastAsia="Batang" w:hAnsi="Times New Roman" w:cs="Times New Roman"/>
          <w:noProof/>
          <w:color w:val="000000"/>
          <w:sz w:val="24"/>
          <w:szCs w:val="24"/>
          <w:lang w:eastAsia="ko-KR"/>
        </w:rPr>
        <w:t>Është garanci e emetuar nga Banka Botërore, e cila garanton vlerën e plotë ose të pjesshme të një huaje, me qëllim mundësimin e saj me kosto më të favorshme se ajo e ofruar nga tregu.</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082B20">
        <w:rPr>
          <w:rFonts w:ascii="Cambria" w:eastAsia="Batang" w:hAnsi="Cambria" w:cs="Times New Roman"/>
          <w:b/>
          <w:noProof/>
          <w:sz w:val="24"/>
          <w:szCs w:val="24"/>
          <w:lang w:eastAsia="ko-KR"/>
        </w:rPr>
        <w:t>Raport mbulimi</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lang w:eastAsia="ko-KR"/>
        </w:rPr>
        <w:t xml:space="preserve">Raporti ndërmjet shumës së kërkuar </w:t>
      </w:r>
      <w:r w:rsidRPr="00082B20">
        <w:rPr>
          <w:rFonts w:ascii="Times New Roman" w:eastAsia="Batang" w:hAnsi="Times New Roman" w:cs="Times New Roman"/>
          <w:i/>
          <w:noProof/>
          <w:sz w:val="24"/>
          <w:szCs w:val="24"/>
          <w:lang w:eastAsia="ko-KR"/>
        </w:rPr>
        <w:t>(nga investitorët)</w:t>
      </w:r>
      <w:r w:rsidRPr="00082B20">
        <w:rPr>
          <w:rFonts w:ascii="Times New Roman" w:eastAsia="Batang" w:hAnsi="Times New Roman" w:cs="Times New Roman"/>
          <w:noProof/>
          <w:sz w:val="24"/>
          <w:szCs w:val="24"/>
          <w:lang w:eastAsia="ko-KR"/>
        </w:rPr>
        <w:t xml:space="preserve"> dhe shumës së ofruar</w:t>
      </w:r>
      <w:r w:rsidRPr="00082B20">
        <w:rPr>
          <w:rFonts w:ascii="Times New Roman" w:eastAsia="Batang" w:hAnsi="Times New Roman" w:cs="Times New Roman"/>
          <w:b/>
          <w:noProof/>
          <w:sz w:val="24"/>
          <w:szCs w:val="24"/>
          <w:lang w:eastAsia="ko-KR"/>
        </w:rPr>
        <w:t xml:space="preserve"> </w:t>
      </w:r>
      <w:r w:rsidRPr="00082B20">
        <w:rPr>
          <w:rFonts w:ascii="Times New Roman" w:eastAsia="Batang" w:hAnsi="Times New Roman" w:cs="Times New Roman"/>
          <w:i/>
          <w:noProof/>
          <w:sz w:val="24"/>
          <w:szCs w:val="24"/>
          <w:lang w:eastAsia="ko-KR"/>
        </w:rPr>
        <w:t xml:space="preserve">(nga shteti) </w:t>
      </w:r>
      <w:r w:rsidRPr="00082B20">
        <w:rPr>
          <w:rFonts w:ascii="Times New Roman" w:eastAsia="Batang" w:hAnsi="Times New Roman" w:cs="Times New Roman"/>
          <w:noProof/>
          <w:sz w:val="24"/>
          <w:szCs w:val="24"/>
          <w:lang w:eastAsia="ko-KR"/>
        </w:rPr>
        <w:t>në ankandet e titujve shtetërorë</w:t>
      </w:r>
      <w:r w:rsidRPr="00082B20">
        <w:rPr>
          <w:rFonts w:ascii="Times New Roman" w:eastAsia="Batang" w:hAnsi="Times New Roman" w:cs="Times New Roman"/>
          <w:i/>
          <w:noProof/>
          <w:sz w:val="24"/>
          <w:szCs w:val="24"/>
          <w:lang w:eastAsia="ko-KR"/>
        </w:rPr>
        <w:t>.</w:t>
      </w:r>
      <w:r w:rsidRPr="00082B20">
        <w:rPr>
          <w:rFonts w:ascii="Times New Roman" w:eastAsia="Batang" w:hAnsi="Times New Roman" w:cs="Times New Roman"/>
          <w:noProof/>
          <w:color w:val="000000"/>
          <w:sz w:val="24"/>
          <w:szCs w:val="24"/>
          <w:lang w:eastAsia="ko-KR"/>
        </w:rPr>
        <w:t xml:space="preserve"> Shërben për të vlerësuar nivelin e plotësimit të ankandeve dhe gjendjen e likuiditetit.</w:t>
      </w:r>
      <w:r w:rsidRPr="00082B20">
        <w:rPr>
          <w:rFonts w:ascii="Times New Roman" w:eastAsia="Batang" w:hAnsi="Times New Roman" w:cs="Times New Roman"/>
          <w:i/>
          <w:noProof/>
          <w:sz w:val="24"/>
          <w:szCs w:val="24"/>
          <w:lang w:eastAsia="ko-KR"/>
        </w:rPr>
        <w:t xml:space="preserve"> </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082B20">
        <w:rPr>
          <w:rFonts w:ascii="Cambria" w:eastAsia="Batang" w:hAnsi="Cambria" w:cs="Times New Roman"/>
          <w:b/>
          <w:noProof/>
          <w:sz w:val="24"/>
          <w:szCs w:val="24"/>
          <w:lang w:eastAsia="ko-KR"/>
        </w:rPr>
        <w:t>Risku i kursit të këmbimit</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lang w:eastAsia="ko-KR"/>
        </w:rPr>
        <w:t xml:space="preserve">I referohet ndikimit të lëvizjes së kursit të këmbimit të një </w:t>
      </w:r>
      <w:r w:rsidR="00B308B7" w:rsidRPr="00082B20">
        <w:rPr>
          <w:rFonts w:ascii="Times New Roman" w:eastAsia="Batang" w:hAnsi="Times New Roman" w:cs="Times New Roman"/>
          <w:noProof/>
          <w:sz w:val="24"/>
          <w:szCs w:val="24"/>
          <w:lang w:eastAsia="ko-KR"/>
        </w:rPr>
        <w:t>va;ute</w:t>
      </w:r>
      <w:r w:rsidRPr="00082B20">
        <w:rPr>
          <w:rFonts w:ascii="Times New Roman" w:eastAsia="Batang" w:hAnsi="Times New Roman" w:cs="Times New Roman"/>
          <w:noProof/>
          <w:sz w:val="24"/>
          <w:szCs w:val="24"/>
          <w:lang w:eastAsia="ko-KR"/>
        </w:rPr>
        <w:t>, mbi nivelin e borxhit dhe shërbimin e tij në një masë të caktuar mbi pritshmëritë. Psh.: “Mbiçmimi ose nënçmimi i monedhës vendase kundrejt një monedhe të huaj, e cila është pjesë përbërëse e portofolit të borxhit, mund të rezultojë në rënie ose rritje proporcionale të volumit të borxhit ose shërbimit të tij (</w:t>
      </w:r>
      <w:r w:rsidRPr="00082B20">
        <w:rPr>
          <w:rFonts w:ascii="Times New Roman" w:eastAsia="Batang" w:hAnsi="Times New Roman" w:cs="Times New Roman"/>
          <w:i/>
          <w:noProof/>
          <w:sz w:val="24"/>
          <w:szCs w:val="24"/>
          <w:lang w:eastAsia="ko-KR"/>
        </w:rPr>
        <w:t>të denominuar në monedhë vendase</w:t>
      </w:r>
      <w:r w:rsidRPr="00082B20">
        <w:rPr>
          <w:rFonts w:ascii="Times New Roman" w:eastAsia="Batang" w:hAnsi="Times New Roman" w:cs="Times New Roman"/>
          <w:noProof/>
          <w:sz w:val="24"/>
          <w:szCs w:val="24"/>
          <w:lang w:eastAsia="ko-KR"/>
        </w:rPr>
        <w:t>)”.</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082B20">
        <w:rPr>
          <w:rFonts w:ascii="Cambria" w:eastAsia="Batang" w:hAnsi="Cambria" w:cs="Times New Roman"/>
          <w:b/>
          <w:noProof/>
          <w:sz w:val="24"/>
          <w:szCs w:val="24"/>
          <w:lang w:eastAsia="ko-KR"/>
        </w:rPr>
        <w:t>Risku i likuiditetit</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lang w:eastAsia="ko-KR"/>
        </w:rPr>
        <w:t>Risku që lidhet me humbjen e aftësisë së buxhetit të shtetit për të likuiduar detyrimet korrente</w:t>
      </w:r>
      <w:r w:rsidRPr="00082B20">
        <w:rPr>
          <w:rFonts w:ascii="Times New Roman" w:eastAsia="Batang" w:hAnsi="Times New Roman" w:cs="Times New Roman"/>
          <w:b/>
          <w:noProof/>
          <w:sz w:val="24"/>
          <w:szCs w:val="24"/>
          <w:lang w:eastAsia="ko-KR"/>
        </w:rPr>
        <w:t xml:space="preserve"> </w:t>
      </w:r>
      <w:r w:rsidRPr="00082B20">
        <w:rPr>
          <w:rFonts w:ascii="Times New Roman" w:eastAsia="Batang" w:hAnsi="Times New Roman" w:cs="Times New Roman"/>
          <w:noProof/>
          <w:sz w:val="24"/>
          <w:szCs w:val="24"/>
          <w:lang w:eastAsia="ko-KR"/>
        </w:rPr>
        <w:t xml:space="preserve">dhe ekzektutimin në kohë të shpenzimeve buxhetore. Me qëllim minimizimin e këtij risku, shteti duhet të ketë akses mbi një sasi të caktuar asetesh likuide me qëllim garantimin e fondeve në raste krizash të përkohshme, gjatë të cilave bëhet e vështirë ose me kosto të lartë, sigurimi i tyre. </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082B20">
        <w:rPr>
          <w:rFonts w:ascii="Cambria" w:eastAsia="Batang" w:hAnsi="Cambria" w:cs="Times New Roman"/>
          <w:b/>
          <w:noProof/>
          <w:sz w:val="24"/>
          <w:szCs w:val="24"/>
          <w:lang w:eastAsia="ko-KR"/>
        </w:rPr>
        <w:t>Risku i normave të interesit</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lang w:eastAsia="ko-KR"/>
        </w:rPr>
        <w:t xml:space="preserve">Risku që pagesat e shërbimit të borxhit të ndryshojnë si rrjedhojë e lëvizjes së normave të interesit. Ky risk krijohet nga nevoja për të shërbyer borxhin që maturohet dhe pagesat e kuponëve të instrumenteve me norma interesi të ndryshueshme në të ardhmen. </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082B20">
        <w:rPr>
          <w:rFonts w:ascii="Cambria" w:eastAsia="Batang" w:hAnsi="Cambria" w:cs="Times New Roman"/>
          <w:b/>
          <w:noProof/>
          <w:sz w:val="24"/>
          <w:szCs w:val="24"/>
          <w:lang w:eastAsia="ko-KR"/>
        </w:rPr>
        <w:t>Risku operacional</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lang w:eastAsia="ko-KR"/>
        </w:rPr>
        <w:t>Risku që ka të bëjë me rritjen e kostos së menaxhimit të borxhit ose me rritjen e nivelit të risqeve të tjera si rezultat i gabimeve njerëzore, dëmtimit të pajisjeve elektronike, dëmeve natyrore, etj. Risku operacional është një risk relativisht i vështirë për t’u matur dhe vlerësuar. Ulja e ekspozimit të riskut operacional mund të arrihet nëpërmjet integrimit të procedurave të menaxhimit të borxhit në një strukturë organizative, duke pasur strukturën, infrastrukturën dhe procedurat të drejtuara nga aktivitete operacionale efiçente për menaxhimin e administratës shtetërore dhe tregjeve financiare.</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r w:rsidRPr="00082B20">
        <w:rPr>
          <w:rFonts w:ascii="Cambria" w:eastAsia="Batang" w:hAnsi="Cambria" w:cs="Times New Roman"/>
          <w:b/>
          <w:noProof/>
          <w:sz w:val="24"/>
          <w:szCs w:val="24"/>
          <w:lang w:eastAsia="ko-KR"/>
        </w:rPr>
        <w:t xml:space="preserve">Risku i </w:t>
      </w:r>
      <w:r w:rsidR="00B308B7" w:rsidRPr="00082B20">
        <w:rPr>
          <w:rFonts w:ascii="Cambria" w:eastAsia="Batang" w:hAnsi="Cambria" w:cs="Times New Roman"/>
          <w:b/>
          <w:noProof/>
          <w:sz w:val="24"/>
          <w:szCs w:val="24"/>
          <w:lang w:eastAsia="ko-KR"/>
        </w:rPr>
        <w:t>ri</w:t>
      </w:r>
      <w:r w:rsidRPr="00082B20">
        <w:rPr>
          <w:rFonts w:ascii="Cambria" w:eastAsia="Batang" w:hAnsi="Cambria" w:cs="Times New Roman"/>
          <w:b/>
          <w:noProof/>
          <w:sz w:val="24"/>
          <w:szCs w:val="24"/>
          <w:lang w:eastAsia="ko-KR"/>
        </w:rPr>
        <w:t>financimit</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lang w:eastAsia="ko-KR"/>
        </w:rPr>
        <w:t xml:space="preserve">Risku që lidhet me aftësinë për të emetuar instrumente ose marrë hua me qëllim ri-financimin dhe shërbimin e borxhit aktual. Sa më i madh të jetë volumi i shumave që maturohen dhe sa më i afërt në kohë, aq më i lartë është risku i ri-financimit dhe anasjelltas. Risku i ri-financimit ndikohet nga niveli i borxhit ekzistues dhe profili i amortizimit. Rritja e maturitetit të borxhit dhe shpërndarja në kohë e maturimeve ndikon në reduktimin e riskut të ri-financimit. </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0"/>
          <w:szCs w:val="20"/>
          <w:lang w:eastAsia="ko-KR"/>
        </w:rPr>
      </w:pP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sz w:val="24"/>
          <w:szCs w:val="24"/>
        </w:rPr>
      </w:pPr>
      <w:r w:rsidRPr="00082B20">
        <w:rPr>
          <w:rFonts w:ascii="Cambria" w:eastAsia="Batang" w:hAnsi="Cambria" w:cs="Times New Roman"/>
          <w:b/>
          <w:noProof/>
          <w:sz w:val="24"/>
          <w:szCs w:val="24"/>
        </w:rPr>
        <w:t>Stoku i borxhit</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rPr>
        <w:t>Balanca e principalit të borxhit në një moment të dhënë të kohës.</w:t>
      </w:r>
    </w:p>
    <w:p w:rsidR="009354F2" w:rsidRPr="00082B20" w:rsidRDefault="009354F2" w:rsidP="00197C26">
      <w:pPr>
        <w:autoSpaceDE w:val="0"/>
        <w:autoSpaceDN w:val="0"/>
        <w:adjustRightInd w:val="0"/>
        <w:spacing w:after="0" w:line="23" w:lineRule="atLeast"/>
        <w:ind w:right="-46"/>
        <w:jc w:val="both"/>
        <w:rPr>
          <w:rFonts w:ascii="Times New Roman" w:eastAsia="Batang" w:hAnsi="Times New Roman" w:cs="Times New Roman"/>
          <w:noProof/>
          <w:sz w:val="20"/>
          <w:szCs w:val="20"/>
        </w:rPr>
      </w:pPr>
    </w:p>
    <w:p w:rsidR="009354F2" w:rsidRPr="00082B20"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4"/>
          <w:szCs w:val="24"/>
        </w:rPr>
      </w:pPr>
      <w:r w:rsidRPr="00082B20">
        <w:rPr>
          <w:rFonts w:ascii="Cambria" w:eastAsia="Batang" w:hAnsi="Cambria" w:cs="Times New Roman"/>
          <w:b/>
          <w:noProof/>
          <w:sz w:val="24"/>
          <w:szCs w:val="24"/>
        </w:rPr>
        <w:t>Shërbim</w:t>
      </w:r>
      <w:r w:rsidR="004F7EA2" w:rsidRPr="00082B20">
        <w:rPr>
          <w:rFonts w:ascii="Cambria" w:eastAsia="Batang" w:hAnsi="Cambria" w:cs="Times New Roman"/>
          <w:b/>
          <w:noProof/>
          <w:sz w:val="24"/>
          <w:szCs w:val="24"/>
        </w:rPr>
        <w:t xml:space="preserve"> i</w:t>
      </w:r>
      <w:r w:rsidRPr="00082B20">
        <w:rPr>
          <w:rFonts w:ascii="Cambria" w:eastAsia="Batang" w:hAnsi="Cambria" w:cs="Times New Roman"/>
          <w:b/>
          <w:noProof/>
          <w:sz w:val="24"/>
          <w:szCs w:val="24"/>
        </w:rPr>
        <w:t xml:space="preserve"> borxhi</w:t>
      </w:r>
      <w:r w:rsidR="004F7EA2" w:rsidRPr="00082B20">
        <w:rPr>
          <w:rFonts w:ascii="Cambria" w:eastAsia="Batang" w:hAnsi="Cambria" w:cs="Times New Roman"/>
          <w:b/>
          <w:noProof/>
          <w:sz w:val="24"/>
          <w:szCs w:val="24"/>
        </w:rPr>
        <w:t>t</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rPr>
        <w:t>Pagesat e principalit dhe interesit në përputhje me termat e përcaktuara në marrëveshje.</w:t>
      </w:r>
    </w:p>
    <w:p w:rsidR="009354F2" w:rsidRPr="00082B20"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0"/>
          <w:szCs w:val="20"/>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r w:rsidRPr="00082B20">
        <w:rPr>
          <w:rFonts w:ascii="Cambria" w:eastAsia="Batang" w:hAnsi="Cambria" w:cs="Times New Roman"/>
          <w:b/>
          <w:noProof/>
          <w:color w:val="000000"/>
          <w:sz w:val="24"/>
          <w:szCs w:val="24"/>
          <w:lang w:eastAsia="ko-KR"/>
        </w:rPr>
        <w:t xml:space="preserve">Sistemi Primary Dealer </w:t>
      </w:r>
      <w:r w:rsidRPr="00082B20">
        <w:rPr>
          <w:rFonts w:ascii="Times New Roman" w:eastAsia="Batang" w:hAnsi="Times New Roman" w:cs="Times New Roman"/>
          <w:b/>
          <w:noProof/>
          <w:sz w:val="24"/>
          <w:szCs w:val="24"/>
          <w:lang w:eastAsia="ko-KR"/>
        </w:rPr>
        <w:t xml:space="preserve">– </w:t>
      </w:r>
      <w:r w:rsidRPr="00082B20">
        <w:rPr>
          <w:rFonts w:ascii="Times New Roman" w:eastAsia="Batang" w:hAnsi="Times New Roman" w:cs="Times New Roman"/>
          <w:noProof/>
          <w:color w:val="000000"/>
          <w:sz w:val="24"/>
          <w:szCs w:val="24"/>
          <w:lang w:eastAsia="ko-KR"/>
        </w:rPr>
        <w:t xml:space="preserve">Është një marrëveshje institucionale ndërmjet strukturës përgjegjëse për menaxhimin e borxhit dhe disa ndërmjetësve financiarë </w:t>
      </w:r>
      <w:r w:rsidRPr="00082B20">
        <w:rPr>
          <w:rFonts w:ascii="Times New Roman" w:eastAsia="Batang" w:hAnsi="Times New Roman" w:cs="Times New Roman"/>
          <w:i/>
          <w:noProof/>
          <w:color w:val="000000"/>
          <w:sz w:val="24"/>
          <w:szCs w:val="24"/>
          <w:lang w:eastAsia="ko-KR"/>
        </w:rPr>
        <w:t xml:space="preserve">(që kanë funksione të specializuara në tregun e titujve shtetërorë), </w:t>
      </w:r>
      <w:r w:rsidRPr="00082B20">
        <w:rPr>
          <w:rFonts w:ascii="Times New Roman" w:eastAsia="Batang" w:hAnsi="Times New Roman" w:cs="Times New Roman"/>
          <w:noProof/>
          <w:color w:val="000000"/>
          <w:sz w:val="24"/>
          <w:szCs w:val="24"/>
          <w:lang w:eastAsia="ko-KR"/>
        </w:rPr>
        <w:t>me qëllim zbatimin e një strategjie që ka për funksion sigurimin e nevojave për financim të qeverisë dhe zhvillimin e tregut të titujve.</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082B20">
        <w:rPr>
          <w:rFonts w:ascii="Cambria" w:eastAsia="Batang" w:hAnsi="Cambria" w:cs="Times New Roman"/>
          <w:b/>
          <w:noProof/>
          <w:sz w:val="24"/>
          <w:szCs w:val="24"/>
          <w:lang w:eastAsia="ko-KR"/>
        </w:rPr>
        <w:t>Tregu primar</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lang w:eastAsia="ko-KR"/>
        </w:rPr>
        <w:t>Është hapësira fizike ose funksionale në të cilin Shteti Shqiptar emeton për herë të parë titujt.</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0"/>
          <w:szCs w:val="20"/>
          <w:lang w:eastAsia="ko-KR"/>
        </w:rPr>
      </w:pP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082B20">
        <w:rPr>
          <w:rFonts w:ascii="Cambria" w:eastAsia="Batang" w:hAnsi="Cambria" w:cs="Times New Roman"/>
          <w:b/>
          <w:noProof/>
          <w:sz w:val="24"/>
          <w:szCs w:val="24"/>
          <w:lang w:eastAsia="ko-KR"/>
        </w:rPr>
        <w:t>Tregu sekondar</w:t>
      </w:r>
      <w:r w:rsidRPr="00082B20">
        <w:rPr>
          <w:rFonts w:ascii="Times New Roman" w:eastAsia="Batang" w:hAnsi="Times New Roman" w:cs="Times New Roman"/>
          <w:b/>
          <w:noProof/>
          <w:sz w:val="24"/>
          <w:szCs w:val="24"/>
          <w:lang w:eastAsia="ko-KR"/>
        </w:rPr>
        <w:t xml:space="preserve"> –</w:t>
      </w:r>
      <w:r w:rsidRPr="00082B20">
        <w:rPr>
          <w:rFonts w:ascii="Times New Roman" w:eastAsia="Batang" w:hAnsi="Times New Roman" w:cs="Times New Roman"/>
          <w:noProof/>
          <w:sz w:val="24"/>
          <w:szCs w:val="24"/>
          <w:lang w:eastAsia="ko-KR"/>
        </w:rPr>
        <w:t xml:space="preserve"> Është hapësira fizike ose funksionale ku kryhen transaksionet me titujt pasi janë emetuar në tregun primar.</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0"/>
          <w:szCs w:val="20"/>
          <w:lang w:eastAsia="ko-KR"/>
        </w:rPr>
      </w:pPr>
    </w:p>
    <w:p w:rsidR="009354F2" w:rsidRPr="00082B20" w:rsidRDefault="009354F2" w:rsidP="00197C26">
      <w:pPr>
        <w:tabs>
          <w:tab w:val="left" w:pos="360"/>
        </w:tabs>
        <w:spacing w:after="0" w:line="240" w:lineRule="auto"/>
        <w:ind w:right="-46"/>
        <w:jc w:val="both"/>
        <w:rPr>
          <w:rFonts w:ascii="Cambria" w:eastAsia="Times New Roman" w:hAnsi="Cambria" w:cs="Times New Roman"/>
          <w:noProof/>
          <w:sz w:val="24"/>
          <w:szCs w:val="24"/>
        </w:rPr>
      </w:pPr>
      <w:r w:rsidRPr="00082B20">
        <w:rPr>
          <w:rFonts w:ascii="Cambria" w:eastAsia="Times New Roman" w:hAnsi="Cambria" w:cs="Times New Roman"/>
          <w:b/>
          <w:noProof/>
          <w:sz w:val="24"/>
          <w:szCs w:val="24"/>
        </w:rPr>
        <w:t xml:space="preserve">Tituj afatmesëm </w:t>
      </w:r>
      <w:r w:rsidRPr="00082B20">
        <w:rPr>
          <w:rFonts w:ascii="Times New Roman" w:eastAsia="Times New Roman" w:hAnsi="Times New Roman" w:cs="Times New Roman"/>
          <w:b/>
          <w:noProof/>
          <w:sz w:val="24"/>
          <w:szCs w:val="24"/>
        </w:rPr>
        <w:t>–</w:t>
      </w:r>
      <w:r w:rsidRPr="00082B20">
        <w:rPr>
          <w:rFonts w:ascii="Times New Roman" w:eastAsia="Times New Roman" w:hAnsi="Times New Roman" w:cs="Times New Roman"/>
          <w:noProof/>
          <w:sz w:val="24"/>
          <w:szCs w:val="24"/>
        </w:rPr>
        <w:t xml:space="preserve"> I referohet </w:t>
      </w:r>
      <w:r w:rsidRPr="00082B20">
        <w:rPr>
          <w:rFonts w:ascii="Times New Roman" w:eastAsia="Batang" w:hAnsi="Times New Roman" w:cs="Times New Roman"/>
          <w:bCs/>
          <w:noProof/>
          <w:sz w:val="24"/>
          <w:szCs w:val="24"/>
        </w:rPr>
        <w:t>titujve të borxhit shtetërorë me</w:t>
      </w:r>
      <w:r w:rsidRPr="00082B20">
        <w:rPr>
          <w:rFonts w:ascii="Times New Roman" w:eastAsia="Batang" w:hAnsi="Times New Roman" w:cs="Times New Roman"/>
          <w:b/>
          <w:bCs/>
          <w:noProof/>
          <w:sz w:val="24"/>
          <w:szCs w:val="24"/>
        </w:rPr>
        <w:t xml:space="preserve"> </w:t>
      </w:r>
      <w:r w:rsidRPr="00082B20">
        <w:rPr>
          <w:rFonts w:ascii="Times New Roman" w:eastAsia="Times New Roman" w:hAnsi="Times New Roman" w:cs="Times New Roman"/>
          <w:noProof/>
          <w:sz w:val="24"/>
          <w:szCs w:val="24"/>
        </w:rPr>
        <w:t>afat maturimi nga 2 deri në 5 vite.</w:t>
      </w:r>
    </w:p>
    <w:p w:rsidR="009354F2" w:rsidRPr="00082B20" w:rsidRDefault="009354F2" w:rsidP="00197C26">
      <w:pPr>
        <w:tabs>
          <w:tab w:val="left" w:pos="360"/>
        </w:tabs>
        <w:spacing w:after="0" w:line="240" w:lineRule="auto"/>
        <w:ind w:right="-46"/>
        <w:jc w:val="both"/>
        <w:rPr>
          <w:rFonts w:ascii="Cambria" w:eastAsia="Times New Roman" w:hAnsi="Cambria" w:cs="Times New Roman"/>
          <w:b/>
          <w:noProof/>
          <w:sz w:val="20"/>
          <w:szCs w:val="20"/>
        </w:rPr>
      </w:pPr>
    </w:p>
    <w:p w:rsidR="009354F2" w:rsidRPr="00082B20"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082B20">
        <w:rPr>
          <w:rFonts w:ascii="Cambria" w:eastAsia="Times New Roman" w:hAnsi="Cambria" w:cs="Times New Roman"/>
          <w:b/>
          <w:noProof/>
          <w:sz w:val="24"/>
          <w:szCs w:val="24"/>
        </w:rPr>
        <w:t xml:space="preserve">Tituj afatgjatë </w:t>
      </w:r>
      <w:r w:rsidRPr="00082B20">
        <w:rPr>
          <w:rFonts w:ascii="Times New Roman" w:eastAsia="Times New Roman" w:hAnsi="Times New Roman" w:cs="Times New Roman"/>
          <w:b/>
          <w:noProof/>
          <w:sz w:val="24"/>
          <w:szCs w:val="24"/>
        </w:rPr>
        <w:t xml:space="preserve">– </w:t>
      </w:r>
      <w:r w:rsidRPr="00082B20">
        <w:rPr>
          <w:rFonts w:ascii="Times New Roman" w:eastAsia="Times New Roman" w:hAnsi="Times New Roman" w:cs="Times New Roman"/>
          <w:noProof/>
          <w:sz w:val="24"/>
          <w:szCs w:val="24"/>
        </w:rPr>
        <w:t xml:space="preserve">I referohet </w:t>
      </w:r>
      <w:r w:rsidRPr="00082B20">
        <w:rPr>
          <w:rFonts w:ascii="Times New Roman" w:eastAsia="Batang" w:hAnsi="Times New Roman" w:cs="Times New Roman"/>
          <w:bCs/>
          <w:noProof/>
          <w:sz w:val="24"/>
          <w:szCs w:val="24"/>
        </w:rPr>
        <w:t>titujve të borxhit shtetërorë me</w:t>
      </w:r>
      <w:r w:rsidRPr="00082B20">
        <w:rPr>
          <w:rFonts w:ascii="Times New Roman" w:eastAsia="Batang" w:hAnsi="Times New Roman" w:cs="Times New Roman"/>
          <w:b/>
          <w:bCs/>
          <w:noProof/>
          <w:sz w:val="24"/>
          <w:szCs w:val="24"/>
        </w:rPr>
        <w:t xml:space="preserve"> </w:t>
      </w:r>
      <w:r w:rsidRPr="00082B20">
        <w:rPr>
          <w:rFonts w:ascii="Times New Roman" w:eastAsia="Times New Roman" w:hAnsi="Times New Roman" w:cs="Times New Roman"/>
          <w:noProof/>
          <w:sz w:val="24"/>
          <w:szCs w:val="24"/>
        </w:rPr>
        <w:t>afat maturimi mbi 5 vite.</w:t>
      </w:r>
    </w:p>
    <w:p w:rsidR="009354F2" w:rsidRPr="00082B20" w:rsidRDefault="009354F2" w:rsidP="00197C26">
      <w:pPr>
        <w:tabs>
          <w:tab w:val="left" w:pos="360"/>
        </w:tabs>
        <w:spacing w:after="0" w:line="240" w:lineRule="auto"/>
        <w:ind w:right="-46"/>
        <w:jc w:val="both"/>
        <w:rPr>
          <w:rFonts w:ascii="Cambria" w:eastAsia="Times New Roman" w:hAnsi="Cambria" w:cs="Times New Roman"/>
          <w:noProof/>
          <w:sz w:val="20"/>
          <w:szCs w:val="20"/>
        </w:rPr>
      </w:pPr>
    </w:p>
    <w:p w:rsidR="009354F2" w:rsidRPr="00082B20" w:rsidRDefault="009354F2" w:rsidP="00197C26">
      <w:pPr>
        <w:tabs>
          <w:tab w:val="left" w:pos="360"/>
        </w:tabs>
        <w:spacing w:after="0"/>
        <w:ind w:right="-46"/>
        <w:jc w:val="both"/>
        <w:rPr>
          <w:rFonts w:ascii="Times New Roman" w:eastAsia="Times New Roman" w:hAnsi="Times New Roman" w:cs="Times New Roman"/>
          <w:noProof/>
          <w:sz w:val="24"/>
          <w:szCs w:val="24"/>
        </w:rPr>
      </w:pPr>
      <w:r w:rsidRPr="00082B20">
        <w:rPr>
          <w:rFonts w:ascii="Cambria" w:eastAsia="Times New Roman" w:hAnsi="Cambria" w:cs="Times New Roman"/>
          <w:b/>
          <w:noProof/>
          <w:sz w:val="24"/>
          <w:szCs w:val="24"/>
        </w:rPr>
        <w:t xml:space="preserve">Tituj referencë </w:t>
      </w:r>
      <w:r w:rsidRPr="00082B20">
        <w:rPr>
          <w:rFonts w:ascii="Cambria" w:eastAsia="Times New Roman" w:hAnsi="Cambria" w:cs="Times New Roman"/>
          <w:b/>
          <w:i/>
          <w:noProof/>
          <w:sz w:val="24"/>
          <w:szCs w:val="24"/>
        </w:rPr>
        <w:t>(benchmark)</w:t>
      </w:r>
      <w:r w:rsidRPr="00082B20">
        <w:rPr>
          <w:rFonts w:ascii="Cambria" w:eastAsia="Times New Roman" w:hAnsi="Cambria" w:cs="Times New Roman"/>
          <w:b/>
          <w:noProof/>
          <w:sz w:val="24"/>
          <w:szCs w:val="24"/>
        </w:rPr>
        <w:t xml:space="preserve"> </w:t>
      </w:r>
      <w:r w:rsidRPr="00082B20">
        <w:rPr>
          <w:rFonts w:ascii="Times New Roman" w:eastAsia="Times New Roman" w:hAnsi="Times New Roman" w:cs="Times New Roman"/>
          <w:b/>
          <w:noProof/>
          <w:sz w:val="24"/>
          <w:szCs w:val="24"/>
        </w:rPr>
        <w:t xml:space="preserve">– </w:t>
      </w:r>
      <w:r w:rsidRPr="00082B20">
        <w:rPr>
          <w:rFonts w:ascii="Times New Roman" w:eastAsia="Batang" w:hAnsi="Times New Roman" w:cs="Times New Roman"/>
          <w:noProof/>
          <w:sz w:val="24"/>
          <w:szCs w:val="24"/>
          <w:lang w:eastAsia="ko-KR"/>
        </w:rPr>
        <w:t>Ë</w:t>
      </w:r>
      <w:r w:rsidRPr="00082B20">
        <w:rPr>
          <w:rFonts w:ascii="Times New Roman" w:eastAsia="Times New Roman" w:hAnsi="Times New Roman" w:cs="Times New Roman"/>
          <w:noProof/>
          <w:sz w:val="24"/>
          <w:szCs w:val="24"/>
        </w:rPr>
        <w:t>shtë emetimi më i fundit i titujve të shtetit shqiptar për një maturitet të caktuar. Ankandi për titullin referencë mund të rihapet periodikisht deri në arritjen e një vlere të paracaktuar nga Ministria e Financave dhe Ekonomisë. Ky titull përdoret si pikë referimi për vlerësimin e titujve të tjerë shtetërorë me maturitet, shumë emetimi dhe normë kuponi të ngjashëm.</w:t>
      </w:r>
    </w:p>
    <w:p w:rsidR="009354F2" w:rsidRPr="00082B20"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082B20">
        <w:rPr>
          <w:rFonts w:ascii="Times New Roman" w:eastAsia="Times New Roman" w:hAnsi="Times New Roman" w:cs="Times New Roman"/>
          <w:noProof/>
          <w:sz w:val="24"/>
          <w:szCs w:val="24"/>
        </w:rPr>
        <w:t>Përgjithësisht, titujt referencë gëzojnë likuiditet më të lartë se emetimet e zakonshme, për shkak të detyrimit që kanë Zhvilluesit e Tregut për të kuotuar çmime blerjeje/shitjeje në tregun sekondar sipas kushteve të përcaktuara në kontratën e lidhur me Ministrinë e Financave dhe Ekonomisë.</w:t>
      </w:r>
    </w:p>
    <w:p w:rsidR="009354F2" w:rsidRPr="00082B20"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0"/>
          <w:szCs w:val="20"/>
          <w:lang w:eastAsia="ko-KR"/>
        </w:rPr>
      </w:pPr>
    </w:p>
    <w:p w:rsidR="00904748" w:rsidRPr="00087DCA" w:rsidRDefault="009354F2" w:rsidP="00087DCA">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082B20">
        <w:rPr>
          <w:rFonts w:ascii="Cambria" w:eastAsia="Batang" w:hAnsi="Cambria" w:cs="Times New Roman"/>
          <w:b/>
          <w:noProof/>
          <w:sz w:val="24"/>
          <w:szCs w:val="24"/>
          <w:lang w:eastAsia="ko-KR"/>
        </w:rPr>
        <w:t>Tituj shtetërorë</w:t>
      </w:r>
      <w:r w:rsidRPr="00082B20">
        <w:rPr>
          <w:rFonts w:ascii="Times New Roman" w:eastAsia="Batang" w:hAnsi="Times New Roman" w:cs="Times New Roman"/>
          <w:b/>
          <w:noProof/>
          <w:sz w:val="24"/>
          <w:szCs w:val="24"/>
          <w:lang w:eastAsia="ko-KR"/>
        </w:rPr>
        <w:t xml:space="preserve"> – </w:t>
      </w:r>
      <w:r w:rsidRPr="00082B20">
        <w:rPr>
          <w:rFonts w:ascii="Times New Roman" w:eastAsia="Batang" w:hAnsi="Times New Roman" w:cs="Times New Roman"/>
          <w:noProof/>
          <w:sz w:val="24"/>
          <w:szCs w:val="24"/>
          <w:lang w:eastAsia="ko-KR"/>
        </w:rPr>
        <w:t>Janë bonot e thesarit dhe obligacionet shtetërore të emetuara nga Ministria e Financave dhe Ekonomisë në përputhje me ligjin Nr. 9665, datë 18.12.2006, “Për huamarrjen shtetërore, borxhin shtetëror dhe garancitë shtetërore të huasë në Republikën e Shqipërisë”, të ndryshuar; ligjin Nr. 9879, datë 21.02.2008 “Për titujt”; si edhe aktet nënligjore.</w:t>
      </w:r>
      <w:bookmarkStart w:id="34" w:name="_Toc34645075"/>
    </w:p>
    <w:p w:rsidR="00046697" w:rsidRPr="00E54D32" w:rsidRDefault="00046697" w:rsidP="00046697">
      <w:pPr>
        <w:keepNext/>
        <w:keepLines/>
        <w:spacing w:after="0" w:line="360" w:lineRule="auto"/>
        <w:ind w:right="-45"/>
        <w:jc w:val="center"/>
        <w:outlineLvl w:val="0"/>
        <w:rPr>
          <w:rFonts w:ascii="Cambria" w:eastAsia="Times New Roman" w:hAnsi="Cambria" w:cstheme="majorBidi"/>
          <w:b/>
          <w:noProof/>
          <w:color w:val="C00000"/>
          <w:sz w:val="24"/>
          <w:szCs w:val="32"/>
        </w:rPr>
      </w:pPr>
      <w:r w:rsidRPr="00E54D32">
        <w:rPr>
          <w:rFonts w:ascii="Cambria" w:eastAsia="Times New Roman" w:hAnsi="Cambria" w:cstheme="majorBidi"/>
          <w:b/>
          <w:noProof/>
          <w:color w:val="C00000"/>
          <w:sz w:val="24"/>
          <w:szCs w:val="32"/>
        </w:rPr>
        <w:t>ANEKSI II</w:t>
      </w:r>
      <w:bookmarkEnd w:id="34"/>
    </w:p>
    <w:p w:rsidR="00904748" w:rsidRPr="00EE7E9F" w:rsidRDefault="00904748" w:rsidP="00904748">
      <w:pPr>
        <w:keepNext/>
        <w:keepLines/>
        <w:spacing w:after="0" w:line="240" w:lineRule="auto"/>
        <w:ind w:right="-45"/>
        <w:jc w:val="center"/>
        <w:outlineLvl w:val="0"/>
        <w:rPr>
          <w:rFonts w:ascii="Cambria" w:eastAsia="Times New Roman" w:hAnsi="Cambria" w:cstheme="majorBidi"/>
          <w:b/>
          <w:noProof/>
          <w:color w:val="C00000"/>
          <w:sz w:val="24"/>
          <w:szCs w:val="32"/>
          <w:highlight w:val="yellow"/>
        </w:rPr>
      </w:pPr>
    </w:p>
    <w:p w:rsidR="00046697" w:rsidRPr="00082B20" w:rsidRDefault="00046697" w:rsidP="00A604AC">
      <w:pPr>
        <w:keepNext/>
        <w:keepLines/>
        <w:spacing w:after="0" w:line="360" w:lineRule="auto"/>
        <w:ind w:right="-45"/>
        <w:jc w:val="center"/>
        <w:outlineLvl w:val="0"/>
        <w:rPr>
          <w:rFonts w:ascii="Cambria" w:eastAsia="Times New Roman" w:hAnsi="Cambria" w:cstheme="majorBidi"/>
          <w:b/>
          <w:noProof/>
          <w:color w:val="C00000"/>
          <w:sz w:val="24"/>
          <w:szCs w:val="32"/>
        </w:rPr>
      </w:pPr>
      <w:r w:rsidRPr="00082B20">
        <w:rPr>
          <w:rFonts w:ascii="Cambria" w:eastAsia="Times New Roman" w:hAnsi="Cambria" w:cstheme="majorBidi"/>
          <w:b/>
          <w:noProof/>
          <w:color w:val="C00000"/>
          <w:sz w:val="24"/>
          <w:szCs w:val="32"/>
        </w:rPr>
        <w:t xml:space="preserve"> </w:t>
      </w:r>
      <w:bookmarkStart w:id="35" w:name="_Toc9249216"/>
      <w:bookmarkStart w:id="36" w:name="_Toc34645076"/>
      <w:r w:rsidRPr="00082B20">
        <w:rPr>
          <w:rFonts w:ascii="Cambria" w:eastAsia="Times New Roman" w:hAnsi="Cambria" w:cstheme="majorBidi"/>
          <w:b/>
          <w:noProof/>
          <w:color w:val="C00000"/>
          <w:sz w:val="24"/>
          <w:szCs w:val="32"/>
        </w:rPr>
        <w:t>TË DHËNA SHTESË</w:t>
      </w:r>
      <w:bookmarkEnd w:id="35"/>
      <w:bookmarkEnd w:id="36"/>
      <w:r w:rsidRPr="00082B20">
        <w:rPr>
          <w:rFonts w:ascii="Cambria" w:eastAsia="Times New Roman" w:hAnsi="Cambria" w:cstheme="majorBidi"/>
          <w:b/>
          <w:noProof/>
          <w:color w:val="C00000"/>
          <w:sz w:val="24"/>
          <w:szCs w:val="32"/>
        </w:rPr>
        <w:t xml:space="preserve"> </w:t>
      </w:r>
    </w:p>
    <w:p w:rsidR="00A604AC" w:rsidRPr="00082B20" w:rsidRDefault="00A604AC" w:rsidP="00A604AC">
      <w:pPr>
        <w:keepNext/>
        <w:keepLines/>
        <w:spacing w:after="0" w:line="360" w:lineRule="auto"/>
        <w:ind w:right="-45"/>
        <w:jc w:val="center"/>
        <w:outlineLvl w:val="0"/>
        <w:rPr>
          <w:rFonts w:ascii="Cambria" w:eastAsia="Times New Roman" w:hAnsi="Cambria" w:cstheme="majorBidi"/>
          <w:b/>
          <w:noProof/>
          <w:color w:val="C00000"/>
          <w:sz w:val="20"/>
          <w:szCs w:val="20"/>
        </w:rPr>
      </w:pPr>
    </w:p>
    <w:p w:rsidR="00046697" w:rsidRPr="00082B20" w:rsidRDefault="00046697" w:rsidP="00046697">
      <w:pPr>
        <w:numPr>
          <w:ilvl w:val="0"/>
          <w:numId w:val="6"/>
        </w:numPr>
        <w:spacing w:after="0" w:line="240" w:lineRule="auto"/>
        <w:ind w:left="567" w:right="-46" w:hanging="567"/>
        <w:contextualSpacing/>
        <w:rPr>
          <w:rFonts w:ascii="Cambria" w:hAnsi="Cambria" w:cs="Times New Roman"/>
          <w:b/>
          <w:sz w:val="24"/>
          <w:szCs w:val="24"/>
        </w:rPr>
      </w:pPr>
      <w:r w:rsidRPr="00082B20">
        <w:rPr>
          <w:rFonts w:ascii="Cambria" w:eastAsia="Times New Roman" w:hAnsi="Cambria"/>
          <w:b/>
          <w:noProof/>
        </w:rPr>
        <w:t>STOKU I BORXHIT PUBLIK DHE QEVERISJES QENDORE</w:t>
      </w:r>
    </w:p>
    <w:p w:rsidR="00087DCA" w:rsidRDefault="00087DCA" w:rsidP="00046697">
      <w:pPr>
        <w:spacing w:after="0" w:line="240" w:lineRule="auto"/>
        <w:ind w:right="-46"/>
        <w:jc w:val="both"/>
        <w:rPr>
          <w:rFonts w:ascii="Cambria" w:hAnsi="Cambria" w:cs="Times New Roman"/>
          <w:b/>
          <w:sz w:val="32"/>
          <w:szCs w:val="24"/>
          <w:highlight w:val="yellow"/>
        </w:rPr>
      </w:pPr>
    </w:p>
    <w:p w:rsidR="00854779" w:rsidRPr="00087DCA" w:rsidRDefault="00046697" w:rsidP="00046697">
      <w:pPr>
        <w:spacing w:after="0" w:line="240" w:lineRule="auto"/>
        <w:ind w:right="-46"/>
        <w:jc w:val="both"/>
        <w:rPr>
          <w:rFonts w:ascii="Cambria" w:hAnsi="Cambria"/>
          <w:i/>
          <w:sz w:val="20"/>
          <w:szCs w:val="20"/>
        </w:rPr>
      </w:pPr>
      <w:r w:rsidRPr="00A3461F">
        <w:rPr>
          <w:rFonts w:ascii="Cambria" w:hAnsi="Cambria"/>
          <w:b/>
          <w:sz w:val="20"/>
          <w:szCs w:val="20"/>
        </w:rPr>
        <w:t xml:space="preserve">Tabela 1.0: </w:t>
      </w:r>
      <w:r w:rsidRPr="00A3461F">
        <w:rPr>
          <w:rFonts w:ascii="Cambria" w:hAnsi="Cambria"/>
          <w:i/>
          <w:sz w:val="20"/>
          <w:szCs w:val="20"/>
        </w:rPr>
        <w:t xml:space="preserve">Stoku i </w:t>
      </w:r>
      <w:r w:rsidR="008A5B01" w:rsidRPr="00A3461F">
        <w:rPr>
          <w:rFonts w:ascii="Cambria" w:hAnsi="Cambria"/>
          <w:i/>
          <w:sz w:val="20"/>
          <w:szCs w:val="20"/>
        </w:rPr>
        <w:t>b</w:t>
      </w:r>
      <w:r w:rsidRPr="00A3461F">
        <w:rPr>
          <w:rFonts w:ascii="Cambria" w:hAnsi="Cambria"/>
          <w:i/>
          <w:sz w:val="20"/>
          <w:szCs w:val="20"/>
        </w:rPr>
        <w:t xml:space="preserve">orxhit </w:t>
      </w:r>
      <w:r w:rsidR="008A5B01" w:rsidRPr="00A3461F">
        <w:rPr>
          <w:rFonts w:ascii="Cambria" w:hAnsi="Cambria"/>
          <w:i/>
          <w:sz w:val="20"/>
          <w:szCs w:val="20"/>
        </w:rPr>
        <w:t>p</w:t>
      </w:r>
      <w:r w:rsidRPr="00A3461F">
        <w:rPr>
          <w:rFonts w:ascii="Cambria" w:hAnsi="Cambria"/>
          <w:i/>
          <w:sz w:val="20"/>
          <w:szCs w:val="20"/>
        </w:rPr>
        <w:t xml:space="preserve">ublik </w:t>
      </w:r>
      <w:r w:rsidR="001B0EEC" w:rsidRPr="00A3461F">
        <w:rPr>
          <w:rFonts w:ascii="Cambria" w:hAnsi="Cambria"/>
          <w:i/>
          <w:sz w:val="20"/>
          <w:szCs w:val="20"/>
        </w:rPr>
        <w:t>(</w:t>
      </w:r>
      <w:r w:rsidR="00084A95" w:rsidRPr="00A3461F">
        <w:rPr>
          <w:rFonts w:ascii="Cambria" w:hAnsi="Cambria"/>
          <w:i/>
          <w:sz w:val="20"/>
          <w:szCs w:val="20"/>
        </w:rPr>
        <w:t>2016</w:t>
      </w:r>
      <w:r w:rsidR="008A5B01" w:rsidRPr="00A3461F">
        <w:rPr>
          <w:rFonts w:ascii="Cambria" w:hAnsi="Cambria"/>
          <w:i/>
          <w:sz w:val="20"/>
          <w:szCs w:val="20"/>
        </w:rPr>
        <w:t>-</w:t>
      </w:r>
      <w:r w:rsidR="00084A95" w:rsidRPr="00A3461F">
        <w:rPr>
          <w:rFonts w:ascii="Cambria" w:hAnsi="Cambria"/>
          <w:i/>
          <w:sz w:val="20"/>
          <w:szCs w:val="20"/>
        </w:rPr>
        <w:t>202</w:t>
      </w:r>
      <w:r w:rsidR="00104A37" w:rsidRPr="00A3461F">
        <w:rPr>
          <w:rFonts w:ascii="Cambria" w:hAnsi="Cambria"/>
          <w:i/>
          <w:sz w:val="20"/>
          <w:szCs w:val="20"/>
        </w:rPr>
        <w:t>1</w:t>
      </w:r>
      <w:r w:rsidR="001B0EEC" w:rsidRPr="00A3461F">
        <w:rPr>
          <w:rFonts w:ascii="Cambria" w:hAnsi="Cambria"/>
          <w:i/>
          <w:sz w:val="20"/>
          <w:szCs w:val="20"/>
        </w:rPr>
        <w:t>)</w:t>
      </w:r>
      <w:r w:rsidR="008C4584" w:rsidRPr="00A3461F">
        <w:rPr>
          <w:rFonts w:ascii="Cambria" w:hAnsi="Cambria"/>
          <w:i/>
          <w:sz w:val="20"/>
          <w:szCs w:val="20"/>
        </w:rPr>
        <w:t xml:space="preserve">        </w:t>
      </w:r>
      <w:r w:rsidR="00087DCA">
        <w:rPr>
          <w:rFonts w:ascii="Cambria" w:hAnsi="Cambria"/>
          <w:i/>
          <w:sz w:val="20"/>
          <w:szCs w:val="20"/>
        </w:rPr>
        <w:t xml:space="preserve">                                      </w:t>
      </w:r>
      <w:r w:rsidR="008C4584" w:rsidRPr="00A3461F">
        <w:rPr>
          <w:rFonts w:ascii="Cambria" w:hAnsi="Cambria"/>
          <w:i/>
          <w:sz w:val="20"/>
          <w:szCs w:val="20"/>
        </w:rPr>
        <w:t xml:space="preserve">  </w:t>
      </w:r>
      <w:r w:rsidR="00163A17">
        <w:rPr>
          <w:rFonts w:ascii="Cambria" w:hAnsi="Cambria"/>
          <w:i/>
          <w:sz w:val="20"/>
          <w:szCs w:val="20"/>
        </w:rPr>
        <w:t xml:space="preserve">               </w:t>
      </w:r>
      <w:r w:rsidR="008C4584" w:rsidRPr="00A3461F">
        <w:rPr>
          <w:rFonts w:ascii="Cambria" w:hAnsi="Cambria"/>
          <w:i/>
          <w:sz w:val="20"/>
          <w:szCs w:val="20"/>
        </w:rPr>
        <w:t xml:space="preserve"> </w:t>
      </w:r>
      <w:r w:rsidR="00A3461F">
        <w:rPr>
          <w:rFonts w:ascii="Cambria" w:hAnsi="Cambria"/>
          <w:i/>
          <w:sz w:val="20"/>
          <w:szCs w:val="20"/>
        </w:rPr>
        <w:t xml:space="preserve"> </w:t>
      </w:r>
      <w:r w:rsidR="00B2242A">
        <w:rPr>
          <w:rFonts w:ascii="Cambria" w:hAnsi="Cambria"/>
          <w:i/>
          <w:sz w:val="20"/>
          <w:szCs w:val="20"/>
        </w:rPr>
        <w:t xml:space="preserve">                  </w:t>
      </w:r>
      <w:r w:rsidRPr="00A3461F">
        <w:rPr>
          <w:rFonts w:ascii="Cambria" w:hAnsi="Cambria"/>
          <w:i/>
          <w:sz w:val="20"/>
          <w:szCs w:val="20"/>
        </w:rPr>
        <w:t>(në milion Lek</w:t>
      </w:r>
      <w:r w:rsidR="004C7713" w:rsidRPr="00A3461F">
        <w:rPr>
          <w:rFonts w:ascii="Cambria" w:hAnsi="Cambria"/>
          <w:i/>
          <w:sz w:val="20"/>
          <w:szCs w:val="20"/>
        </w:rPr>
        <w:t>ë</w:t>
      </w:r>
      <w:r w:rsidRPr="00A3461F">
        <w:rPr>
          <w:rFonts w:ascii="Cambria" w:hAnsi="Cambria"/>
          <w:i/>
          <w:sz w:val="20"/>
          <w:szCs w:val="20"/>
        </w:rPr>
        <w:t>)</w:t>
      </w:r>
      <w:r w:rsidR="00F008FC">
        <w:rPr>
          <w:highlight w:val="yellow"/>
        </w:rPr>
        <w:fldChar w:fldCharType="begin"/>
      </w:r>
      <w:r w:rsidR="00F008FC">
        <w:rPr>
          <w:highlight w:val="yellow"/>
        </w:rPr>
        <w:instrText xml:space="preserve"> LINK </w:instrText>
      </w:r>
      <w:r w:rsidR="00854779">
        <w:rPr>
          <w:highlight w:val="yellow"/>
        </w:rPr>
        <w:instrText xml:space="preserve">Excel.Sheet.12 "C:\\Users\\sidiola.basho\\Desktop\\Dokumenta\\Buletini\\Grafiket per analizen e 9m 2021_dhjetor 2021.xlsx" "Stoku i Borxhit!R62C1:R69C8" </w:instrText>
      </w:r>
      <w:r w:rsidR="00F008FC">
        <w:rPr>
          <w:highlight w:val="yellow"/>
        </w:rPr>
        <w:instrText xml:space="preserve">\a \f 4 \h </w:instrText>
      </w:r>
      <w:r w:rsidR="00854779">
        <w:rPr>
          <w:highlight w:val="yellow"/>
        </w:rPr>
        <w:instrText xml:space="preserve"> \* MERGEFORMAT </w:instrText>
      </w:r>
      <w:r w:rsidR="00F008FC">
        <w:rPr>
          <w:highlight w:val="yellow"/>
        </w:rPr>
        <w:fldChar w:fldCharType="separate"/>
      </w:r>
    </w:p>
    <w:p w:rsidR="00F008FC" w:rsidRPr="00EE7E9F" w:rsidRDefault="00F008FC" w:rsidP="00046697">
      <w:pPr>
        <w:spacing w:after="0" w:line="240" w:lineRule="auto"/>
        <w:ind w:right="-46"/>
        <w:jc w:val="both"/>
        <w:rPr>
          <w:rFonts w:ascii="Cambria" w:hAnsi="Cambria"/>
          <w:i/>
          <w:sz w:val="20"/>
          <w:szCs w:val="20"/>
          <w:highlight w:val="yellow"/>
        </w:rPr>
      </w:pPr>
      <w:r>
        <w:rPr>
          <w:rFonts w:ascii="Cambria" w:hAnsi="Cambria"/>
          <w:i/>
          <w:sz w:val="20"/>
          <w:szCs w:val="20"/>
          <w:highlight w:val="yellow"/>
        </w:rPr>
        <w:fldChar w:fldCharType="end"/>
      </w:r>
      <w:r w:rsidR="00C860F4" w:rsidRPr="00FB2E3B">
        <w:rPr>
          <w:noProof/>
          <w:lang w:val="en-US"/>
        </w:rPr>
        <w:drawing>
          <wp:inline distT="0" distB="0" distL="0" distR="0" wp14:anchorId="7F72F337" wp14:editId="77E98B79">
            <wp:extent cx="5731510" cy="1472134"/>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1472134"/>
                    </a:xfrm>
                    <a:prstGeom prst="rect">
                      <a:avLst/>
                    </a:prstGeom>
                    <a:noFill/>
                    <a:ln>
                      <a:noFill/>
                    </a:ln>
                  </pic:spPr>
                </pic:pic>
              </a:graphicData>
            </a:graphic>
          </wp:inline>
        </w:drawing>
      </w:r>
    </w:p>
    <w:p w:rsidR="00F008FC" w:rsidRPr="00A3461F" w:rsidRDefault="00F008FC" w:rsidP="00046697">
      <w:pPr>
        <w:tabs>
          <w:tab w:val="left" w:pos="142"/>
        </w:tabs>
        <w:spacing w:after="0" w:line="240" w:lineRule="auto"/>
        <w:ind w:right="-46"/>
        <w:rPr>
          <w:rFonts w:ascii="Cambria" w:eastAsia="Times New Roman" w:hAnsi="Cambria"/>
          <w:b/>
          <w:sz w:val="20"/>
          <w:szCs w:val="20"/>
        </w:rPr>
      </w:pPr>
    </w:p>
    <w:p w:rsidR="00854779" w:rsidRPr="00087DCA" w:rsidRDefault="004B419B" w:rsidP="00046697">
      <w:pPr>
        <w:tabs>
          <w:tab w:val="left" w:pos="142"/>
        </w:tabs>
        <w:spacing w:after="0" w:line="240" w:lineRule="auto"/>
        <w:ind w:right="-46"/>
        <w:rPr>
          <w:rFonts w:ascii="Cambria" w:eastAsia="Times New Roman" w:hAnsi="Cambria"/>
          <w:i/>
          <w:sz w:val="20"/>
          <w:szCs w:val="20"/>
        </w:rPr>
      </w:pPr>
      <w:r w:rsidRPr="00A3461F">
        <w:rPr>
          <w:rFonts w:ascii="Cambria" w:eastAsia="Times New Roman" w:hAnsi="Cambria"/>
          <w:b/>
          <w:sz w:val="20"/>
          <w:szCs w:val="20"/>
        </w:rPr>
        <w:t>Tabela 1.1</w:t>
      </w:r>
      <w:r w:rsidR="00046697" w:rsidRPr="00A3461F">
        <w:rPr>
          <w:rFonts w:ascii="Cambria" w:eastAsia="Times New Roman" w:hAnsi="Cambria"/>
          <w:b/>
          <w:sz w:val="20"/>
          <w:szCs w:val="20"/>
        </w:rPr>
        <w:t xml:space="preserve">: </w:t>
      </w:r>
      <w:r w:rsidR="00B15B9D" w:rsidRPr="00A3461F">
        <w:rPr>
          <w:rFonts w:ascii="Cambria" w:eastAsia="Times New Roman" w:hAnsi="Cambria"/>
          <w:i/>
          <w:sz w:val="20"/>
          <w:szCs w:val="20"/>
        </w:rPr>
        <w:t>Stoku i b</w:t>
      </w:r>
      <w:r w:rsidR="00046697" w:rsidRPr="00A3461F">
        <w:rPr>
          <w:rFonts w:ascii="Cambria" w:eastAsia="Times New Roman" w:hAnsi="Cambria"/>
          <w:i/>
          <w:sz w:val="20"/>
          <w:szCs w:val="20"/>
        </w:rPr>
        <w:t xml:space="preserve">orxhit të </w:t>
      </w:r>
      <w:r w:rsidR="008A5B01" w:rsidRPr="00A3461F">
        <w:rPr>
          <w:rFonts w:ascii="Cambria" w:eastAsia="Times New Roman" w:hAnsi="Cambria"/>
          <w:i/>
          <w:sz w:val="20"/>
          <w:szCs w:val="20"/>
        </w:rPr>
        <w:t>q</w:t>
      </w:r>
      <w:r w:rsidR="00046697" w:rsidRPr="00A3461F">
        <w:rPr>
          <w:rFonts w:ascii="Cambria" w:eastAsia="Times New Roman" w:hAnsi="Cambria"/>
          <w:i/>
          <w:sz w:val="20"/>
          <w:szCs w:val="20"/>
        </w:rPr>
        <w:t xml:space="preserve">everisjes </w:t>
      </w:r>
      <w:r w:rsidR="008A5B01" w:rsidRPr="00A3461F">
        <w:rPr>
          <w:rFonts w:ascii="Cambria" w:eastAsia="Times New Roman" w:hAnsi="Cambria"/>
          <w:i/>
          <w:sz w:val="20"/>
          <w:szCs w:val="20"/>
        </w:rPr>
        <w:t>q</w:t>
      </w:r>
      <w:r w:rsidR="00046697" w:rsidRPr="00A3461F">
        <w:rPr>
          <w:rFonts w:ascii="Cambria" w:eastAsia="Times New Roman" w:hAnsi="Cambria"/>
          <w:i/>
          <w:sz w:val="20"/>
          <w:szCs w:val="20"/>
        </w:rPr>
        <w:t xml:space="preserve">endrore </w:t>
      </w:r>
      <w:r w:rsidR="001B0EEC" w:rsidRPr="00A3461F">
        <w:rPr>
          <w:rFonts w:ascii="Cambria" w:eastAsia="Times New Roman" w:hAnsi="Cambria"/>
          <w:i/>
          <w:sz w:val="20"/>
          <w:szCs w:val="20"/>
        </w:rPr>
        <w:t>(</w:t>
      </w:r>
      <w:r w:rsidR="00084A95" w:rsidRPr="00A3461F">
        <w:rPr>
          <w:rFonts w:ascii="Cambria" w:hAnsi="Cambria"/>
          <w:i/>
          <w:sz w:val="20"/>
          <w:szCs w:val="20"/>
        </w:rPr>
        <w:t>2016-</w:t>
      </w:r>
      <w:r w:rsidR="00F008FC">
        <w:rPr>
          <w:rFonts w:ascii="Cambria" w:hAnsi="Cambria"/>
          <w:i/>
          <w:sz w:val="20"/>
          <w:szCs w:val="20"/>
        </w:rPr>
        <w:t xml:space="preserve"> </w:t>
      </w:r>
      <w:r w:rsidR="00084A95" w:rsidRPr="00A3461F">
        <w:rPr>
          <w:rFonts w:ascii="Cambria" w:hAnsi="Cambria"/>
          <w:i/>
          <w:sz w:val="20"/>
          <w:szCs w:val="20"/>
        </w:rPr>
        <w:t>202</w:t>
      </w:r>
      <w:r w:rsidR="00104A37" w:rsidRPr="00A3461F">
        <w:rPr>
          <w:rFonts w:ascii="Cambria" w:hAnsi="Cambria"/>
          <w:i/>
          <w:sz w:val="20"/>
          <w:szCs w:val="20"/>
        </w:rPr>
        <w:t>1</w:t>
      </w:r>
      <w:r w:rsidR="001B0EEC" w:rsidRPr="00A3461F">
        <w:rPr>
          <w:rFonts w:ascii="Cambria" w:hAnsi="Cambria"/>
          <w:i/>
          <w:sz w:val="20"/>
          <w:szCs w:val="20"/>
        </w:rPr>
        <w:t>)</w:t>
      </w:r>
      <w:r w:rsidR="008C4584" w:rsidRPr="00A3461F">
        <w:rPr>
          <w:rFonts w:ascii="Cambria" w:eastAsia="Times New Roman" w:hAnsi="Cambria"/>
          <w:i/>
          <w:sz w:val="20"/>
          <w:szCs w:val="20"/>
        </w:rPr>
        <w:t xml:space="preserve">                       </w:t>
      </w:r>
      <w:r w:rsidR="008A5B01" w:rsidRPr="00A3461F">
        <w:rPr>
          <w:rFonts w:ascii="Cambria" w:eastAsia="Times New Roman" w:hAnsi="Cambria"/>
          <w:i/>
          <w:sz w:val="20"/>
          <w:szCs w:val="20"/>
        </w:rPr>
        <w:t xml:space="preserve">            </w:t>
      </w:r>
      <w:r w:rsidR="00A3461F">
        <w:rPr>
          <w:rFonts w:ascii="Cambria" w:eastAsia="Times New Roman" w:hAnsi="Cambria"/>
          <w:i/>
          <w:sz w:val="20"/>
          <w:szCs w:val="20"/>
        </w:rPr>
        <w:t xml:space="preserve">  </w:t>
      </w:r>
      <w:r w:rsidR="00B2242A">
        <w:rPr>
          <w:rFonts w:ascii="Cambria" w:eastAsia="Times New Roman" w:hAnsi="Cambria"/>
          <w:i/>
          <w:sz w:val="20"/>
          <w:szCs w:val="20"/>
        </w:rPr>
        <w:t xml:space="preserve">             </w:t>
      </w:r>
      <w:r w:rsidR="00A3461F">
        <w:rPr>
          <w:rFonts w:ascii="Cambria" w:eastAsia="Times New Roman" w:hAnsi="Cambria"/>
          <w:i/>
          <w:sz w:val="20"/>
          <w:szCs w:val="20"/>
        </w:rPr>
        <w:t xml:space="preserve">  </w:t>
      </w:r>
      <w:r w:rsidR="00046697" w:rsidRPr="00A3461F">
        <w:rPr>
          <w:rFonts w:ascii="Cambria" w:eastAsia="Times New Roman" w:hAnsi="Cambria"/>
          <w:i/>
          <w:sz w:val="20"/>
          <w:szCs w:val="20"/>
        </w:rPr>
        <w:t>(në milion Lek</w:t>
      </w:r>
      <w:r w:rsidR="003F5D3F" w:rsidRPr="00A3461F">
        <w:rPr>
          <w:rFonts w:ascii="Cambria" w:eastAsia="Times New Roman" w:hAnsi="Cambria"/>
          <w:i/>
          <w:sz w:val="20"/>
          <w:szCs w:val="20"/>
        </w:rPr>
        <w:t>ë</w:t>
      </w:r>
      <w:r w:rsidR="00046697" w:rsidRPr="00A3461F">
        <w:rPr>
          <w:rFonts w:ascii="Cambria" w:eastAsia="Times New Roman" w:hAnsi="Cambria"/>
          <w:i/>
          <w:sz w:val="20"/>
          <w:szCs w:val="20"/>
        </w:rPr>
        <w:t>)</w:t>
      </w:r>
      <w:r w:rsidR="00F008FC">
        <w:rPr>
          <w:noProof/>
          <w:lang w:val="en-GB" w:eastAsia="en-GB"/>
        </w:rPr>
        <w:fldChar w:fldCharType="begin"/>
      </w:r>
      <w:r w:rsidR="00F008FC">
        <w:rPr>
          <w:noProof/>
          <w:lang w:val="en-GB" w:eastAsia="en-GB"/>
        </w:rPr>
        <w:instrText xml:space="preserve"> LINK </w:instrText>
      </w:r>
      <w:r w:rsidR="00854779">
        <w:rPr>
          <w:noProof/>
          <w:lang w:val="en-GB" w:eastAsia="en-GB"/>
        </w:rPr>
        <w:instrText xml:space="preserve">Excel.Sheet.12 "C:\\Users\\sidiola.basho\\Desktop\\Dokumenta\\Buletini\\Grafiket per analizen e 9m 2021_dhjetor 2021.xlsx" "Stoku i Borxhit!R72C1:R75C8" </w:instrText>
      </w:r>
      <w:r w:rsidR="00F008FC">
        <w:rPr>
          <w:noProof/>
          <w:lang w:val="en-GB" w:eastAsia="en-GB"/>
        </w:rPr>
        <w:instrText xml:space="preserve">\a \f 4 \h  \* MERGEFORMAT </w:instrText>
      </w:r>
      <w:r w:rsidR="00F008FC">
        <w:rPr>
          <w:noProof/>
          <w:lang w:val="en-GB" w:eastAsia="en-GB"/>
        </w:rPr>
        <w:fldChar w:fldCharType="separate"/>
      </w:r>
    </w:p>
    <w:tbl>
      <w:tblPr>
        <w:tblW w:w="9003" w:type="dxa"/>
        <w:tblLook w:val="04A0" w:firstRow="1" w:lastRow="0" w:firstColumn="1" w:lastColumn="0" w:noHBand="0" w:noVBand="1"/>
      </w:tblPr>
      <w:tblGrid>
        <w:gridCol w:w="2151"/>
        <w:gridCol w:w="1407"/>
        <w:gridCol w:w="1081"/>
        <w:gridCol w:w="1232"/>
        <w:gridCol w:w="1044"/>
        <w:gridCol w:w="1044"/>
        <w:gridCol w:w="1044"/>
      </w:tblGrid>
      <w:tr w:rsidR="00854779" w:rsidRPr="00854779" w:rsidTr="00087DCA">
        <w:trPr>
          <w:divId w:val="1952516523"/>
          <w:trHeight w:val="260"/>
        </w:trPr>
        <w:tc>
          <w:tcPr>
            <w:tcW w:w="2151" w:type="dxa"/>
            <w:tcBorders>
              <w:top w:val="nil"/>
              <w:left w:val="nil"/>
              <w:bottom w:val="nil"/>
              <w:right w:val="nil"/>
            </w:tcBorders>
            <w:shd w:val="clear" w:color="000000" w:fill="4F81BD"/>
            <w:noWrap/>
            <w:vAlign w:val="bottom"/>
            <w:hideMark/>
          </w:tcPr>
          <w:p w:rsidR="00854779" w:rsidRPr="00854779" w:rsidRDefault="00854779" w:rsidP="00854779">
            <w:pPr>
              <w:spacing w:after="0" w:line="240" w:lineRule="auto"/>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 </w:t>
            </w:r>
          </w:p>
        </w:tc>
        <w:tc>
          <w:tcPr>
            <w:tcW w:w="1407" w:type="dxa"/>
            <w:tcBorders>
              <w:top w:val="nil"/>
              <w:left w:val="single" w:sz="8" w:space="0" w:color="FFFFFF"/>
              <w:bottom w:val="nil"/>
              <w:right w:val="single" w:sz="8" w:space="0" w:color="FFFFFF"/>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2016</w:t>
            </w:r>
          </w:p>
        </w:tc>
        <w:tc>
          <w:tcPr>
            <w:tcW w:w="1081" w:type="dxa"/>
            <w:tcBorders>
              <w:top w:val="nil"/>
              <w:left w:val="nil"/>
              <w:bottom w:val="nil"/>
              <w:right w:val="single" w:sz="8" w:space="0" w:color="FFFFFF"/>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2017</w:t>
            </w:r>
          </w:p>
        </w:tc>
        <w:tc>
          <w:tcPr>
            <w:tcW w:w="1232" w:type="dxa"/>
            <w:tcBorders>
              <w:top w:val="nil"/>
              <w:left w:val="nil"/>
              <w:bottom w:val="nil"/>
              <w:right w:val="single" w:sz="8" w:space="0" w:color="FFFFFF"/>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2018</w:t>
            </w:r>
          </w:p>
        </w:tc>
        <w:tc>
          <w:tcPr>
            <w:tcW w:w="1044" w:type="dxa"/>
            <w:tcBorders>
              <w:top w:val="nil"/>
              <w:left w:val="nil"/>
              <w:bottom w:val="nil"/>
              <w:right w:val="single" w:sz="8" w:space="0" w:color="FFFFFF"/>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2019</w:t>
            </w:r>
          </w:p>
        </w:tc>
        <w:tc>
          <w:tcPr>
            <w:tcW w:w="1044" w:type="dxa"/>
            <w:tcBorders>
              <w:top w:val="nil"/>
              <w:left w:val="nil"/>
              <w:bottom w:val="nil"/>
              <w:right w:val="single" w:sz="8" w:space="0" w:color="FFFFFF"/>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2020</w:t>
            </w:r>
          </w:p>
        </w:tc>
        <w:tc>
          <w:tcPr>
            <w:tcW w:w="1044" w:type="dxa"/>
            <w:tcBorders>
              <w:top w:val="nil"/>
              <w:left w:val="nil"/>
              <w:bottom w:val="nil"/>
              <w:right w:val="nil"/>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2021</w:t>
            </w:r>
          </w:p>
        </w:tc>
      </w:tr>
      <w:tr w:rsidR="00087DCA" w:rsidRPr="00854779" w:rsidTr="00087DCA">
        <w:trPr>
          <w:divId w:val="1952516523"/>
          <w:trHeight w:val="260"/>
        </w:trPr>
        <w:tc>
          <w:tcPr>
            <w:tcW w:w="2151"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Borxhi i Qeverisjes Qendrore</w:t>
            </w:r>
          </w:p>
        </w:tc>
        <w:tc>
          <w:tcPr>
            <w:tcW w:w="1407"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1,065,709.0</w:t>
            </w:r>
          </w:p>
        </w:tc>
        <w:tc>
          <w:tcPr>
            <w:tcW w:w="1081"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1,087,341.9</w:t>
            </w:r>
          </w:p>
        </w:tc>
        <w:tc>
          <w:tcPr>
            <w:tcW w:w="1232"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1,106,568.8</w:t>
            </w:r>
          </w:p>
        </w:tc>
        <w:tc>
          <w:tcPr>
            <w:tcW w:w="1044"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1,112,044.2</w:t>
            </w:r>
          </w:p>
        </w:tc>
        <w:tc>
          <w:tcPr>
            <w:tcW w:w="1044"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1,224,038.2</w:t>
            </w:r>
          </w:p>
        </w:tc>
        <w:tc>
          <w:tcPr>
            <w:tcW w:w="1044"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1,382,661.1</w:t>
            </w:r>
          </w:p>
        </w:tc>
      </w:tr>
      <w:tr w:rsidR="00087DCA" w:rsidRPr="00854779" w:rsidTr="00087DCA">
        <w:trPr>
          <w:divId w:val="1952516523"/>
          <w:trHeight w:val="260"/>
        </w:trPr>
        <w:tc>
          <w:tcPr>
            <w:tcW w:w="2151"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 xml:space="preserve"> Borxhi i Brendshëm</w:t>
            </w:r>
          </w:p>
        </w:tc>
        <w:tc>
          <w:tcPr>
            <w:tcW w:w="1407"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561,120.0</w:t>
            </w:r>
          </w:p>
        </w:tc>
        <w:tc>
          <w:tcPr>
            <w:tcW w:w="1081"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577,055.7</w:t>
            </w:r>
          </w:p>
        </w:tc>
        <w:tc>
          <w:tcPr>
            <w:tcW w:w="1232"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580,310.3</w:t>
            </w:r>
          </w:p>
        </w:tc>
        <w:tc>
          <w:tcPr>
            <w:tcW w:w="1044"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597,290.0</w:t>
            </w:r>
          </w:p>
        </w:tc>
        <w:tc>
          <w:tcPr>
            <w:tcW w:w="1044"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644,087.8</w:t>
            </w:r>
          </w:p>
        </w:tc>
        <w:tc>
          <w:tcPr>
            <w:tcW w:w="1044"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702,255.5</w:t>
            </w:r>
          </w:p>
        </w:tc>
      </w:tr>
      <w:tr w:rsidR="00087DCA" w:rsidRPr="00854779" w:rsidTr="00087DCA">
        <w:trPr>
          <w:divId w:val="1952516523"/>
          <w:trHeight w:val="273"/>
        </w:trPr>
        <w:tc>
          <w:tcPr>
            <w:tcW w:w="2151"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 xml:space="preserve"> Borxhi i Jashtëm</w:t>
            </w:r>
          </w:p>
        </w:tc>
        <w:tc>
          <w:tcPr>
            <w:tcW w:w="1407"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504,589.0</w:t>
            </w:r>
          </w:p>
        </w:tc>
        <w:tc>
          <w:tcPr>
            <w:tcW w:w="1081"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510,286.2</w:t>
            </w:r>
          </w:p>
        </w:tc>
        <w:tc>
          <w:tcPr>
            <w:tcW w:w="1232"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526,258.5</w:t>
            </w:r>
          </w:p>
        </w:tc>
        <w:tc>
          <w:tcPr>
            <w:tcW w:w="1044"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514,754.2</w:t>
            </w:r>
          </w:p>
        </w:tc>
        <w:tc>
          <w:tcPr>
            <w:tcW w:w="1044"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579,950.4</w:t>
            </w:r>
          </w:p>
        </w:tc>
        <w:tc>
          <w:tcPr>
            <w:tcW w:w="1044"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680,405.5</w:t>
            </w:r>
          </w:p>
        </w:tc>
      </w:tr>
    </w:tbl>
    <w:p w:rsidR="00A604AC" w:rsidRPr="00087DCA" w:rsidRDefault="00F008FC" w:rsidP="009117D6">
      <w:pPr>
        <w:tabs>
          <w:tab w:val="left" w:pos="142"/>
        </w:tabs>
        <w:spacing w:after="0" w:line="240" w:lineRule="auto"/>
        <w:ind w:right="-46"/>
        <w:rPr>
          <w:rFonts w:ascii="Cambria" w:eastAsia="Times New Roman" w:hAnsi="Cambria"/>
          <w:i/>
          <w:sz w:val="20"/>
          <w:szCs w:val="20"/>
          <w:highlight w:val="yellow"/>
        </w:rPr>
      </w:pPr>
      <w:r>
        <w:rPr>
          <w:noProof/>
          <w:lang w:val="en-GB" w:eastAsia="en-GB"/>
        </w:rPr>
        <w:fldChar w:fldCharType="end"/>
      </w:r>
    </w:p>
    <w:p w:rsidR="009117D6" w:rsidRPr="00EE7E9F" w:rsidRDefault="009117D6" w:rsidP="009117D6">
      <w:pPr>
        <w:tabs>
          <w:tab w:val="left" w:pos="142"/>
        </w:tabs>
        <w:spacing w:after="0" w:line="240" w:lineRule="auto"/>
        <w:ind w:right="-46"/>
        <w:rPr>
          <w:rFonts w:ascii="Cambria" w:eastAsia="Times New Roman" w:hAnsi="Cambria"/>
          <w:b/>
          <w:sz w:val="20"/>
          <w:szCs w:val="20"/>
          <w:highlight w:val="yellow"/>
        </w:rPr>
      </w:pPr>
    </w:p>
    <w:p w:rsidR="00854779" w:rsidRDefault="004B419B" w:rsidP="00046697">
      <w:pPr>
        <w:spacing w:after="0" w:line="240" w:lineRule="auto"/>
        <w:ind w:right="-46"/>
      </w:pPr>
      <w:r w:rsidRPr="00A3461F">
        <w:rPr>
          <w:rFonts w:ascii="Cambria" w:hAnsi="Cambria"/>
          <w:b/>
          <w:sz w:val="20"/>
          <w:szCs w:val="20"/>
        </w:rPr>
        <w:t>Tabela 1.2</w:t>
      </w:r>
      <w:r w:rsidR="00046697" w:rsidRPr="00A3461F">
        <w:rPr>
          <w:rFonts w:ascii="Cambria" w:hAnsi="Cambria"/>
          <w:b/>
          <w:sz w:val="20"/>
          <w:szCs w:val="20"/>
        </w:rPr>
        <w:t xml:space="preserve">: </w:t>
      </w:r>
      <w:r w:rsidR="00B15B9D" w:rsidRPr="00A3461F">
        <w:rPr>
          <w:rFonts w:ascii="Cambria" w:eastAsia="Times New Roman" w:hAnsi="Cambria"/>
          <w:i/>
          <w:sz w:val="20"/>
          <w:szCs w:val="20"/>
        </w:rPr>
        <w:t>Stoku i b</w:t>
      </w:r>
      <w:r w:rsidR="008A5B01" w:rsidRPr="00A3461F">
        <w:rPr>
          <w:rFonts w:ascii="Cambria" w:eastAsia="Times New Roman" w:hAnsi="Cambria"/>
          <w:i/>
          <w:sz w:val="20"/>
          <w:szCs w:val="20"/>
        </w:rPr>
        <w:t xml:space="preserve">orxhit të qeverisjes qendrore </w:t>
      </w:r>
      <w:r w:rsidR="001B0EEC" w:rsidRPr="00A3461F">
        <w:rPr>
          <w:rFonts w:ascii="Cambria" w:eastAsia="Times New Roman" w:hAnsi="Cambria"/>
          <w:i/>
          <w:sz w:val="20"/>
          <w:szCs w:val="20"/>
        </w:rPr>
        <w:t>(</w:t>
      </w:r>
      <w:r w:rsidR="00265124" w:rsidRPr="00A3461F">
        <w:rPr>
          <w:rFonts w:ascii="Cambria" w:eastAsia="Times New Roman" w:hAnsi="Cambria"/>
          <w:i/>
          <w:sz w:val="20"/>
          <w:szCs w:val="20"/>
        </w:rPr>
        <w:t>2016-202</w:t>
      </w:r>
      <w:r w:rsidR="00104A37" w:rsidRPr="00A3461F">
        <w:rPr>
          <w:rFonts w:ascii="Cambria" w:eastAsia="Times New Roman" w:hAnsi="Cambria"/>
          <w:i/>
          <w:sz w:val="20"/>
          <w:szCs w:val="20"/>
        </w:rPr>
        <w:t>1</w:t>
      </w:r>
      <w:r w:rsidR="001B0EEC" w:rsidRPr="00A3461F">
        <w:rPr>
          <w:rFonts w:ascii="Cambria" w:eastAsia="Times New Roman" w:hAnsi="Cambria"/>
          <w:i/>
          <w:sz w:val="20"/>
          <w:szCs w:val="20"/>
        </w:rPr>
        <w:t>)</w:t>
      </w:r>
      <w:r w:rsidR="008A5B01" w:rsidRPr="00A3461F">
        <w:rPr>
          <w:rFonts w:ascii="Cambria" w:eastAsia="Times New Roman" w:hAnsi="Cambria"/>
          <w:i/>
          <w:sz w:val="20"/>
          <w:szCs w:val="20"/>
        </w:rPr>
        <w:t xml:space="preserve">                 </w:t>
      </w:r>
      <w:r w:rsidR="006D4DED" w:rsidRPr="00A3461F">
        <w:rPr>
          <w:rFonts w:ascii="Cambria" w:eastAsia="Times New Roman" w:hAnsi="Cambria"/>
          <w:i/>
          <w:sz w:val="20"/>
          <w:szCs w:val="20"/>
        </w:rPr>
        <w:t xml:space="preserve">                     </w:t>
      </w:r>
      <w:r w:rsidR="00B2242A">
        <w:rPr>
          <w:rFonts w:ascii="Cambria" w:eastAsia="Times New Roman" w:hAnsi="Cambria"/>
          <w:i/>
          <w:sz w:val="20"/>
          <w:szCs w:val="20"/>
        </w:rPr>
        <w:t xml:space="preserve">               </w:t>
      </w:r>
      <w:r w:rsidR="00265124" w:rsidRPr="00A3461F">
        <w:rPr>
          <w:rFonts w:ascii="Cambria" w:eastAsia="Times New Roman" w:hAnsi="Cambria"/>
          <w:i/>
          <w:sz w:val="20"/>
          <w:szCs w:val="20"/>
        </w:rPr>
        <w:t xml:space="preserve"> </w:t>
      </w:r>
      <w:r w:rsidR="008A5B01" w:rsidRPr="00A3461F">
        <w:rPr>
          <w:rFonts w:ascii="Cambria" w:eastAsia="Times New Roman" w:hAnsi="Cambria"/>
          <w:i/>
          <w:sz w:val="20"/>
          <w:szCs w:val="20"/>
        </w:rPr>
        <w:t>(në milion Lekë)</w:t>
      </w:r>
      <w:r w:rsidR="00087DCA">
        <w:t xml:space="preserve"> </w:t>
      </w:r>
      <w:r w:rsidR="00F008FC">
        <w:rPr>
          <w:noProof/>
          <w:lang w:val="en-GB" w:eastAsia="en-GB"/>
        </w:rPr>
        <w:fldChar w:fldCharType="begin"/>
      </w:r>
      <w:r w:rsidR="00F008FC">
        <w:rPr>
          <w:noProof/>
          <w:lang w:val="en-GB" w:eastAsia="en-GB"/>
        </w:rPr>
        <w:instrText xml:space="preserve"> LINK </w:instrText>
      </w:r>
      <w:r w:rsidR="00854779">
        <w:rPr>
          <w:noProof/>
          <w:lang w:val="en-GB" w:eastAsia="en-GB"/>
        </w:rPr>
        <w:instrText xml:space="preserve">Excel.Sheet.12 "C:\\Users\\sidiola.basho\\Desktop\\Dokumenta\\Buletini\\Grafiket per analizen e 9m 2021_dhjetor 2021.xlsx" "Stoku i Borxhit!R84C1:R87C8" </w:instrText>
      </w:r>
      <w:r w:rsidR="00F008FC">
        <w:rPr>
          <w:noProof/>
          <w:lang w:val="en-GB" w:eastAsia="en-GB"/>
        </w:rPr>
        <w:instrText xml:space="preserve">\a \f 4 \h  \* MERGEFORMAT </w:instrText>
      </w:r>
      <w:r w:rsidR="00F008FC">
        <w:rPr>
          <w:noProof/>
          <w:lang w:val="en-GB" w:eastAsia="en-GB"/>
        </w:rPr>
        <w:fldChar w:fldCharType="separate"/>
      </w:r>
    </w:p>
    <w:tbl>
      <w:tblPr>
        <w:tblW w:w="9011" w:type="dxa"/>
        <w:tblLook w:val="04A0" w:firstRow="1" w:lastRow="0" w:firstColumn="1" w:lastColumn="0" w:noHBand="0" w:noVBand="1"/>
      </w:tblPr>
      <w:tblGrid>
        <w:gridCol w:w="2354"/>
        <w:gridCol w:w="1348"/>
        <w:gridCol w:w="1036"/>
        <w:gridCol w:w="1180"/>
        <w:gridCol w:w="1031"/>
        <w:gridCol w:w="1031"/>
        <w:gridCol w:w="1031"/>
      </w:tblGrid>
      <w:tr w:rsidR="00854779" w:rsidRPr="00854779" w:rsidTr="00087DCA">
        <w:trPr>
          <w:divId w:val="1582638840"/>
          <w:trHeight w:val="276"/>
        </w:trPr>
        <w:tc>
          <w:tcPr>
            <w:tcW w:w="2354" w:type="dxa"/>
            <w:tcBorders>
              <w:top w:val="nil"/>
              <w:left w:val="nil"/>
              <w:bottom w:val="nil"/>
              <w:right w:val="nil"/>
            </w:tcBorders>
            <w:shd w:val="clear" w:color="000000" w:fill="4F81BD"/>
            <w:noWrap/>
            <w:vAlign w:val="bottom"/>
            <w:hideMark/>
          </w:tcPr>
          <w:p w:rsidR="00854779" w:rsidRPr="00854779" w:rsidRDefault="00854779" w:rsidP="00854779">
            <w:pP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 </w:t>
            </w:r>
          </w:p>
        </w:tc>
        <w:tc>
          <w:tcPr>
            <w:tcW w:w="1348" w:type="dxa"/>
            <w:tcBorders>
              <w:top w:val="nil"/>
              <w:left w:val="single" w:sz="8" w:space="0" w:color="FFFFFF"/>
              <w:bottom w:val="nil"/>
              <w:right w:val="single" w:sz="8" w:space="0" w:color="FFFFFF"/>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2016</w:t>
            </w:r>
          </w:p>
        </w:tc>
        <w:tc>
          <w:tcPr>
            <w:tcW w:w="1036" w:type="dxa"/>
            <w:tcBorders>
              <w:top w:val="nil"/>
              <w:left w:val="nil"/>
              <w:bottom w:val="nil"/>
              <w:right w:val="single" w:sz="8" w:space="0" w:color="FFFFFF"/>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2017</w:t>
            </w:r>
          </w:p>
        </w:tc>
        <w:tc>
          <w:tcPr>
            <w:tcW w:w="1180" w:type="dxa"/>
            <w:tcBorders>
              <w:top w:val="nil"/>
              <w:left w:val="nil"/>
              <w:bottom w:val="nil"/>
              <w:right w:val="single" w:sz="8" w:space="0" w:color="FFFFFF"/>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2018</w:t>
            </w:r>
          </w:p>
        </w:tc>
        <w:tc>
          <w:tcPr>
            <w:tcW w:w="1031" w:type="dxa"/>
            <w:tcBorders>
              <w:top w:val="nil"/>
              <w:left w:val="nil"/>
              <w:bottom w:val="nil"/>
              <w:right w:val="single" w:sz="8" w:space="0" w:color="FFFFFF"/>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2019</w:t>
            </w:r>
          </w:p>
        </w:tc>
        <w:tc>
          <w:tcPr>
            <w:tcW w:w="1031" w:type="dxa"/>
            <w:tcBorders>
              <w:top w:val="nil"/>
              <w:left w:val="nil"/>
              <w:bottom w:val="nil"/>
              <w:right w:val="single" w:sz="8" w:space="0" w:color="FFFFFF"/>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2020</w:t>
            </w:r>
          </w:p>
        </w:tc>
        <w:tc>
          <w:tcPr>
            <w:tcW w:w="1031" w:type="dxa"/>
            <w:tcBorders>
              <w:top w:val="nil"/>
              <w:left w:val="nil"/>
              <w:bottom w:val="nil"/>
              <w:right w:val="nil"/>
            </w:tcBorders>
            <w:shd w:val="clear" w:color="000000" w:fill="4F81BD"/>
            <w:noWrap/>
            <w:vAlign w:val="bottom"/>
            <w:hideMark/>
          </w:tcPr>
          <w:p w:rsidR="00854779" w:rsidRPr="00854779" w:rsidRDefault="00854779" w:rsidP="00854779">
            <w:pPr>
              <w:spacing w:after="0" w:line="240" w:lineRule="auto"/>
              <w:jc w:val="center"/>
              <w:rPr>
                <w:rFonts w:eastAsia="Times New Roman" w:cstheme="minorHAnsi"/>
                <w:b/>
                <w:bCs/>
                <w:color w:val="FFFFFF"/>
                <w:sz w:val="16"/>
                <w:szCs w:val="16"/>
                <w:lang w:val="en-GB" w:eastAsia="en-GB"/>
              </w:rPr>
            </w:pPr>
            <w:r w:rsidRPr="00854779">
              <w:rPr>
                <w:rFonts w:eastAsia="Times New Roman" w:cstheme="minorHAnsi"/>
                <w:b/>
                <w:bCs/>
                <w:color w:val="FFFFFF"/>
                <w:sz w:val="16"/>
                <w:szCs w:val="16"/>
                <w:lang w:val="en-GB" w:eastAsia="en-GB"/>
              </w:rPr>
              <w:t>2021</w:t>
            </w:r>
          </w:p>
        </w:tc>
      </w:tr>
      <w:tr w:rsidR="00087DCA" w:rsidRPr="00854779" w:rsidTr="00087DCA">
        <w:trPr>
          <w:divId w:val="1582638840"/>
          <w:trHeight w:val="276"/>
        </w:trPr>
        <w:tc>
          <w:tcPr>
            <w:tcW w:w="2354"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Borxhi i Qeverisjes Qendrore</w:t>
            </w:r>
          </w:p>
        </w:tc>
        <w:tc>
          <w:tcPr>
            <w:tcW w:w="1348"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1,065,709.0</w:t>
            </w:r>
          </w:p>
        </w:tc>
        <w:tc>
          <w:tcPr>
            <w:tcW w:w="1036"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1,087,341.9</w:t>
            </w:r>
          </w:p>
        </w:tc>
        <w:tc>
          <w:tcPr>
            <w:tcW w:w="1180"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1,106,568.8</w:t>
            </w:r>
          </w:p>
        </w:tc>
        <w:tc>
          <w:tcPr>
            <w:tcW w:w="1031"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1,112,044.2</w:t>
            </w:r>
          </w:p>
        </w:tc>
        <w:tc>
          <w:tcPr>
            <w:tcW w:w="1031"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1,224,038.2</w:t>
            </w:r>
          </w:p>
        </w:tc>
        <w:tc>
          <w:tcPr>
            <w:tcW w:w="1031"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b/>
                <w:bCs/>
                <w:color w:val="000000"/>
                <w:sz w:val="16"/>
                <w:szCs w:val="16"/>
                <w:lang w:val="en-GB" w:eastAsia="en-GB"/>
              </w:rPr>
            </w:pPr>
            <w:r w:rsidRPr="00854779">
              <w:rPr>
                <w:rFonts w:eastAsia="Times New Roman" w:cstheme="minorHAnsi"/>
                <w:b/>
                <w:bCs/>
                <w:color w:val="000000"/>
                <w:sz w:val="16"/>
                <w:szCs w:val="16"/>
                <w:lang w:val="en-GB" w:eastAsia="en-GB"/>
              </w:rPr>
              <w:t>1,382,661.1</w:t>
            </w:r>
          </w:p>
        </w:tc>
      </w:tr>
      <w:tr w:rsidR="00087DCA" w:rsidRPr="00854779" w:rsidTr="00087DCA">
        <w:trPr>
          <w:divId w:val="1582638840"/>
          <w:trHeight w:val="276"/>
        </w:trPr>
        <w:tc>
          <w:tcPr>
            <w:tcW w:w="2354"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 xml:space="preserve"> Borxhi Shtetëror</w:t>
            </w:r>
          </w:p>
        </w:tc>
        <w:tc>
          <w:tcPr>
            <w:tcW w:w="1348"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1,012,241.0</w:t>
            </w:r>
          </w:p>
        </w:tc>
        <w:tc>
          <w:tcPr>
            <w:tcW w:w="1036"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1,037,456.7</w:t>
            </w:r>
          </w:p>
        </w:tc>
        <w:tc>
          <w:tcPr>
            <w:tcW w:w="1180"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1,061,896.8</w:t>
            </w:r>
          </w:p>
        </w:tc>
        <w:tc>
          <w:tcPr>
            <w:tcW w:w="1031"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1,070,191.4</w:t>
            </w:r>
          </w:p>
        </w:tc>
        <w:tc>
          <w:tcPr>
            <w:tcW w:w="1031"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1,175,225.5</w:t>
            </w:r>
          </w:p>
        </w:tc>
        <w:tc>
          <w:tcPr>
            <w:tcW w:w="1031" w:type="dxa"/>
            <w:tcBorders>
              <w:top w:val="nil"/>
              <w:left w:val="nil"/>
              <w:bottom w:val="nil"/>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1,327,765.0</w:t>
            </w:r>
          </w:p>
        </w:tc>
      </w:tr>
      <w:tr w:rsidR="00087DCA" w:rsidRPr="00854779" w:rsidTr="00087DCA">
        <w:trPr>
          <w:divId w:val="1582638840"/>
          <w:trHeight w:val="291"/>
        </w:trPr>
        <w:tc>
          <w:tcPr>
            <w:tcW w:w="2354"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 xml:space="preserve"> Borxhi i Garantuar</w:t>
            </w:r>
          </w:p>
        </w:tc>
        <w:tc>
          <w:tcPr>
            <w:tcW w:w="1348"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53,468.0</w:t>
            </w:r>
          </w:p>
        </w:tc>
        <w:tc>
          <w:tcPr>
            <w:tcW w:w="1036"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49,885.2</w:t>
            </w:r>
          </w:p>
        </w:tc>
        <w:tc>
          <w:tcPr>
            <w:tcW w:w="1180"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44,672.1</w:t>
            </w:r>
          </w:p>
        </w:tc>
        <w:tc>
          <w:tcPr>
            <w:tcW w:w="1031"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41,852.8</w:t>
            </w:r>
          </w:p>
        </w:tc>
        <w:tc>
          <w:tcPr>
            <w:tcW w:w="1031"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48,812.7</w:t>
            </w:r>
          </w:p>
        </w:tc>
        <w:tc>
          <w:tcPr>
            <w:tcW w:w="1031" w:type="dxa"/>
            <w:tcBorders>
              <w:top w:val="nil"/>
              <w:left w:val="nil"/>
              <w:bottom w:val="single" w:sz="8" w:space="0" w:color="auto"/>
              <w:right w:val="nil"/>
            </w:tcBorders>
            <w:shd w:val="clear" w:color="000000" w:fill="FFFFFF"/>
            <w:noWrap/>
            <w:vAlign w:val="bottom"/>
            <w:hideMark/>
          </w:tcPr>
          <w:p w:rsidR="00854779" w:rsidRPr="00854779" w:rsidRDefault="00854779" w:rsidP="00854779">
            <w:pPr>
              <w:spacing w:after="0" w:line="240" w:lineRule="auto"/>
              <w:jc w:val="right"/>
              <w:rPr>
                <w:rFonts w:eastAsia="Times New Roman" w:cstheme="minorHAnsi"/>
                <w:color w:val="000000"/>
                <w:sz w:val="16"/>
                <w:szCs w:val="16"/>
                <w:lang w:val="en-GB" w:eastAsia="en-GB"/>
              </w:rPr>
            </w:pPr>
            <w:r w:rsidRPr="00854779">
              <w:rPr>
                <w:rFonts w:eastAsia="Times New Roman" w:cstheme="minorHAnsi"/>
                <w:color w:val="000000"/>
                <w:sz w:val="16"/>
                <w:szCs w:val="16"/>
                <w:lang w:val="en-GB" w:eastAsia="en-GB"/>
              </w:rPr>
              <w:t>54,896.1</w:t>
            </w:r>
          </w:p>
        </w:tc>
      </w:tr>
    </w:tbl>
    <w:p w:rsidR="00087DCA" w:rsidRPr="000C2291" w:rsidRDefault="00F008FC" w:rsidP="00087DCA">
      <w:pPr>
        <w:spacing w:after="0" w:line="240" w:lineRule="auto"/>
        <w:ind w:right="-46"/>
        <w:rPr>
          <w:noProof/>
          <w:lang w:val="en-GB" w:eastAsia="en-GB"/>
        </w:rPr>
      </w:pPr>
      <w:r>
        <w:rPr>
          <w:noProof/>
          <w:lang w:val="en-GB" w:eastAsia="en-GB"/>
        </w:rPr>
        <w:fldChar w:fldCharType="end"/>
      </w:r>
    </w:p>
    <w:p w:rsidR="009117D6" w:rsidRPr="00EE7E9F" w:rsidRDefault="009117D6" w:rsidP="009117D6">
      <w:pPr>
        <w:tabs>
          <w:tab w:val="left" w:pos="142"/>
        </w:tabs>
        <w:spacing w:after="0" w:line="240" w:lineRule="auto"/>
        <w:ind w:right="-46"/>
        <w:rPr>
          <w:rFonts w:ascii="Cambria" w:eastAsia="Times New Roman" w:hAnsi="Cambria"/>
          <w:b/>
          <w:sz w:val="20"/>
          <w:szCs w:val="20"/>
          <w:highlight w:val="yellow"/>
        </w:rPr>
      </w:pPr>
    </w:p>
    <w:p w:rsidR="00046697" w:rsidRPr="00E54D32" w:rsidRDefault="00046697" w:rsidP="00046697">
      <w:pPr>
        <w:spacing w:after="0" w:line="240" w:lineRule="auto"/>
        <w:rPr>
          <w:rFonts w:ascii="Cambria" w:hAnsi="Cambria" w:cs="Times New Roman"/>
          <w:i/>
          <w:sz w:val="20"/>
          <w:szCs w:val="20"/>
        </w:rPr>
      </w:pPr>
      <w:r w:rsidRPr="00E54D32">
        <w:rPr>
          <w:rFonts w:ascii="Cambria" w:eastAsia="Times New Roman" w:hAnsi="Cambria" w:cs="Times New Roman"/>
          <w:b/>
          <w:sz w:val="20"/>
          <w:szCs w:val="20"/>
        </w:rPr>
        <w:t>Tabela 1.</w:t>
      </w:r>
      <w:r w:rsidR="004B419B" w:rsidRPr="00E54D32">
        <w:rPr>
          <w:rFonts w:ascii="Cambria" w:eastAsia="Times New Roman" w:hAnsi="Cambria" w:cs="Times New Roman"/>
          <w:b/>
          <w:sz w:val="20"/>
          <w:szCs w:val="20"/>
        </w:rPr>
        <w:t>3</w:t>
      </w:r>
      <w:r w:rsidRPr="00E54D32">
        <w:rPr>
          <w:rFonts w:ascii="Cambria" w:hAnsi="Cambria" w:cs="Times New Roman"/>
          <w:sz w:val="20"/>
          <w:szCs w:val="20"/>
        </w:rPr>
        <w:t xml:space="preserve">: </w:t>
      </w:r>
      <w:r w:rsidRPr="00E54D32">
        <w:rPr>
          <w:rFonts w:ascii="Cambria" w:hAnsi="Cambria" w:cs="Times New Roman"/>
          <w:i/>
          <w:sz w:val="20"/>
          <w:szCs w:val="20"/>
        </w:rPr>
        <w:t xml:space="preserve">Kompozimi i stokut të borxhit të </w:t>
      </w:r>
      <w:r w:rsidR="0045556A" w:rsidRPr="00E54D32">
        <w:rPr>
          <w:rFonts w:ascii="Cambria" w:hAnsi="Cambria" w:cs="Times New Roman"/>
          <w:i/>
          <w:sz w:val="20"/>
          <w:szCs w:val="20"/>
        </w:rPr>
        <w:t>q</w:t>
      </w:r>
      <w:r w:rsidRPr="00E54D32">
        <w:rPr>
          <w:rFonts w:ascii="Cambria" w:hAnsi="Cambria" w:cs="Times New Roman"/>
          <w:i/>
          <w:sz w:val="20"/>
          <w:szCs w:val="20"/>
        </w:rPr>
        <w:t>everis</w:t>
      </w:r>
      <w:r w:rsidR="00B82F44" w:rsidRPr="00E54D32">
        <w:rPr>
          <w:rFonts w:ascii="Cambria" w:hAnsi="Cambria" w:cs="Times New Roman"/>
          <w:i/>
          <w:sz w:val="20"/>
          <w:szCs w:val="20"/>
        </w:rPr>
        <w:t xml:space="preserve">jes </w:t>
      </w:r>
      <w:r w:rsidR="0045556A" w:rsidRPr="00E54D32">
        <w:rPr>
          <w:rFonts w:ascii="Cambria" w:hAnsi="Cambria" w:cs="Times New Roman"/>
          <w:i/>
          <w:sz w:val="20"/>
          <w:szCs w:val="20"/>
        </w:rPr>
        <w:t>q</w:t>
      </w:r>
      <w:r w:rsidR="00B82F44" w:rsidRPr="00E54D32">
        <w:rPr>
          <w:rFonts w:ascii="Cambria" w:hAnsi="Cambria" w:cs="Times New Roman"/>
          <w:i/>
          <w:sz w:val="20"/>
          <w:szCs w:val="20"/>
        </w:rPr>
        <w:t xml:space="preserve">endore </w:t>
      </w:r>
      <w:r w:rsidR="001B0EEC" w:rsidRPr="00E54D32">
        <w:rPr>
          <w:rFonts w:ascii="Cambria" w:hAnsi="Cambria" w:cs="Times New Roman"/>
          <w:i/>
          <w:sz w:val="20"/>
          <w:szCs w:val="20"/>
        </w:rPr>
        <w:t>(</w:t>
      </w:r>
      <w:r w:rsidR="00C006C8" w:rsidRPr="00E54D32">
        <w:rPr>
          <w:rFonts w:ascii="Cambria" w:hAnsi="Cambria" w:cs="Times New Roman"/>
          <w:i/>
          <w:sz w:val="20"/>
          <w:szCs w:val="20"/>
        </w:rPr>
        <w:t>201</w:t>
      </w:r>
      <w:r w:rsidR="00104A37" w:rsidRPr="00E54D32">
        <w:rPr>
          <w:rFonts w:ascii="Cambria" w:hAnsi="Cambria" w:cs="Times New Roman"/>
          <w:i/>
          <w:sz w:val="20"/>
          <w:szCs w:val="20"/>
        </w:rPr>
        <w:t>9</w:t>
      </w:r>
      <w:r w:rsidR="00C006C8" w:rsidRPr="00E54D32">
        <w:rPr>
          <w:rFonts w:ascii="Cambria" w:hAnsi="Cambria" w:cs="Times New Roman"/>
          <w:i/>
          <w:sz w:val="20"/>
          <w:szCs w:val="20"/>
        </w:rPr>
        <w:t>- 202</w:t>
      </w:r>
      <w:r w:rsidR="00104A37" w:rsidRPr="00E54D32">
        <w:rPr>
          <w:rFonts w:ascii="Cambria" w:hAnsi="Cambria" w:cs="Times New Roman"/>
          <w:i/>
          <w:sz w:val="20"/>
          <w:szCs w:val="20"/>
        </w:rPr>
        <w:t>1</w:t>
      </w:r>
      <w:r w:rsidR="001B0EEC" w:rsidRPr="00E54D32">
        <w:rPr>
          <w:rFonts w:ascii="Cambria" w:hAnsi="Cambria" w:cs="Times New Roman"/>
          <w:i/>
          <w:sz w:val="20"/>
          <w:szCs w:val="20"/>
        </w:rPr>
        <w:t>)</w:t>
      </w:r>
    </w:p>
    <w:p w:rsidR="009117D6" w:rsidRPr="00E54D32" w:rsidRDefault="008843B6" w:rsidP="00046697">
      <w:pPr>
        <w:spacing w:after="0" w:line="240" w:lineRule="auto"/>
        <w:rPr>
          <w:rFonts w:ascii="Cambria" w:hAnsi="Cambria" w:cs="Times New Roman"/>
          <w:i/>
          <w:sz w:val="20"/>
          <w:szCs w:val="20"/>
        </w:rPr>
      </w:pPr>
      <w:r w:rsidRPr="008843B6">
        <w:rPr>
          <w:noProof/>
          <w:lang w:val="en-US"/>
        </w:rPr>
        <w:drawing>
          <wp:inline distT="0" distB="0" distL="0" distR="0" wp14:anchorId="5598A2F5" wp14:editId="5BB07089">
            <wp:extent cx="5731510" cy="2698296"/>
            <wp:effectExtent l="0" t="0" r="254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2698296"/>
                    </a:xfrm>
                    <a:prstGeom prst="rect">
                      <a:avLst/>
                    </a:prstGeom>
                    <a:noFill/>
                    <a:ln>
                      <a:noFill/>
                    </a:ln>
                  </pic:spPr>
                </pic:pic>
              </a:graphicData>
            </a:graphic>
          </wp:inline>
        </w:drawing>
      </w:r>
    </w:p>
    <w:p w:rsidR="00692E1F" w:rsidRDefault="00046697" w:rsidP="00046697">
      <w:pPr>
        <w:spacing w:after="0" w:line="240" w:lineRule="auto"/>
        <w:rPr>
          <w:rFonts w:ascii="Cambria" w:hAnsi="Cambria"/>
          <w:i/>
          <w:sz w:val="18"/>
          <w:szCs w:val="18"/>
        </w:rPr>
      </w:pPr>
      <w:r w:rsidRPr="00E54D32">
        <w:rPr>
          <w:rFonts w:ascii="Cambria" w:hAnsi="Cambria"/>
          <w:i/>
          <w:sz w:val="20"/>
          <w:szCs w:val="20"/>
        </w:rPr>
        <w:t>*</w:t>
      </w:r>
      <w:r w:rsidRPr="00E54D32">
        <w:rPr>
          <w:rFonts w:ascii="Cambria" w:hAnsi="Cambria"/>
          <w:i/>
          <w:sz w:val="18"/>
          <w:szCs w:val="18"/>
        </w:rPr>
        <w:t>Nuk përfshihet borxhi i brendshëm i garantuar</w:t>
      </w:r>
    </w:p>
    <w:p w:rsidR="005E7219" w:rsidRPr="00EE7E9F" w:rsidRDefault="005E7219" w:rsidP="00046697">
      <w:pPr>
        <w:spacing w:after="0" w:line="240" w:lineRule="auto"/>
        <w:rPr>
          <w:rFonts w:ascii="Cambria" w:hAnsi="Cambria"/>
          <w:i/>
          <w:sz w:val="20"/>
          <w:szCs w:val="20"/>
          <w:highlight w:val="yellow"/>
        </w:rPr>
      </w:pPr>
    </w:p>
    <w:p w:rsidR="00C006C8" w:rsidRPr="00EE7E9F" w:rsidRDefault="00C006C8" w:rsidP="00046697">
      <w:pPr>
        <w:spacing w:after="0" w:line="240" w:lineRule="auto"/>
        <w:rPr>
          <w:rFonts w:ascii="Cambria" w:hAnsi="Cambria"/>
          <w:i/>
          <w:sz w:val="20"/>
          <w:szCs w:val="20"/>
          <w:highlight w:val="yellow"/>
        </w:rPr>
      </w:pPr>
    </w:p>
    <w:p w:rsidR="00046697" w:rsidRPr="00A3461F" w:rsidRDefault="00046697" w:rsidP="00046697">
      <w:pPr>
        <w:pStyle w:val="ListParagraph"/>
        <w:numPr>
          <w:ilvl w:val="0"/>
          <w:numId w:val="6"/>
        </w:numPr>
        <w:spacing w:after="0" w:line="240" w:lineRule="auto"/>
        <w:ind w:left="567" w:right="-46" w:hanging="567"/>
        <w:rPr>
          <w:rFonts w:ascii="Cambria" w:eastAsia="Times New Roman" w:hAnsi="Cambria"/>
          <w:b/>
          <w:noProof/>
        </w:rPr>
      </w:pPr>
      <w:r w:rsidRPr="00A3461F">
        <w:rPr>
          <w:rFonts w:ascii="Cambria" w:eastAsia="Times New Roman" w:hAnsi="Cambria"/>
          <w:b/>
          <w:noProof/>
        </w:rPr>
        <w:t>HUAMARRJA SHTETËRORE</w:t>
      </w:r>
    </w:p>
    <w:p w:rsidR="00046697" w:rsidRPr="00EE7E9F" w:rsidRDefault="00046697" w:rsidP="00046697">
      <w:pPr>
        <w:pStyle w:val="ListParagraph"/>
        <w:spacing w:after="0" w:line="240" w:lineRule="auto"/>
        <w:ind w:left="567" w:right="-46"/>
        <w:rPr>
          <w:rFonts w:ascii="Cambria" w:eastAsia="Times New Roman" w:hAnsi="Cambria"/>
          <w:b/>
          <w:noProof/>
          <w:sz w:val="20"/>
          <w:szCs w:val="20"/>
          <w:highlight w:val="yellow"/>
        </w:rPr>
      </w:pPr>
    </w:p>
    <w:p w:rsidR="00BF0B26" w:rsidRPr="00EE7E9F" w:rsidRDefault="00046697" w:rsidP="00FB2E3B">
      <w:pPr>
        <w:spacing w:after="0" w:line="240" w:lineRule="auto"/>
        <w:ind w:left="1080" w:right="-46" w:hanging="1080"/>
        <w:jc w:val="center"/>
        <w:rPr>
          <w:rFonts w:ascii="Cambria" w:eastAsia="Times New Roman" w:hAnsi="Cambria"/>
          <w:b/>
          <w:noProof/>
          <w:sz w:val="24"/>
          <w:highlight w:val="yellow"/>
        </w:rPr>
      </w:pPr>
      <w:r w:rsidRPr="00A3461F">
        <w:rPr>
          <w:rFonts w:ascii="Cambria" w:hAnsi="Cambria"/>
          <w:b/>
          <w:sz w:val="20"/>
          <w:szCs w:val="20"/>
        </w:rPr>
        <w:t xml:space="preserve">Tabela 2.0: </w:t>
      </w:r>
      <w:r w:rsidRPr="00A3461F">
        <w:rPr>
          <w:rFonts w:ascii="Cambria" w:eastAsia="Times New Roman" w:hAnsi="Cambria"/>
          <w:i/>
          <w:sz w:val="20"/>
          <w:szCs w:val="20"/>
        </w:rPr>
        <w:t xml:space="preserve">Huamarrja shtetërore nga burime të brendshme dhe të  jashtme në terma bruto </w:t>
      </w:r>
      <w:r w:rsidR="00C006C8" w:rsidRPr="00A3461F">
        <w:rPr>
          <w:rFonts w:ascii="Cambria" w:eastAsia="Times New Roman" w:hAnsi="Cambria"/>
          <w:i/>
          <w:sz w:val="20"/>
          <w:szCs w:val="20"/>
        </w:rPr>
        <w:t xml:space="preserve">                          </w:t>
      </w:r>
      <w:r w:rsidR="00A3461F" w:rsidRPr="00A3461F">
        <w:rPr>
          <w:rFonts w:ascii="Cambria" w:eastAsia="Times New Roman" w:hAnsi="Cambria"/>
          <w:i/>
          <w:sz w:val="20"/>
          <w:szCs w:val="20"/>
        </w:rPr>
        <w:t>(</w:t>
      </w:r>
      <w:r w:rsidR="00C006C8" w:rsidRPr="00A3461F">
        <w:rPr>
          <w:rFonts w:ascii="Cambria" w:eastAsia="Times New Roman" w:hAnsi="Cambria"/>
          <w:i/>
          <w:sz w:val="20"/>
          <w:szCs w:val="20"/>
        </w:rPr>
        <w:t>20</w:t>
      </w:r>
      <w:r w:rsidR="00104A37" w:rsidRPr="00A3461F">
        <w:rPr>
          <w:rFonts w:ascii="Cambria" w:eastAsia="Times New Roman" w:hAnsi="Cambria"/>
          <w:i/>
          <w:sz w:val="20"/>
          <w:szCs w:val="20"/>
        </w:rPr>
        <w:t>20</w:t>
      </w:r>
      <w:r w:rsidR="00C006C8" w:rsidRPr="00A3461F">
        <w:rPr>
          <w:rFonts w:ascii="Cambria" w:eastAsia="Times New Roman" w:hAnsi="Cambria"/>
          <w:i/>
          <w:sz w:val="20"/>
          <w:szCs w:val="20"/>
        </w:rPr>
        <w:t>-202</w:t>
      </w:r>
      <w:r w:rsidR="00104A37" w:rsidRPr="00A3461F">
        <w:rPr>
          <w:rFonts w:ascii="Cambria" w:eastAsia="Times New Roman" w:hAnsi="Cambria"/>
          <w:i/>
          <w:sz w:val="20"/>
          <w:szCs w:val="20"/>
        </w:rPr>
        <w:t>1</w:t>
      </w:r>
      <w:r w:rsidR="001B0EEC" w:rsidRPr="00A3461F">
        <w:rPr>
          <w:rFonts w:ascii="Cambria" w:eastAsia="Times New Roman" w:hAnsi="Cambria"/>
          <w:i/>
          <w:sz w:val="20"/>
          <w:szCs w:val="20"/>
        </w:rPr>
        <w:t>)</w:t>
      </w:r>
    </w:p>
    <w:p w:rsidR="00AF7DA5" w:rsidRPr="00EE7E9F" w:rsidRDefault="00C860F4" w:rsidP="00394AD4">
      <w:pPr>
        <w:spacing w:after="0" w:line="240" w:lineRule="auto"/>
        <w:ind w:right="-46"/>
        <w:rPr>
          <w:rFonts w:ascii="Cambria" w:eastAsia="Times New Roman" w:hAnsi="Cambria"/>
          <w:b/>
          <w:noProof/>
          <w:sz w:val="24"/>
          <w:highlight w:val="yellow"/>
        </w:rPr>
      </w:pPr>
      <w:r w:rsidRPr="00FB2E3B">
        <w:rPr>
          <w:noProof/>
          <w:lang w:val="en-US"/>
        </w:rPr>
        <w:drawing>
          <wp:inline distT="0" distB="0" distL="0" distR="0" wp14:anchorId="1ADA2850" wp14:editId="3E495829">
            <wp:extent cx="5731510" cy="1904479"/>
            <wp:effectExtent l="0" t="0" r="254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1904479"/>
                    </a:xfrm>
                    <a:prstGeom prst="rect">
                      <a:avLst/>
                    </a:prstGeom>
                    <a:noFill/>
                    <a:ln>
                      <a:noFill/>
                    </a:ln>
                  </pic:spPr>
                </pic:pic>
              </a:graphicData>
            </a:graphic>
          </wp:inline>
        </w:drawing>
      </w:r>
    </w:p>
    <w:p w:rsidR="00C860F4" w:rsidRDefault="00C860F4" w:rsidP="00FB2E3B">
      <w:pPr>
        <w:pStyle w:val="ListParagraph"/>
        <w:spacing w:after="0" w:line="240" w:lineRule="auto"/>
        <w:ind w:left="567" w:right="-46"/>
        <w:rPr>
          <w:rFonts w:ascii="Cambria" w:eastAsia="Times New Roman" w:hAnsi="Cambria"/>
          <w:b/>
          <w:noProof/>
        </w:rPr>
      </w:pPr>
    </w:p>
    <w:p w:rsidR="00046697" w:rsidRPr="00A3461F" w:rsidRDefault="00FB2667" w:rsidP="00046697">
      <w:pPr>
        <w:pStyle w:val="ListParagraph"/>
        <w:numPr>
          <w:ilvl w:val="0"/>
          <w:numId w:val="6"/>
        </w:numPr>
        <w:spacing w:after="0" w:line="240" w:lineRule="auto"/>
        <w:ind w:left="567" w:right="-46" w:hanging="567"/>
        <w:rPr>
          <w:rFonts w:ascii="Cambria" w:eastAsia="Times New Roman" w:hAnsi="Cambria"/>
          <w:b/>
          <w:noProof/>
        </w:rPr>
      </w:pPr>
      <w:r w:rsidRPr="00A3461F">
        <w:rPr>
          <w:rFonts w:ascii="Cambria" w:eastAsia="Times New Roman" w:hAnsi="Cambria"/>
          <w:b/>
          <w:noProof/>
        </w:rPr>
        <w:t>KOSTO</w:t>
      </w:r>
      <w:r w:rsidR="00941990" w:rsidRPr="00A3461F">
        <w:rPr>
          <w:rFonts w:ascii="Cambria" w:eastAsia="Times New Roman" w:hAnsi="Cambria"/>
          <w:b/>
          <w:noProof/>
        </w:rPr>
        <w:t>T</w:t>
      </w:r>
      <w:r w:rsidR="00046697" w:rsidRPr="00A3461F">
        <w:rPr>
          <w:rFonts w:ascii="Cambria" w:eastAsia="Times New Roman" w:hAnsi="Cambria"/>
          <w:b/>
          <w:noProof/>
        </w:rPr>
        <w:t xml:space="preserve"> </w:t>
      </w:r>
    </w:p>
    <w:p w:rsidR="00046697" w:rsidRPr="00A3461F" w:rsidRDefault="00046697" w:rsidP="00046697">
      <w:pPr>
        <w:pStyle w:val="ListParagraph"/>
        <w:spacing w:after="0" w:line="240" w:lineRule="auto"/>
        <w:ind w:left="567" w:right="-46"/>
        <w:rPr>
          <w:rFonts w:ascii="Cambria" w:eastAsia="Times New Roman" w:hAnsi="Cambria"/>
          <w:b/>
          <w:noProof/>
          <w:sz w:val="20"/>
          <w:szCs w:val="20"/>
        </w:rPr>
      </w:pPr>
    </w:p>
    <w:p w:rsidR="00046697" w:rsidRPr="00A3461F" w:rsidRDefault="00046697" w:rsidP="00046697">
      <w:pPr>
        <w:spacing w:after="0" w:line="240" w:lineRule="auto"/>
        <w:ind w:right="-46"/>
        <w:jc w:val="both"/>
        <w:rPr>
          <w:rFonts w:ascii="Cambria" w:hAnsi="Cambria"/>
          <w:i/>
          <w:sz w:val="20"/>
          <w:szCs w:val="20"/>
        </w:rPr>
      </w:pPr>
      <w:r w:rsidRPr="00A3461F">
        <w:rPr>
          <w:rFonts w:ascii="Cambria" w:hAnsi="Cambria"/>
          <w:b/>
          <w:sz w:val="20"/>
          <w:szCs w:val="20"/>
        </w:rPr>
        <w:t xml:space="preserve">Tabela 3.0: </w:t>
      </w:r>
      <w:r w:rsidRPr="00A3461F">
        <w:rPr>
          <w:rFonts w:ascii="Cambria" w:hAnsi="Cambria"/>
          <w:i/>
          <w:sz w:val="20"/>
          <w:szCs w:val="20"/>
        </w:rPr>
        <w:t xml:space="preserve">Shërbimi i borxhit shtetëror </w:t>
      </w:r>
      <w:r w:rsidR="00C860F4">
        <w:rPr>
          <w:rFonts w:ascii="Cambria" w:hAnsi="Cambria"/>
          <w:i/>
          <w:sz w:val="20"/>
          <w:szCs w:val="20"/>
        </w:rPr>
        <w:t>(</w:t>
      </w:r>
      <w:r w:rsidR="00750CC0" w:rsidRPr="00A3461F">
        <w:rPr>
          <w:rFonts w:ascii="Cambria" w:hAnsi="Cambria"/>
          <w:i/>
          <w:sz w:val="20"/>
          <w:szCs w:val="20"/>
        </w:rPr>
        <w:t xml:space="preserve"> 201</w:t>
      </w:r>
      <w:r w:rsidR="00C860F4">
        <w:rPr>
          <w:rFonts w:ascii="Cambria" w:hAnsi="Cambria"/>
          <w:i/>
          <w:sz w:val="20"/>
          <w:szCs w:val="20"/>
        </w:rPr>
        <w:t>6</w:t>
      </w:r>
      <w:r w:rsidR="00750CC0" w:rsidRPr="00A3461F">
        <w:rPr>
          <w:rFonts w:ascii="Cambria" w:hAnsi="Cambria"/>
          <w:i/>
          <w:sz w:val="20"/>
          <w:szCs w:val="20"/>
        </w:rPr>
        <w:t xml:space="preserve"> –202</w:t>
      </w:r>
      <w:r w:rsidR="00F76036" w:rsidRPr="00A3461F">
        <w:rPr>
          <w:rFonts w:ascii="Cambria" w:hAnsi="Cambria"/>
          <w:i/>
          <w:sz w:val="20"/>
          <w:szCs w:val="20"/>
        </w:rPr>
        <w:t>1</w:t>
      </w:r>
      <w:r w:rsidR="001B0EEC" w:rsidRPr="00A3461F">
        <w:rPr>
          <w:rFonts w:ascii="Cambria" w:hAnsi="Cambria"/>
          <w:i/>
          <w:sz w:val="20"/>
          <w:szCs w:val="20"/>
        </w:rPr>
        <w:t>)</w:t>
      </w:r>
      <w:r w:rsidR="008C4584" w:rsidRPr="00A3461F">
        <w:rPr>
          <w:rFonts w:ascii="Cambria" w:hAnsi="Cambria"/>
          <w:i/>
          <w:sz w:val="20"/>
          <w:szCs w:val="20"/>
        </w:rPr>
        <w:t xml:space="preserve">                           </w:t>
      </w:r>
      <w:r w:rsidR="0045556A" w:rsidRPr="00A3461F">
        <w:rPr>
          <w:rFonts w:ascii="Cambria" w:hAnsi="Cambria"/>
          <w:i/>
          <w:sz w:val="20"/>
          <w:szCs w:val="20"/>
        </w:rPr>
        <w:t xml:space="preserve">               </w:t>
      </w:r>
      <w:r w:rsidR="008C4584" w:rsidRPr="00A3461F">
        <w:rPr>
          <w:rFonts w:ascii="Cambria" w:hAnsi="Cambria"/>
          <w:i/>
          <w:sz w:val="20"/>
          <w:szCs w:val="20"/>
        </w:rPr>
        <w:t xml:space="preserve">    </w:t>
      </w:r>
      <w:r w:rsidR="001B0EEC" w:rsidRPr="00A3461F">
        <w:rPr>
          <w:rFonts w:ascii="Cambria" w:hAnsi="Cambria"/>
          <w:i/>
          <w:sz w:val="20"/>
          <w:szCs w:val="20"/>
        </w:rPr>
        <w:t xml:space="preserve">         </w:t>
      </w:r>
      <w:r w:rsidR="00750CC0" w:rsidRPr="00A3461F">
        <w:rPr>
          <w:rFonts w:ascii="Cambria" w:hAnsi="Cambria"/>
          <w:i/>
          <w:sz w:val="20"/>
          <w:szCs w:val="20"/>
        </w:rPr>
        <w:t xml:space="preserve">  </w:t>
      </w:r>
      <w:r w:rsidR="00C860F4">
        <w:rPr>
          <w:rFonts w:ascii="Cambria" w:hAnsi="Cambria"/>
          <w:i/>
          <w:sz w:val="20"/>
          <w:szCs w:val="20"/>
        </w:rPr>
        <w:t xml:space="preserve">            </w:t>
      </w:r>
      <w:r w:rsidRPr="00A3461F">
        <w:rPr>
          <w:rFonts w:ascii="Cambria" w:hAnsi="Cambria"/>
          <w:i/>
          <w:sz w:val="20"/>
          <w:szCs w:val="20"/>
        </w:rPr>
        <w:t>(në milion Lek</w:t>
      </w:r>
      <w:r w:rsidR="003F5D3F" w:rsidRPr="00A3461F">
        <w:rPr>
          <w:rFonts w:ascii="Cambria" w:hAnsi="Cambria"/>
          <w:i/>
          <w:sz w:val="20"/>
          <w:szCs w:val="20"/>
        </w:rPr>
        <w:t>ë</w:t>
      </w:r>
      <w:r w:rsidRPr="00A3461F">
        <w:rPr>
          <w:rFonts w:ascii="Cambria" w:hAnsi="Cambria"/>
          <w:i/>
          <w:sz w:val="20"/>
          <w:szCs w:val="20"/>
        </w:rPr>
        <w:t>)</w:t>
      </w:r>
    </w:p>
    <w:p w:rsidR="009117D6" w:rsidRPr="00EE7E9F" w:rsidRDefault="00B2242A" w:rsidP="00046697">
      <w:pPr>
        <w:spacing w:after="0" w:line="240" w:lineRule="auto"/>
        <w:ind w:right="-46"/>
        <w:jc w:val="both"/>
        <w:rPr>
          <w:rFonts w:ascii="Cambria" w:hAnsi="Cambria"/>
          <w:i/>
          <w:sz w:val="20"/>
          <w:szCs w:val="20"/>
          <w:highlight w:val="yellow"/>
        </w:rPr>
      </w:pPr>
      <w:r w:rsidRPr="00FB2E3B">
        <w:rPr>
          <w:noProof/>
          <w:lang w:val="en-US"/>
        </w:rPr>
        <w:drawing>
          <wp:inline distT="0" distB="0" distL="0" distR="0" wp14:anchorId="1EC7E13B" wp14:editId="75186115">
            <wp:extent cx="5729715" cy="1697127"/>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3257" cy="1698176"/>
                    </a:xfrm>
                    <a:prstGeom prst="rect">
                      <a:avLst/>
                    </a:prstGeom>
                    <a:noFill/>
                    <a:ln>
                      <a:noFill/>
                    </a:ln>
                  </pic:spPr>
                </pic:pic>
              </a:graphicData>
            </a:graphic>
          </wp:inline>
        </w:drawing>
      </w:r>
    </w:p>
    <w:p w:rsidR="00C84251" w:rsidRPr="00A3461F" w:rsidRDefault="00046697" w:rsidP="00DD7874">
      <w:pPr>
        <w:tabs>
          <w:tab w:val="left" w:pos="3214"/>
        </w:tabs>
        <w:spacing w:after="0" w:line="240" w:lineRule="auto"/>
        <w:ind w:left="142" w:right="-46" w:hanging="142"/>
        <w:rPr>
          <w:rFonts w:ascii="Cambria" w:hAnsi="Cambria"/>
          <w:i/>
          <w:noProof/>
          <w:sz w:val="20"/>
          <w:szCs w:val="20"/>
        </w:rPr>
      </w:pPr>
      <w:r w:rsidRPr="00A3461F">
        <w:rPr>
          <w:rFonts w:ascii="Cambria" w:hAnsi="Cambria"/>
          <w:i/>
          <w:noProof/>
          <w:sz w:val="20"/>
          <w:szCs w:val="20"/>
        </w:rPr>
        <w:t xml:space="preserve">* Krahas shërbimit të borxhit shtetëror përfshihet edhe shërbimi i borxhit që </w:t>
      </w:r>
      <w:r w:rsidR="008C4584" w:rsidRPr="00A3461F">
        <w:rPr>
          <w:rFonts w:ascii="Cambria" w:hAnsi="Cambria"/>
          <w:i/>
          <w:noProof/>
          <w:sz w:val="20"/>
          <w:szCs w:val="20"/>
        </w:rPr>
        <w:t>q</w:t>
      </w:r>
      <w:r w:rsidRPr="00A3461F">
        <w:rPr>
          <w:rFonts w:ascii="Cambria" w:hAnsi="Cambria"/>
          <w:i/>
          <w:noProof/>
          <w:sz w:val="20"/>
          <w:szCs w:val="20"/>
        </w:rPr>
        <w:t>everia ka</w:t>
      </w:r>
      <w:r w:rsidRPr="00A3461F">
        <w:rPr>
          <w:rFonts w:ascii="Cambria" w:hAnsi="Cambria"/>
          <w:i/>
          <w:noProof/>
          <w:color w:val="FFFFFF" w:themeColor="background1"/>
          <w:sz w:val="20"/>
          <w:szCs w:val="20"/>
        </w:rPr>
        <w:t>..</w:t>
      </w:r>
      <w:r w:rsidRPr="00A3461F">
        <w:rPr>
          <w:rFonts w:ascii="Cambria" w:hAnsi="Cambria"/>
          <w:i/>
          <w:noProof/>
          <w:sz w:val="20"/>
          <w:szCs w:val="20"/>
        </w:rPr>
        <w:t xml:space="preserve">paguar në favor të entiteteve për të cilat </w:t>
      </w:r>
      <w:r w:rsidR="0045556A" w:rsidRPr="00A3461F">
        <w:rPr>
          <w:rFonts w:ascii="Cambria" w:hAnsi="Cambria"/>
          <w:i/>
          <w:noProof/>
          <w:sz w:val="20"/>
          <w:szCs w:val="20"/>
        </w:rPr>
        <w:t>ka lëshuar</w:t>
      </w:r>
      <w:r w:rsidRPr="00A3461F">
        <w:rPr>
          <w:rFonts w:ascii="Cambria" w:hAnsi="Cambria"/>
          <w:i/>
          <w:noProof/>
          <w:sz w:val="20"/>
          <w:szCs w:val="20"/>
        </w:rPr>
        <w:t xml:space="preserve"> </w:t>
      </w:r>
      <w:r w:rsidR="008C4584" w:rsidRPr="00A3461F">
        <w:rPr>
          <w:rFonts w:ascii="Cambria" w:hAnsi="Cambria"/>
          <w:i/>
          <w:noProof/>
          <w:sz w:val="20"/>
          <w:szCs w:val="20"/>
        </w:rPr>
        <w:t>g</w:t>
      </w:r>
      <w:r w:rsidRPr="00A3461F">
        <w:rPr>
          <w:rFonts w:ascii="Cambria" w:hAnsi="Cambria"/>
          <w:i/>
          <w:noProof/>
          <w:sz w:val="20"/>
          <w:szCs w:val="20"/>
        </w:rPr>
        <w:t xml:space="preserve">aranci </w:t>
      </w:r>
      <w:r w:rsidR="008C4584" w:rsidRPr="00A3461F">
        <w:rPr>
          <w:rFonts w:ascii="Cambria" w:hAnsi="Cambria"/>
          <w:i/>
          <w:noProof/>
          <w:sz w:val="20"/>
          <w:szCs w:val="20"/>
        </w:rPr>
        <w:t>s</w:t>
      </w:r>
      <w:r w:rsidRPr="00A3461F">
        <w:rPr>
          <w:rFonts w:ascii="Cambria" w:hAnsi="Cambria"/>
          <w:i/>
          <w:noProof/>
          <w:sz w:val="20"/>
          <w:szCs w:val="20"/>
        </w:rPr>
        <w:t>htetërore.</w:t>
      </w:r>
    </w:p>
    <w:p w:rsidR="00C860F4" w:rsidRPr="00EE7E9F" w:rsidRDefault="00C860F4" w:rsidP="008C4584">
      <w:pPr>
        <w:spacing w:after="0" w:line="240" w:lineRule="auto"/>
        <w:ind w:right="-46"/>
        <w:rPr>
          <w:rFonts w:ascii="Cambria" w:eastAsia="Times New Roman" w:hAnsi="Cambria"/>
          <w:b/>
          <w:noProof/>
          <w:highlight w:val="yellow"/>
        </w:rPr>
      </w:pPr>
    </w:p>
    <w:p w:rsidR="00AF7DA5" w:rsidRPr="00EE7E9F" w:rsidRDefault="00AF7DA5" w:rsidP="008C4584">
      <w:pPr>
        <w:spacing w:after="0" w:line="240" w:lineRule="auto"/>
        <w:ind w:right="-46"/>
        <w:rPr>
          <w:rFonts w:ascii="Cambria" w:eastAsia="Times New Roman" w:hAnsi="Cambria"/>
          <w:b/>
          <w:noProof/>
          <w:highlight w:val="yellow"/>
        </w:rPr>
      </w:pPr>
    </w:p>
    <w:p w:rsidR="00046697" w:rsidRPr="00A3461F" w:rsidRDefault="00046697" w:rsidP="00046697">
      <w:pPr>
        <w:pStyle w:val="ListParagraph"/>
        <w:numPr>
          <w:ilvl w:val="0"/>
          <w:numId w:val="6"/>
        </w:numPr>
        <w:spacing w:after="0" w:line="240" w:lineRule="auto"/>
        <w:ind w:left="567" w:right="-46" w:hanging="567"/>
        <w:rPr>
          <w:rFonts w:ascii="Cambria" w:eastAsia="Times New Roman" w:hAnsi="Cambria"/>
          <w:b/>
          <w:noProof/>
        </w:rPr>
      </w:pPr>
      <w:r w:rsidRPr="00A3461F">
        <w:rPr>
          <w:rFonts w:ascii="Cambria" w:eastAsia="Times New Roman" w:hAnsi="Cambria"/>
          <w:b/>
          <w:noProof/>
        </w:rPr>
        <w:t>TREGUESIT E TREGUT PRIMAR TË TITUJVE SHTETËRORË</w:t>
      </w:r>
    </w:p>
    <w:p w:rsidR="00046697" w:rsidRPr="00A3461F" w:rsidRDefault="00046697" w:rsidP="00046697">
      <w:pPr>
        <w:pStyle w:val="ListParagraph"/>
        <w:spacing w:after="0" w:line="240" w:lineRule="auto"/>
        <w:ind w:left="567" w:right="-46"/>
        <w:rPr>
          <w:rFonts w:ascii="Cambria" w:eastAsia="Times New Roman" w:hAnsi="Cambria"/>
          <w:b/>
          <w:noProof/>
          <w:sz w:val="20"/>
          <w:szCs w:val="20"/>
        </w:rPr>
      </w:pPr>
    </w:p>
    <w:p w:rsidR="00E34408" w:rsidRPr="00871B78" w:rsidRDefault="00046697" w:rsidP="00871B78">
      <w:pPr>
        <w:spacing w:after="0" w:line="240" w:lineRule="auto"/>
        <w:ind w:left="1080" w:right="-46" w:hanging="1080"/>
        <w:jc w:val="center"/>
        <w:rPr>
          <w:rFonts w:ascii="Cambria" w:hAnsi="Cambria"/>
          <w:i/>
          <w:sz w:val="20"/>
          <w:szCs w:val="20"/>
        </w:rPr>
      </w:pPr>
      <w:r w:rsidRPr="00871B78">
        <w:rPr>
          <w:rFonts w:ascii="Cambria" w:hAnsi="Cambria"/>
          <w:b/>
          <w:sz w:val="20"/>
          <w:szCs w:val="20"/>
        </w:rPr>
        <w:t xml:space="preserve">Tabela 4.0: </w:t>
      </w:r>
      <w:r w:rsidR="008D3FC3" w:rsidRPr="00871B78">
        <w:rPr>
          <w:rFonts w:ascii="Cambria" w:hAnsi="Cambria"/>
          <w:b/>
          <w:sz w:val="20"/>
          <w:szCs w:val="20"/>
        </w:rPr>
        <w:t xml:space="preserve"> </w:t>
      </w:r>
      <w:r w:rsidRPr="00871B78">
        <w:rPr>
          <w:rFonts w:ascii="Cambria" w:hAnsi="Cambria"/>
          <w:i/>
          <w:sz w:val="20"/>
          <w:szCs w:val="20"/>
        </w:rPr>
        <w:t>Treguesit e ecurisë së kërkesës dhe ofertës në tregun primar të titujve shtetërorë</w:t>
      </w:r>
      <w:r w:rsidR="00143AD5" w:rsidRPr="00871B78">
        <w:rPr>
          <w:rFonts w:ascii="Cambria" w:hAnsi="Cambria"/>
          <w:i/>
          <w:sz w:val="20"/>
          <w:szCs w:val="20"/>
        </w:rPr>
        <w:t xml:space="preserve"> </w:t>
      </w:r>
      <w:r w:rsidR="001B0EEC" w:rsidRPr="00871B78">
        <w:rPr>
          <w:rFonts w:ascii="Cambria" w:hAnsi="Cambria"/>
          <w:i/>
          <w:sz w:val="20"/>
          <w:szCs w:val="20"/>
        </w:rPr>
        <w:t xml:space="preserve">                   (</w:t>
      </w:r>
      <w:r w:rsidR="009117D6" w:rsidRPr="00871B78">
        <w:rPr>
          <w:rFonts w:ascii="Cambria" w:hAnsi="Cambria"/>
          <w:i/>
          <w:sz w:val="20"/>
          <w:szCs w:val="20"/>
        </w:rPr>
        <w:t>2019-2020-</w:t>
      </w:r>
      <w:r w:rsidR="00143AD5" w:rsidRPr="00871B78">
        <w:rPr>
          <w:rFonts w:ascii="Cambria" w:hAnsi="Cambria"/>
          <w:i/>
          <w:sz w:val="20"/>
          <w:szCs w:val="20"/>
        </w:rPr>
        <w:t>202</w:t>
      </w:r>
      <w:r w:rsidR="00F76036" w:rsidRPr="00871B78">
        <w:rPr>
          <w:rFonts w:ascii="Cambria" w:hAnsi="Cambria"/>
          <w:i/>
          <w:sz w:val="20"/>
          <w:szCs w:val="20"/>
        </w:rPr>
        <w:t>1</w:t>
      </w:r>
      <w:r w:rsidR="001B0EEC" w:rsidRPr="00871B78">
        <w:rPr>
          <w:rFonts w:ascii="Cambria" w:hAnsi="Cambria"/>
          <w:i/>
          <w:sz w:val="20"/>
          <w:szCs w:val="20"/>
        </w:rPr>
        <w:t>)</w:t>
      </w:r>
    </w:p>
    <w:p w:rsidR="005E1612" w:rsidRPr="00163A17" w:rsidRDefault="0071537D" w:rsidP="00046697">
      <w:pPr>
        <w:spacing w:after="0" w:line="240" w:lineRule="auto"/>
        <w:rPr>
          <w:rFonts w:ascii="Cambria" w:hAnsi="Cambria"/>
          <w:b/>
          <w:sz w:val="20"/>
          <w:szCs w:val="20"/>
        </w:rPr>
      </w:pPr>
      <w:r w:rsidRPr="0071537D">
        <w:rPr>
          <w:noProof/>
          <w:lang w:val="en-US"/>
        </w:rPr>
        <w:drawing>
          <wp:inline distT="0" distB="0" distL="0" distR="0" wp14:anchorId="43515BDD" wp14:editId="233E033B">
            <wp:extent cx="5730602" cy="2362809"/>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4881" cy="2364573"/>
                    </a:xfrm>
                    <a:prstGeom prst="rect">
                      <a:avLst/>
                    </a:prstGeom>
                    <a:noFill/>
                    <a:ln>
                      <a:noFill/>
                    </a:ln>
                  </pic:spPr>
                </pic:pic>
              </a:graphicData>
            </a:graphic>
          </wp:inline>
        </w:drawing>
      </w:r>
    </w:p>
    <w:p w:rsidR="005E1612" w:rsidRDefault="005E1612" w:rsidP="00046697">
      <w:pPr>
        <w:spacing w:after="0" w:line="240" w:lineRule="auto"/>
        <w:rPr>
          <w:rFonts w:ascii="Cambria" w:hAnsi="Cambria"/>
          <w:b/>
          <w:sz w:val="20"/>
          <w:szCs w:val="20"/>
          <w:highlight w:val="yellow"/>
        </w:rPr>
      </w:pPr>
    </w:p>
    <w:p w:rsidR="005E1612" w:rsidRPr="00EE7E9F" w:rsidRDefault="005E1612" w:rsidP="00046697">
      <w:pPr>
        <w:spacing w:after="0" w:line="240" w:lineRule="auto"/>
        <w:rPr>
          <w:rFonts w:ascii="Cambria" w:hAnsi="Cambria"/>
          <w:b/>
          <w:sz w:val="20"/>
          <w:szCs w:val="20"/>
          <w:highlight w:val="yellow"/>
        </w:rPr>
      </w:pPr>
    </w:p>
    <w:p w:rsidR="008C4584" w:rsidRPr="00E54D32" w:rsidRDefault="00046697" w:rsidP="00600554">
      <w:pPr>
        <w:pStyle w:val="ListParagraph"/>
        <w:numPr>
          <w:ilvl w:val="0"/>
          <w:numId w:val="6"/>
        </w:numPr>
        <w:spacing w:after="0" w:line="240" w:lineRule="auto"/>
        <w:ind w:left="567" w:right="-46" w:hanging="567"/>
        <w:rPr>
          <w:rFonts w:ascii="Cambria" w:eastAsia="Times New Roman" w:hAnsi="Cambria"/>
          <w:b/>
          <w:noProof/>
        </w:rPr>
      </w:pPr>
      <w:r w:rsidRPr="00E54D32">
        <w:rPr>
          <w:rFonts w:ascii="Cambria" w:eastAsia="Times New Roman" w:hAnsi="Cambria"/>
          <w:b/>
          <w:noProof/>
        </w:rPr>
        <w:t>KOMPOZIMI I BORXHIT TË JASHTËM</w:t>
      </w:r>
    </w:p>
    <w:p w:rsidR="00BC0099" w:rsidRPr="00E54D32" w:rsidRDefault="00BC0099" w:rsidP="00BC0099">
      <w:pPr>
        <w:spacing w:after="0" w:line="240" w:lineRule="auto"/>
        <w:rPr>
          <w:rFonts w:ascii="Cambria" w:hAnsi="Cambria"/>
          <w:b/>
          <w:sz w:val="20"/>
          <w:szCs w:val="20"/>
        </w:rPr>
      </w:pPr>
    </w:p>
    <w:p w:rsidR="00223B39" w:rsidRPr="00D40060" w:rsidRDefault="008F791D" w:rsidP="00223B39">
      <w:pPr>
        <w:spacing w:after="0" w:line="240" w:lineRule="auto"/>
        <w:rPr>
          <w:rFonts w:ascii="Cambria" w:hAnsi="Cambria"/>
          <w:i/>
          <w:sz w:val="20"/>
          <w:szCs w:val="20"/>
        </w:rPr>
      </w:pPr>
      <w:r>
        <w:rPr>
          <w:noProof/>
          <w:lang w:val="en-US"/>
        </w:rPr>
        <w:drawing>
          <wp:anchor distT="0" distB="0" distL="114300" distR="114300" simplePos="0" relativeHeight="251904000" behindDoc="1" locked="0" layoutInCell="1" allowOverlap="1" wp14:anchorId="1D0EAF06" wp14:editId="575D42AF">
            <wp:simplePos x="0" y="0"/>
            <wp:positionH relativeFrom="column">
              <wp:posOffset>2867025</wp:posOffset>
            </wp:positionH>
            <wp:positionV relativeFrom="paragraph">
              <wp:posOffset>196850</wp:posOffset>
            </wp:positionV>
            <wp:extent cx="2786380" cy="1887855"/>
            <wp:effectExtent l="0" t="0" r="13970" b="17145"/>
            <wp:wrapTight wrapText="bothSides">
              <wp:wrapPolygon edited="0">
                <wp:start x="0" y="0"/>
                <wp:lineTo x="0" y="21578"/>
                <wp:lineTo x="21561" y="21578"/>
                <wp:lineTo x="21561" y="0"/>
                <wp:lineTo x="0" y="0"/>
              </wp:wrapPolygon>
            </wp:wrapTight>
            <wp:docPr id="6" name="Chart 6">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3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902976" behindDoc="1" locked="0" layoutInCell="1" allowOverlap="1" wp14:anchorId="2FD414AF" wp14:editId="762A40A2">
            <wp:simplePos x="0" y="0"/>
            <wp:positionH relativeFrom="column">
              <wp:posOffset>6985</wp:posOffset>
            </wp:positionH>
            <wp:positionV relativeFrom="paragraph">
              <wp:posOffset>196850</wp:posOffset>
            </wp:positionV>
            <wp:extent cx="2860040" cy="1887855"/>
            <wp:effectExtent l="0" t="0" r="16510" b="17145"/>
            <wp:wrapTight wrapText="bothSides">
              <wp:wrapPolygon edited="0">
                <wp:start x="0" y="0"/>
                <wp:lineTo x="0" y="21578"/>
                <wp:lineTo x="21581" y="21578"/>
                <wp:lineTo x="21581" y="0"/>
                <wp:lineTo x="0" y="0"/>
              </wp:wrapPolygon>
            </wp:wrapTight>
            <wp:docPr id="10" name="Chart 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3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r w:rsidR="00BC0099" w:rsidRPr="00E54D32">
        <w:rPr>
          <w:rFonts w:ascii="Cambria" w:hAnsi="Cambria"/>
          <w:b/>
          <w:sz w:val="20"/>
          <w:szCs w:val="20"/>
        </w:rPr>
        <w:t xml:space="preserve">Paraqitje Grafike 5.0: </w:t>
      </w:r>
      <w:r w:rsidR="00BC0099" w:rsidRPr="00E54D32">
        <w:rPr>
          <w:rFonts w:ascii="Cambria" w:hAnsi="Cambria"/>
          <w:i/>
          <w:sz w:val="20"/>
          <w:szCs w:val="20"/>
        </w:rPr>
        <w:t>Stoku i borxhit të jashtëm shtetëror sipas valutës (</w:t>
      </w:r>
      <w:r w:rsidR="00E54D32" w:rsidRPr="00E54D32">
        <w:rPr>
          <w:rFonts w:ascii="Cambria" w:hAnsi="Cambria"/>
          <w:i/>
          <w:sz w:val="20"/>
          <w:szCs w:val="20"/>
        </w:rPr>
        <w:t>202</w:t>
      </w:r>
      <w:r w:rsidR="00871B78">
        <w:rPr>
          <w:rFonts w:ascii="Cambria" w:hAnsi="Cambria"/>
          <w:i/>
          <w:sz w:val="20"/>
          <w:szCs w:val="20"/>
        </w:rPr>
        <w:t>0</w:t>
      </w:r>
      <w:r w:rsidR="00E54D32" w:rsidRPr="00E54D32">
        <w:rPr>
          <w:rFonts w:ascii="Cambria" w:hAnsi="Cambria"/>
          <w:i/>
          <w:sz w:val="20"/>
          <w:szCs w:val="20"/>
        </w:rPr>
        <w:t xml:space="preserve"> &amp; 2021</w:t>
      </w:r>
      <w:r w:rsidR="00D40060">
        <w:rPr>
          <w:rFonts w:ascii="Cambria" w:hAnsi="Cambria"/>
          <w:i/>
          <w:sz w:val="20"/>
          <w:szCs w:val="20"/>
        </w:rPr>
        <w:t xml:space="preserve">)                             </w:t>
      </w:r>
    </w:p>
    <w:p w:rsidR="00212B8F" w:rsidRDefault="00212B8F" w:rsidP="00223B39">
      <w:pPr>
        <w:spacing w:after="0" w:line="240" w:lineRule="auto"/>
        <w:contextualSpacing/>
        <w:rPr>
          <w:rFonts w:ascii="Cambria" w:hAnsi="Cambria"/>
          <w:i/>
          <w:sz w:val="20"/>
          <w:szCs w:val="20"/>
          <w:highlight w:val="yellow"/>
        </w:rPr>
      </w:pPr>
    </w:p>
    <w:p w:rsidR="00212B8F" w:rsidRDefault="00212B8F" w:rsidP="00223B39">
      <w:pPr>
        <w:spacing w:after="0" w:line="240" w:lineRule="auto"/>
        <w:contextualSpacing/>
        <w:rPr>
          <w:rFonts w:ascii="Cambria" w:hAnsi="Cambria"/>
          <w:i/>
          <w:sz w:val="20"/>
          <w:szCs w:val="20"/>
          <w:highlight w:val="yellow"/>
        </w:rPr>
      </w:pPr>
    </w:p>
    <w:p w:rsidR="005E1612" w:rsidRDefault="005E1612" w:rsidP="00223B39">
      <w:pPr>
        <w:spacing w:after="0" w:line="240" w:lineRule="auto"/>
        <w:contextualSpacing/>
        <w:jc w:val="both"/>
        <w:rPr>
          <w:rFonts w:ascii="Cambria" w:hAnsi="Cambria"/>
          <w:b/>
          <w:sz w:val="20"/>
          <w:szCs w:val="20"/>
        </w:rPr>
      </w:pPr>
    </w:p>
    <w:p w:rsidR="00046697" w:rsidRPr="00082B20" w:rsidRDefault="008C4584" w:rsidP="00223B39">
      <w:pPr>
        <w:spacing w:after="0" w:line="240" w:lineRule="auto"/>
        <w:contextualSpacing/>
        <w:jc w:val="both"/>
        <w:rPr>
          <w:rFonts w:ascii="Cambria" w:hAnsi="Cambria"/>
          <w:i/>
          <w:sz w:val="20"/>
          <w:szCs w:val="20"/>
        </w:rPr>
      </w:pPr>
      <w:r w:rsidRPr="00082B20">
        <w:rPr>
          <w:rFonts w:ascii="Cambria" w:hAnsi="Cambria"/>
          <w:b/>
          <w:sz w:val="20"/>
          <w:szCs w:val="20"/>
        </w:rPr>
        <w:t xml:space="preserve">Paraqitje Grafike 5.1: </w:t>
      </w:r>
      <w:r w:rsidRPr="00082B20">
        <w:rPr>
          <w:rFonts w:ascii="Cambria" w:hAnsi="Cambria"/>
          <w:i/>
          <w:sz w:val="20"/>
          <w:szCs w:val="20"/>
        </w:rPr>
        <w:t xml:space="preserve">Stoku i borxhit të jashtëm sipas tipit të interesit </w:t>
      </w:r>
      <w:r w:rsidR="001B0EEC" w:rsidRPr="00082B20">
        <w:rPr>
          <w:rFonts w:ascii="Cambria" w:hAnsi="Cambria"/>
          <w:i/>
          <w:sz w:val="20"/>
          <w:szCs w:val="20"/>
        </w:rPr>
        <w:t>(</w:t>
      </w:r>
      <w:r w:rsidR="00143AD5" w:rsidRPr="00082B20">
        <w:rPr>
          <w:rFonts w:ascii="Cambria" w:hAnsi="Cambria"/>
          <w:i/>
          <w:sz w:val="20"/>
          <w:szCs w:val="20"/>
        </w:rPr>
        <w:t>201</w:t>
      </w:r>
      <w:r w:rsidR="008F791D">
        <w:rPr>
          <w:rFonts w:ascii="Cambria" w:hAnsi="Cambria"/>
          <w:i/>
          <w:sz w:val="20"/>
          <w:szCs w:val="20"/>
        </w:rPr>
        <w:t>6</w:t>
      </w:r>
      <w:r w:rsidR="00923100" w:rsidRPr="00082B20">
        <w:rPr>
          <w:rFonts w:ascii="Cambria" w:hAnsi="Cambria"/>
          <w:i/>
          <w:sz w:val="20"/>
          <w:szCs w:val="20"/>
        </w:rPr>
        <w:t>-</w:t>
      </w:r>
      <w:r w:rsidR="00082B20" w:rsidRPr="00082B20">
        <w:rPr>
          <w:rFonts w:ascii="Cambria" w:hAnsi="Cambria"/>
          <w:i/>
          <w:sz w:val="20"/>
          <w:szCs w:val="20"/>
        </w:rPr>
        <w:t xml:space="preserve"> </w:t>
      </w:r>
      <w:r w:rsidR="00143AD5" w:rsidRPr="00082B20">
        <w:rPr>
          <w:rFonts w:ascii="Cambria" w:hAnsi="Cambria"/>
          <w:i/>
          <w:sz w:val="20"/>
          <w:szCs w:val="20"/>
        </w:rPr>
        <w:t>202</w:t>
      </w:r>
      <w:r w:rsidR="00BC0099" w:rsidRPr="00082B20">
        <w:rPr>
          <w:rFonts w:ascii="Cambria" w:hAnsi="Cambria"/>
          <w:i/>
          <w:sz w:val="20"/>
          <w:szCs w:val="20"/>
        </w:rPr>
        <w:t>1</w:t>
      </w:r>
      <w:r w:rsidR="001B0EEC" w:rsidRPr="00082B20">
        <w:rPr>
          <w:rFonts w:ascii="Cambria" w:hAnsi="Cambria"/>
          <w:i/>
          <w:sz w:val="20"/>
          <w:szCs w:val="20"/>
        </w:rPr>
        <w:t>)</w:t>
      </w:r>
    </w:p>
    <w:p w:rsidR="00A25699" w:rsidRPr="00EE7E9F" w:rsidRDefault="008843B6" w:rsidP="00223B39">
      <w:pPr>
        <w:spacing w:after="0" w:line="240" w:lineRule="auto"/>
        <w:contextualSpacing/>
        <w:jc w:val="both"/>
        <w:rPr>
          <w:rFonts w:ascii="Cambria" w:hAnsi="Cambria"/>
          <w:i/>
          <w:sz w:val="20"/>
          <w:szCs w:val="20"/>
          <w:highlight w:val="yellow"/>
        </w:rPr>
      </w:pPr>
      <w:r w:rsidRPr="00FB2E3B">
        <w:rPr>
          <w:rFonts w:ascii="Cambria" w:hAnsi="Cambria"/>
          <w:i/>
          <w:noProof/>
          <w:sz w:val="20"/>
          <w:szCs w:val="20"/>
          <w:highlight w:val="yellow"/>
          <w:lang w:val="en-US"/>
        </w:rPr>
        <w:drawing>
          <wp:inline distT="0" distB="0" distL="0" distR="0" wp14:anchorId="4DFE767F" wp14:editId="3614B27D">
            <wp:extent cx="5731510" cy="1903730"/>
            <wp:effectExtent l="0" t="0" r="2540" b="1270"/>
            <wp:docPr id="52" name="Chart 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23E9A" w:rsidRPr="00082B20" w:rsidRDefault="00823E9A" w:rsidP="00823E9A">
      <w:pPr>
        <w:spacing w:after="0" w:line="240" w:lineRule="auto"/>
        <w:ind w:right="-46"/>
        <w:rPr>
          <w:rFonts w:ascii="Cambria" w:hAnsi="Cambria"/>
          <w:i/>
          <w:sz w:val="20"/>
          <w:szCs w:val="20"/>
        </w:rPr>
      </w:pPr>
      <w:r w:rsidRPr="00082B20">
        <w:rPr>
          <w:rFonts w:ascii="Cambria" w:hAnsi="Cambria"/>
          <w:i/>
          <w:sz w:val="20"/>
          <w:szCs w:val="20"/>
        </w:rPr>
        <w:t>*Përfshihet borxhi shtetëror dhe borxhi shtetëror i garantuar</w:t>
      </w:r>
    </w:p>
    <w:p w:rsidR="002A210F" w:rsidRPr="00EE7E9F" w:rsidRDefault="002A210F" w:rsidP="00223B39">
      <w:pPr>
        <w:spacing w:after="0" w:line="240" w:lineRule="auto"/>
        <w:contextualSpacing/>
        <w:jc w:val="both"/>
        <w:rPr>
          <w:rFonts w:ascii="Cambria" w:hAnsi="Cambria"/>
          <w:b/>
          <w:sz w:val="20"/>
          <w:szCs w:val="20"/>
          <w:highlight w:val="yellow"/>
        </w:rPr>
      </w:pPr>
    </w:p>
    <w:p w:rsidR="00904748" w:rsidRPr="00EE7E9F" w:rsidRDefault="00904748" w:rsidP="00223B39">
      <w:pPr>
        <w:spacing w:after="0" w:line="240" w:lineRule="auto"/>
        <w:contextualSpacing/>
        <w:jc w:val="both"/>
        <w:rPr>
          <w:rFonts w:ascii="Cambria" w:hAnsi="Cambria"/>
          <w:b/>
          <w:sz w:val="20"/>
          <w:szCs w:val="20"/>
          <w:highlight w:val="yellow"/>
        </w:rPr>
      </w:pPr>
    </w:p>
    <w:p w:rsidR="00046697" w:rsidRPr="00082B20" w:rsidRDefault="00046697" w:rsidP="00223B39">
      <w:pPr>
        <w:spacing w:after="0" w:line="240" w:lineRule="auto"/>
        <w:contextualSpacing/>
        <w:jc w:val="both"/>
        <w:rPr>
          <w:rFonts w:ascii="Cambria" w:hAnsi="Cambria"/>
          <w:i/>
          <w:sz w:val="20"/>
          <w:szCs w:val="20"/>
        </w:rPr>
      </w:pPr>
      <w:r w:rsidRPr="00082B20">
        <w:rPr>
          <w:rFonts w:ascii="Cambria" w:hAnsi="Cambria"/>
          <w:b/>
          <w:sz w:val="20"/>
          <w:szCs w:val="20"/>
        </w:rPr>
        <w:t xml:space="preserve">Paraqitje Grafike 5.2: </w:t>
      </w:r>
      <w:r w:rsidRPr="00082B20">
        <w:rPr>
          <w:rFonts w:ascii="Cambria" w:hAnsi="Cambria"/>
          <w:i/>
          <w:sz w:val="20"/>
          <w:szCs w:val="20"/>
        </w:rPr>
        <w:t xml:space="preserve">Stoku i borxhit të jashtëm sipas koncesionalitetit </w:t>
      </w:r>
      <w:r w:rsidR="001B0EEC" w:rsidRPr="00082B20">
        <w:rPr>
          <w:rFonts w:ascii="Cambria" w:hAnsi="Cambria"/>
          <w:i/>
          <w:sz w:val="20"/>
          <w:szCs w:val="20"/>
        </w:rPr>
        <w:t>(</w:t>
      </w:r>
      <w:r w:rsidR="00E54D32">
        <w:rPr>
          <w:rFonts w:ascii="Cambria" w:hAnsi="Cambria"/>
          <w:i/>
          <w:sz w:val="20"/>
          <w:szCs w:val="20"/>
        </w:rPr>
        <w:t>201</w:t>
      </w:r>
      <w:r w:rsidR="008F791D">
        <w:rPr>
          <w:rFonts w:ascii="Cambria" w:hAnsi="Cambria"/>
          <w:i/>
          <w:sz w:val="20"/>
          <w:szCs w:val="20"/>
        </w:rPr>
        <w:t>6</w:t>
      </w:r>
      <w:r w:rsidR="00143AD5" w:rsidRPr="00082B20">
        <w:rPr>
          <w:rFonts w:ascii="Cambria" w:hAnsi="Cambria"/>
          <w:i/>
          <w:sz w:val="20"/>
          <w:szCs w:val="20"/>
        </w:rPr>
        <w:t>-202</w:t>
      </w:r>
      <w:r w:rsidR="00BC0099" w:rsidRPr="00082B20">
        <w:rPr>
          <w:rFonts w:ascii="Cambria" w:hAnsi="Cambria"/>
          <w:i/>
          <w:sz w:val="20"/>
          <w:szCs w:val="20"/>
        </w:rPr>
        <w:t>1</w:t>
      </w:r>
      <w:r w:rsidR="001B0EEC" w:rsidRPr="00082B20">
        <w:rPr>
          <w:rFonts w:ascii="Cambria" w:hAnsi="Cambria"/>
          <w:i/>
          <w:sz w:val="20"/>
          <w:szCs w:val="20"/>
        </w:rPr>
        <w:t>)</w:t>
      </w:r>
    </w:p>
    <w:p w:rsidR="005E1612" w:rsidRPr="005E1612" w:rsidRDefault="008843B6" w:rsidP="00223B39">
      <w:pPr>
        <w:spacing w:after="0" w:line="240" w:lineRule="auto"/>
        <w:contextualSpacing/>
        <w:jc w:val="both"/>
        <w:rPr>
          <w:rFonts w:ascii="Cambria" w:hAnsi="Cambria"/>
          <w:i/>
          <w:noProof/>
          <w:sz w:val="20"/>
          <w:szCs w:val="20"/>
          <w:highlight w:val="yellow"/>
          <w:lang w:val="en-GB" w:eastAsia="en-GB"/>
        </w:rPr>
      </w:pPr>
      <w:r w:rsidRPr="00FB2E3B">
        <w:rPr>
          <w:rFonts w:ascii="Cambria" w:hAnsi="Cambria"/>
          <w:i/>
          <w:noProof/>
          <w:sz w:val="20"/>
          <w:szCs w:val="20"/>
          <w:highlight w:val="yellow"/>
          <w:lang w:val="en-US"/>
        </w:rPr>
        <w:drawing>
          <wp:inline distT="0" distB="0" distL="0" distR="0" wp14:anchorId="531042C5" wp14:editId="31DE65D8">
            <wp:extent cx="5786323" cy="2374900"/>
            <wp:effectExtent l="0" t="0" r="5080" b="6350"/>
            <wp:docPr id="53" name="Chart 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23E9A" w:rsidRPr="00082B20" w:rsidRDefault="00823E9A" w:rsidP="00823E9A">
      <w:pPr>
        <w:spacing w:after="0" w:line="240" w:lineRule="auto"/>
        <w:ind w:right="-46"/>
        <w:rPr>
          <w:rFonts w:ascii="Cambria" w:hAnsi="Cambria"/>
          <w:i/>
          <w:sz w:val="20"/>
          <w:szCs w:val="20"/>
        </w:rPr>
      </w:pPr>
      <w:r w:rsidRPr="00082B20">
        <w:rPr>
          <w:rFonts w:ascii="Cambria" w:hAnsi="Cambria"/>
          <w:i/>
          <w:sz w:val="20"/>
          <w:szCs w:val="20"/>
        </w:rPr>
        <w:t>*Përfshihet borxhi shtetëror dhe borxhi shtetëror i garantuar</w:t>
      </w:r>
    </w:p>
    <w:p w:rsidR="008F2FB1" w:rsidRDefault="008F2FB1" w:rsidP="00223B39">
      <w:pPr>
        <w:spacing w:after="0" w:line="240" w:lineRule="auto"/>
        <w:contextualSpacing/>
        <w:jc w:val="both"/>
        <w:rPr>
          <w:rFonts w:ascii="Cambria" w:hAnsi="Cambria"/>
          <w:b/>
          <w:sz w:val="32"/>
          <w:szCs w:val="32"/>
        </w:rPr>
      </w:pPr>
    </w:p>
    <w:p w:rsidR="00082B20" w:rsidRDefault="00082B20" w:rsidP="00223B39">
      <w:pPr>
        <w:spacing w:after="0" w:line="240" w:lineRule="auto"/>
        <w:contextualSpacing/>
        <w:jc w:val="both"/>
        <w:rPr>
          <w:rFonts w:ascii="Cambria" w:hAnsi="Cambria"/>
          <w:b/>
          <w:sz w:val="32"/>
          <w:szCs w:val="32"/>
        </w:rPr>
      </w:pPr>
    </w:p>
    <w:p w:rsidR="0071537D" w:rsidRPr="00082B20" w:rsidRDefault="0071537D" w:rsidP="00223B39">
      <w:pPr>
        <w:spacing w:after="0" w:line="240" w:lineRule="auto"/>
        <w:contextualSpacing/>
        <w:jc w:val="both"/>
        <w:rPr>
          <w:rFonts w:ascii="Cambria" w:hAnsi="Cambria"/>
          <w:b/>
          <w:sz w:val="32"/>
          <w:szCs w:val="32"/>
        </w:rPr>
      </w:pPr>
    </w:p>
    <w:p w:rsidR="00143AD5" w:rsidRPr="00082B20" w:rsidRDefault="00446875" w:rsidP="00143AD5">
      <w:pPr>
        <w:spacing w:after="0" w:line="240" w:lineRule="auto"/>
        <w:contextualSpacing/>
        <w:jc w:val="both"/>
        <w:rPr>
          <w:rFonts w:ascii="Cambria" w:hAnsi="Cambria"/>
          <w:i/>
          <w:sz w:val="20"/>
          <w:szCs w:val="20"/>
        </w:rPr>
      </w:pPr>
      <w:r w:rsidRPr="00082B20">
        <w:rPr>
          <w:rFonts w:ascii="Cambria" w:hAnsi="Cambria"/>
          <w:b/>
          <w:sz w:val="20"/>
          <w:szCs w:val="20"/>
        </w:rPr>
        <w:t xml:space="preserve">Paraqitje Grafike 5.3: </w:t>
      </w:r>
      <w:r w:rsidRPr="00082B20">
        <w:rPr>
          <w:rFonts w:ascii="Cambria" w:hAnsi="Cambria"/>
          <w:i/>
          <w:sz w:val="20"/>
          <w:szCs w:val="20"/>
        </w:rPr>
        <w:t xml:space="preserve">Stoku i borxhit të jashtëm sipas kreditorëve </w:t>
      </w:r>
      <w:r w:rsidR="001B0EEC" w:rsidRPr="00082B20">
        <w:rPr>
          <w:rFonts w:ascii="Cambria" w:hAnsi="Cambria"/>
          <w:i/>
          <w:sz w:val="20"/>
          <w:szCs w:val="20"/>
        </w:rPr>
        <w:t>(</w:t>
      </w:r>
      <w:r w:rsidR="00E54D32">
        <w:rPr>
          <w:rFonts w:ascii="Cambria" w:hAnsi="Cambria"/>
          <w:i/>
          <w:sz w:val="20"/>
          <w:szCs w:val="20"/>
        </w:rPr>
        <w:t>201</w:t>
      </w:r>
      <w:r w:rsidR="008F791D">
        <w:rPr>
          <w:rFonts w:ascii="Cambria" w:hAnsi="Cambria"/>
          <w:i/>
          <w:sz w:val="20"/>
          <w:szCs w:val="20"/>
        </w:rPr>
        <w:t>7</w:t>
      </w:r>
      <w:r w:rsidR="00143AD5" w:rsidRPr="00082B20">
        <w:rPr>
          <w:rFonts w:ascii="Cambria" w:hAnsi="Cambria"/>
          <w:i/>
          <w:sz w:val="20"/>
          <w:szCs w:val="20"/>
        </w:rPr>
        <w:t>-202</w:t>
      </w:r>
      <w:r w:rsidR="00BC0099" w:rsidRPr="00082B20">
        <w:rPr>
          <w:rFonts w:ascii="Cambria" w:hAnsi="Cambria"/>
          <w:i/>
          <w:sz w:val="20"/>
          <w:szCs w:val="20"/>
        </w:rPr>
        <w:t>1</w:t>
      </w:r>
      <w:r w:rsidR="001B0EEC" w:rsidRPr="00082B20">
        <w:rPr>
          <w:rFonts w:ascii="Cambria" w:hAnsi="Cambria"/>
          <w:i/>
          <w:sz w:val="20"/>
          <w:szCs w:val="20"/>
        </w:rPr>
        <w:t>)</w:t>
      </w:r>
    </w:p>
    <w:p w:rsidR="008F2FB1" w:rsidRPr="00EE7E9F" w:rsidRDefault="005E1612" w:rsidP="00143AD5">
      <w:pPr>
        <w:spacing w:after="0" w:line="240" w:lineRule="auto"/>
        <w:contextualSpacing/>
        <w:jc w:val="both"/>
        <w:rPr>
          <w:rFonts w:ascii="Cambria" w:hAnsi="Cambria"/>
          <w:i/>
          <w:sz w:val="20"/>
          <w:szCs w:val="20"/>
          <w:highlight w:val="yellow"/>
        </w:rPr>
      </w:pPr>
      <w:r>
        <w:rPr>
          <w:noProof/>
          <w:lang w:val="en-US"/>
        </w:rPr>
        <w:drawing>
          <wp:inline distT="0" distB="0" distL="0" distR="0" wp14:anchorId="3BF5E6FC" wp14:editId="63AB3161">
            <wp:extent cx="5683910" cy="2202180"/>
            <wp:effectExtent l="0" t="0" r="12065" b="7620"/>
            <wp:docPr id="8" name="Chart 8">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823E9A" w:rsidRPr="00082B20" w:rsidRDefault="00823E9A" w:rsidP="00823E9A">
      <w:pPr>
        <w:spacing w:after="0" w:line="240" w:lineRule="auto"/>
        <w:ind w:right="-46"/>
        <w:rPr>
          <w:rFonts w:ascii="Cambria" w:hAnsi="Cambria"/>
          <w:i/>
          <w:sz w:val="20"/>
          <w:szCs w:val="20"/>
        </w:rPr>
      </w:pPr>
      <w:r w:rsidRPr="00082B20">
        <w:rPr>
          <w:rFonts w:ascii="Cambria" w:hAnsi="Cambria"/>
          <w:i/>
          <w:sz w:val="20"/>
          <w:szCs w:val="20"/>
        </w:rPr>
        <w:t>*Përfshihet borxhi shtetëror dhe borxhi shtetëror i garantuar</w:t>
      </w:r>
    </w:p>
    <w:p w:rsidR="006109EB" w:rsidRPr="00EE7E9F" w:rsidRDefault="006109EB" w:rsidP="00DD7874">
      <w:pPr>
        <w:spacing w:after="0" w:line="240" w:lineRule="auto"/>
        <w:ind w:right="-46"/>
        <w:rPr>
          <w:rFonts w:ascii="Cambria" w:eastAsia="Times New Roman" w:hAnsi="Cambria"/>
          <w:b/>
          <w:noProof/>
          <w:sz w:val="20"/>
          <w:szCs w:val="20"/>
          <w:highlight w:val="yellow"/>
        </w:rPr>
      </w:pPr>
    </w:p>
    <w:p w:rsidR="00AF7DA5" w:rsidRPr="00082B20" w:rsidRDefault="00AF7DA5" w:rsidP="00DD7874">
      <w:pPr>
        <w:spacing w:after="0" w:line="240" w:lineRule="auto"/>
        <w:ind w:right="-46"/>
        <w:rPr>
          <w:rFonts w:ascii="Cambria" w:eastAsia="Times New Roman" w:hAnsi="Cambria"/>
          <w:b/>
          <w:noProof/>
          <w:sz w:val="20"/>
          <w:szCs w:val="20"/>
        </w:rPr>
      </w:pPr>
    </w:p>
    <w:p w:rsidR="00046697" w:rsidRPr="00082B20" w:rsidRDefault="00046697" w:rsidP="00046697">
      <w:pPr>
        <w:pStyle w:val="ListParagraph"/>
        <w:numPr>
          <w:ilvl w:val="0"/>
          <w:numId w:val="6"/>
        </w:numPr>
        <w:spacing w:after="0" w:line="240" w:lineRule="auto"/>
        <w:ind w:left="567" w:right="-46" w:hanging="567"/>
        <w:rPr>
          <w:rFonts w:ascii="Cambria" w:eastAsia="Times New Roman" w:hAnsi="Cambria"/>
          <w:b/>
          <w:noProof/>
        </w:rPr>
      </w:pPr>
      <w:r w:rsidRPr="00082B20">
        <w:rPr>
          <w:rFonts w:ascii="Cambria" w:eastAsia="Times New Roman" w:hAnsi="Cambria"/>
          <w:b/>
          <w:noProof/>
        </w:rPr>
        <w:t>DISBURSIMET E BORXHIT TË JASHTËM</w:t>
      </w:r>
    </w:p>
    <w:p w:rsidR="00046697" w:rsidRPr="00EE7E9F" w:rsidRDefault="00046697" w:rsidP="00046697">
      <w:pPr>
        <w:spacing w:after="0" w:line="240" w:lineRule="auto"/>
        <w:ind w:right="-46"/>
        <w:rPr>
          <w:rFonts w:ascii="Cambria" w:hAnsi="Cambria"/>
          <w:b/>
          <w:sz w:val="20"/>
          <w:szCs w:val="20"/>
          <w:highlight w:val="yellow"/>
        </w:rPr>
      </w:pPr>
    </w:p>
    <w:p w:rsidR="00046697" w:rsidRPr="00082B20" w:rsidRDefault="00046697" w:rsidP="00046697">
      <w:pPr>
        <w:spacing w:after="0" w:line="240" w:lineRule="auto"/>
        <w:ind w:right="-46"/>
        <w:rPr>
          <w:rFonts w:ascii="Cambria" w:hAnsi="Cambria"/>
          <w:i/>
          <w:sz w:val="20"/>
          <w:szCs w:val="20"/>
        </w:rPr>
      </w:pPr>
      <w:r w:rsidRPr="00082B20">
        <w:rPr>
          <w:rFonts w:ascii="Cambria" w:hAnsi="Cambria"/>
          <w:b/>
          <w:sz w:val="20"/>
          <w:szCs w:val="20"/>
        </w:rPr>
        <w:t xml:space="preserve">Tabela 6.0: </w:t>
      </w:r>
      <w:r w:rsidRPr="00082B20">
        <w:rPr>
          <w:rFonts w:ascii="Cambria" w:hAnsi="Cambria"/>
          <w:i/>
          <w:sz w:val="20"/>
          <w:szCs w:val="20"/>
        </w:rPr>
        <w:t>Dis</w:t>
      </w:r>
      <w:r w:rsidR="00B633CB" w:rsidRPr="00082B20">
        <w:rPr>
          <w:rFonts w:ascii="Cambria" w:hAnsi="Cambria"/>
          <w:i/>
          <w:sz w:val="20"/>
          <w:szCs w:val="20"/>
        </w:rPr>
        <w:t>bursimet sipas kreditorëve</w:t>
      </w:r>
      <w:r w:rsidR="00823E9A" w:rsidRPr="00082B20">
        <w:rPr>
          <w:rFonts w:ascii="Cambria" w:hAnsi="Cambria"/>
          <w:i/>
          <w:sz w:val="20"/>
          <w:szCs w:val="20"/>
        </w:rPr>
        <w:t xml:space="preserve"> </w:t>
      </w:r>
      <w:r w:rsidR="001B0EEC" w:rsidRPr="00082B20">
        <w:rPr>
          <w:rFonts w:ascii="Cambria" w:hAnsi="Cambria"/>
          <w:i/>
          <w:sz w:val="20"/>
          <w:szCs w:val="20"/>
        </w:rPr>
        <w:t>(</w:t>
      </w:r>
      <w:r w:rsidR="00E54D32">
        <w:rPr>
          <w:rFonts w:ascii="Cambria" w:hAnsi="Cambria"/>
          <w:i/>
          <w:sz w:val="20"/>
          <w:szCs w:val="20"/>
        </w:rPr>
        <w:t>201</w:t>
      </w:r>
      <w:r w:rsidR="00572741">
        <w:rPr>
          <w:rFonts w:ascii="Cambria" w:hAnsi="Cambria"/>
          <w:i/>
          <w:sz w:val="20"/>
          <w:szCs w:val="20"/>
        </w:rPr>
        <w:t>6</w:t>
      </w:r>
      <w:r w:rsidR="00750CC0" w:rsidRPr="00082B20">
        <w:rPr>
          <w:rFonts w:ascii="Cambria" w:hAnsi="Cambria"/>
          <w:i/>
          <w:sz w:val="20"/>
          <w:szCs w:val="20"/>
        </w:rPr>
        <w:t>- 202</w:t>
      </w:r>
      <w:r w:rsidR="00CB6C62" w:rsidRPr="00082B20">
        <w:rPr>
          <w:rFonts w:ascii="Cambria" w:hAnsi="Cambria"/>
          <w:i/>
          <w:sz w:val="20"/>
          <w:szCs w:val="20"/>
        </w:rPr>
        <w:t>1</w:t>
      </w:r>
      <w:r w:rsidR="001B0EEC" w:rsidRPr="00082B20">
        <w:rPr>
          <w:rFonts w:ascii="Cambria" w:hAnsi="Cambria"/>
          <w:i/>
          <w:sz w:val="20"/>
          <w:szCs w:val="20"/>
        </w:rPr>
        <w:t>)</w:t>
      </w:r>
      <w:r w:rsidR="006109EB" w:rsidRPr="00082B20">
        <w:rPr>
          <w:rFonts w:ascii="Cambria" w:hAnsi="Cambria"/>
          <w:i/>
          <w:sz w:val="20"/>
          <w:szCs w:val="20"/>
        </w:rPr>
        <w:t xml:space="preserve">                                                    </w:t>
      </w:r>
      <w:r w:rsidR="00750CC0" w:rsidRPr="00082B20">
        <w:rPr>
          <w:rFonts w:ascii="Cambria" w:hAnsi="Cambria"/>
          <w:i/>
          <w:sz w:val="20"/>
          <w:szCs w:val="20"/>
        </w:rPr>
        <w:t xml:space="preserve">      </w:t>
      </w:r>
      <w:r w:rsidR="008F791D">
        <w:rPr>
          <w:rFonts w:ascii="Cambria" w:hAnsi="Cambria"/>
          <w:i/>
          <w:sz w:val="20"/>
          <w:szCs w:val="20"/>
        </w:rPr>
        <w:t xml:space="preserve">       </w:t>
      </w:r>
      <w:r w:rsidRPr="00082B20">
        <w:rPr>
          <w:rFonts w:ascii="Cambria" w:hAnsi="Cambria"/>
          <w:i/>
          <w:sz w:val="20"/>
          <w:szCs w:val="20"/>
        </w:rPr>
        <w:t>(në milion Euro)</w:t>
      </w:r>
    </w:p>
    <w:p w:rsidR="008F2FB1" w:rsidRPr="00082B20" w:rsidRDefault="008F791D" w:rsidP="00046697">
      <w:pPr>
        <w:spacing w:after="0" w:line="240" w:lineRule="auto"/>
        <w:ind w:right="-46"/>
        <w:rPr>
          <w:rFonts w:ascii="Cambria" w:hAnsi="Cambria"/>
          <w:i/>
          <w:sz w:val="20"/>
          <w:szCs w:val="20"/>
        </w:rPr>
      </w:pPr>
      <w:r w:rsidRPr="008F791D">
        <w:rPr>
          <w:noProof/>
          <w:lang w:val="en-US"/>
        </w:rPr>
        <w:drawing>
          <wp:inline distT="0" distB="0" distL="0" distR="0" wp14:anchorId="39923C4B" wp14:editId="3A1FCBDC">
            <wp:extent cx="5731510" cy="730425"/>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730425"/>
                    </a:xfrm>
                    <a:prstGeom prst="rect">
                      <a:avLst/>
                    </a:prstGeom>
                    <a:noFill/>
                    <a:ln>
                      <a:noFill/>
                    </a:ln>
                  </pic:spPr>
                </pic:pic>
              </a:graphicData>
            </a:graphic>
          </wp:inline>
        </w:drawing>
      </w:r>
    </w:p>
    <w:p w:rsidR="00823E9A" w:rsidRPr="00082B20" w:rsidRDefault="00823E9A" w:rsidP="00823E9A">
      <w:pPr>
        <w:spacing w:after="0" w:line="240" w:lineRule="auto"/>
        <w:ind w:right="-46"/>
        <w:rPr>
          <w:rFonts w:ascii="Cambria" w:hAnsi="Cambria"/>
          <w:i/>
          <w:sz w:val="20"/>
          <w:szCs w:val="20"/>
        </w:rPr>
      </w:pPr>
      <w:r w:rsidRPr="00082B20">
        <w:rPr>
          <w:rFonts w:ascii="Cambria" w:hAnsi="Cambria"/>
          <w:i/>
          <w:sz w:val="20"/>
          <w:szCs w:val="20"/>
        </w:rPr>
        <w:t>*Përfshihet borxhi shtetëror dhe borxhi shtetëror i garantuar</w:t>
      </w:r>
    </w:p>
    <w:p w:rsidR="00823E9A" w:rsidRPr="00EE7E9F" w:rsidRDefault="00823E9A" w:rsidP="00046697">
      <w:pPr>
        <w:spacing w:after="0" w:line="240" w:lineRule="auto"/>
        <w:ind w:right="-46"/>
        <w:rPr>
          <w:rFonts w:ascii="Cambria" w:hAnsi="Cambria"/>
          <w:b/>
          <w:sz w:val="20"/>
          <w:szCs w:val="20"/>
          <w:highlight w:val="yellow"/>
        </w:rPr>
      </w:pPr>
    </w:p>
    <w:p w:rsidR="00046697" w:rsidRPr="00082B20" w:rsidRDefault="00046697" w:rsidP="00046697">
      <w:pPr>
        <w:spacing w:after="0" w:line="240" w:lineRule="auto"/>
        <w:ind w:right="-46"/>
        <w:rPr>
          <w:rFonts w:ascii="Cambria" w:hAnsi="Cambria"/>
          <w:i/>
          <w:sz w:val="20"/>
          <w:szCs w:val="20"/>
        </w:rPr>
      </w:pPr>
      <w:r w:rsidRPr="00082B20">
        <w:rPr>
          <w:rFonts w:ascii="Cambria" w:hAnsi="Cambria"/>
          <w:b/>
          <w:sz w:val="20"/>
          <w:szCs w:val="20"/>
        </w:rPr>
        <w:t xml:space="preserve">Tabela 6.1: </w:t>
      </w:r>
      <w:r w:rsidRPr="00082B20">
        <w:rPr>
          <w:rFonts w:ascii="Cambria" w:hAnsi="Cambria"/>
          <w:i/>
          <w:sz w:val="20"/>
          <w:szCs w:val="20"/>
        </w:rPr>
        <w:t>Disbursimet si</w:t>
      </w:r>
      <w:r w:rsidR="00E232CB" w:rsidRPr="00082B20">
        <w:rPr>
          <w:rFonts w:ascii="Cambria" w:hAnsi="Cambria"/>
          <w:i/>
          <w:sz w:val="20"/>
          <w:szCs w:val="20"/>
        </w:rPr>
        <w:t xml:space="preserve">pas sektorëve ekonomik </w:t>
      </w:r>
      <w:r w:rsidR="001B0EEC" w:rsidRPr="00082B20">
        <w:rPr>
          <w:rFonts w:ascii="Cambria" w:hAnsi="Cambria"/>
          <w:i/>
          <w:sz w:val="20"/>
          <w:szCs w:val="20"/>
        </w:rPr>
        <w:t>(</w:t>
      </w:r>
      <w:r w:rsidR="00750CC0" w:rsidRPr="00082B20">
        <w:rPr>
          <w:rFonts w:ascii="Cambria" w:hAnsi="Cambria"/>
          <w:i/>
          <w:sz w:val="20"/>
          <w:szCs w:val="20"/>
        </w:rPr>
        <w:t>2016-202</w:t>
      </w:r>
      <w:r w:rsidR="00CB6C62" w:rsidRPr="00082B20">
        <w:rPr>
          <w:rFonts w:ascii="Cambria" w:hAnsi="Cambria"/>
          <w:i/>
          <w:sz w:val="20"/>
          <w:szCs w:val="20"/>
        </w:rPr>
        <w:t>1</w:t>
      </w:r>
      <w:r w:rsidR="001B0EEC" w:rsidRPr="00082B20">
        <w:rPr>
          <w:rFonts w:ascii="Cambria" w:hAnsi="Cambria"/>
          <w:i/>
          <w:sz w:val="20"/>
          <w:szCs w:val="20"/>
        </w:rPr>
        <w:t>)</w:t>
      </w:r>
      <w:r w:rsidR="006109EB" w:rsidRPr="00082B20">
        <w:rPr>
          <w:rFonts w:ascii="Cambria" w:hAnsi="Cambria"/>
          <w:i/>
          <w:sz w:val="20"/>
          <w:szCs w:val="20"/>
        </w:rPr>
        <w:t xml:space="preserve">                                      </w:t>
      </w:r>
      <w:r w:rsidR="00750CC0" w:rsidRPr="00082B20">
        <w:rPr>
          <w:rFonts w:ascii="Cambria" w:hAnsi="Cambria"/>
          <w:i/>
          <w:sz w:val="20"/>
          <w:szCs w:val="20"/>
        </w:rPr>
        <w:t xml:space="preserve">   </w:t>
      </w:r>
      <w:r w:rsidR="006109EB" w:rsidRPr="00082B20">
        <w:rPr>
          <w:rFonts w:ascii="Cambria" w:hAnsi="Cambria"/>
          <w:i/>
          <w:sz w:val="20"/>
          <w:szCs w:val="20"/>
        </w:rPr>
        <w:t xml:space="preserve">  </w:t>
      </w:r>
      <w:r w:rsidR="008F791D">
        <w:rPr>
          <w:rFonts w:ascii="Cambria" w:hAnsi="Cambria"/>
          <w:i/>
          <w:sz w:val="20"/>
          <w:szCs w:val="20"/>
        </w:rPr>
        <w:t xml:space="preserve">         </w:t>
      </w:r>
      <w:r w:rsidRPr="00082B20">
        <w:rPr>
          <w:rFonts w:ascii="Cambria" w:hAnsi="Cambria"/>
          <w:i/>
          <w:sz w:val="20"/>
          <w:szCs w:val="20"/>
        </w:rPr>
        <w:t>(në milion Euro)</w:t>
      </w:r>
    </w:p>
    <w:p w:rsidR="008F2FB1" w:rsidRPr="00082B20" w:rsidRDefault="008F791D" w:rsidP="00046697">
      <w:pPr>
        <w:spacing w:after="0" w:line="240" w:lineRule="auto"/>
        <w:ind w:right="-46"/>
        <w:rPr>
          <w:rFonts w:ascii="Cambria" w:hAnsi="Cambria"/>
          <w:i/>
          <w:sz w:val="20"/>
          <w:szCs w:val="20"/>
        </w:rPr>
      </w:pPr>
      <w:r w:rsidRPr="008F791D">
        <w:rPr>
          <w:noProof/>
          <w:lang w:val="en-US"/>
        </w:rPr>
        <w:drawing>
          <wp:inline distT="0" distB="0" distL="0" distR="0" wp14:anchorId="70DC7CC1" wp14:editId="55AADD0A">
            <wp:extent cx="5731510" cy="2583622"/>
            <wp:effectExtent l="0" t="0" r="254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2583622"/>
                    </a:xfrm>
                    <a:prstGeom prst="rect">
                      <a:avLst/>
                    </a:prstGeom>
                    <a:noFill/>
                    <a:ln>
                      <a:noFill/>
                    </a:ln>
                  </pic:spPr>
                </pic:pic>
              </a:graphicData>
            </a:graphic>
          </wp:inline>
        </w:drawing>
      </w:r>
    </w:p>
    <w:p w:rsidR="00823E9A" w:rsidRPr="00B922A8" w:rsidRDefault="00823E9A" w:rsidP="00823E9A">
      <w:pPr>
        <w:spacing w:after="0" w:line="240" w:lineRule="auto"/>
        <w:ind w:right="-46"/>
        <w:rPr>
          <w:rFonts w:ascii="Cambria" w:hAnsi="Cambria"/>
          <w:i/>
          <w:sz w:val="20"/>
          <w:szCs w:val="20"/>
        </w:rPr>
      </w:pPr>
      <w:r w:rsidRPr="00082B20">
        <w:rPr>
          <w:rFonts w:ascii="Cambria" w:hAnsi="Cambria"/>
          <w:i/>
          <w:sz w:val="20"/>
          <w:szCs w:val="20"/>
        </w:rPr>
        <w:t>*Përfshihet borxhi shtetëror dhe borxhi shtetëror i garantuar</w:t>
      </w:r>
    </w:p>
    <w:sectPr w:rsidR="00823E9A" w:rsidRPr="00B922A8" w:rsidSect="00016001">
      <w:headerReference w:type="default" r:id="rId49"/>
      <w:footerReference w:type="default" r:id="rId50"/>
      <w:pgSz w:w="11906" w:h="16838"/>
      <w:pgMar w:top="851" w:right="1440" w:bottom="568" w:left="1440" w:header="708" w:footer="283" w:gutter="0"/>
      <w:pgNumType w:start="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927040" w16cex:dateUtc="2022-01-19T10: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8677878" w16cid:durableId="2592704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12F9" w:rsidRDefault="000512F9" w:rsidP="00F6252F">
      <w:pPr>
        <w:spacing w:after="0" w:line="240" w:lineRule="auto"/>
      </w:pPr>
      <w:r>
        <w:separator/>
      </w:r>
    </w:p>
  </w:endnote>
  <w:endnote w:type="continuationSeparator" w:id="0">
    <w:p w:rsidR="000512F9" w:rsidRDefault="000512F9" w:rsidP="00F625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FuturaStd-Light">
    <w:altName w:val="Times New Roman"/>
    <w:panose1 w:val="00000000000000000000"/>
    <w:charset w:val="00"/>
    <w:family w:val="roman"/>
    <w:notTrueType/>
    <w:pitch w:val="default"/>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8329395"/>
      <w:docPartObj>
        <w:docPartGallery w:val="Page Numbers (Bottom of Page)"/>
        <w:docPartUnique/>
      </w:docPartObj>
    </w:sdtPr>
    <w:sdtEndPr>
      <w:rPr>
        <w:noProof/>
      </w:rPr>
    </w:sdtEndPr>
    <w:sdtContent>
      <w:p w:rsidR="00B32DB0" w:rsidRDefault="00B32DB0" w:rsidP="00AD17D0">
        <w:pPr>
          <w:pStyle w:val="Footer"/>
          <w:tabs>
            <w:tab w:val="left" w:pos="1000"/>
            <w:tab w:val="right" w:pos="9192"/>
          </w:tabs>
        </w:pPr>
        <w:r>
          <w:tab/>
        </w:r>
        <w:r>
          <w:tab/>
        </w:r>
        <w:r>
          <w:tab/>
        </w:r>
        <w:r>
          <w:fldChar w:fldCharType="begin"/>
        </w:r>
        <w:r>
          <w:instrText xml:space="preserve"> PAGE   \* MERGEFORMAT </w:instrText>
        </w:r>
        <w:r>
          <w:fldChar w:fldCharType="separate"/>
        </w:r>
        <w:r w:rsidR="001F3FE5">
          <w:rPr>
            <w:noProof/>
          </w:rPr>
          <w:t>1</w:t>
        </w:r>
        <w:r>
          <w:rPr>
            <w:noProof/>
          </w:rPr>
          <w:fldChar w:fldCharType="end"/>
        </w:r>
      </w:p>
    </w:sdtContent>
  </w:sdt>
  <w:p w:rsidR="00B32DB0" w:rsidRDefault="00B32DB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12F9" w:rsidRDefault="000512F9" w:rsidP="00F6252F">
      <w:pPr>
        <w:spacing w:after="0" w:line="240" w:lineRule="auto"/>
      </w:pPr>
      <w:r>
        <w:separator/>
      </w:r>
    </w:p>
  </w:footnote>
  <w:footnote w:type="continuationSeparator" w:id="0">
    <w:p w:rsidR="000512F9" w:rsidRDefault="000512F9" w:rsidP="00F6252F">
      <w:pPr>
        <w:spacing w:after="0" w:line="240" w:lineRule="auto"/>
      </w:pPr>
      <w:r>
        <w:continuationSeparator/>
      </w:r>
    </w:p>
  </w:footnote>
  <w:footnote w:id="1">
    <w:p w:rsidR="00B32DB0" w:rsidRPr="00FB2E3B" w:rsidRDefault="00B32DB0" w:rsidP="00A7181D">
      <w:pPr>
        <w:pStyle w:val="FootnoteText"/>
        <w:rPr>
          <w:lang w:val="en-US"/>
        </w:rPr>
      </w:pPr>
      <w:r>
        <w:rPr>
          <w:rStyle w:val="FootnoteReference"/>
        </w:rPr>
        <w:footnoteRef/>
      </w:r>
      <w:r>
        <w:t xml:space="preserve"> </w:t>
      </w:r>
      <w:r>
        <w:rPr>
          <w:lang w:val="en-US"/>
        </w:rPr>
        <w:t>PBB sipas: Instat (http://databaza.instat.gov.al).</w:t>
      </w:r>
    </w:p>
  </w:footnote>
  <w:footnote w:id="2">
    <w:p w:rsidR="00B32DB0" w:rsidRPr="00057778" w:rsidRDefault="00B32DB0" w:rsidP="00B236A6">
      <w:pPr>
        <w:pStyle w:val="FootnoteText"/>
        <w:ind w:left="720" w:hanging="720"/>
        <w:jc w:val="both"/>
        <w:rPr>
          <w:rFonts w:ascii="Times New Roman" w:hAnsi="Times New Roman"/>
          <w:lang w:val="en-US"/>
        </w:rPr>
      </w:pPr>
      <w:r w:rsidRPr="00057778">
        <w:rPr>
          <w:rStyle w:val="FootnoteReference"/>
          <w:rFonts w:ascii="Times New Roman" w:hAnsi="Times New Roman"/>
        </w:rPr>
        <w:footnoteRef/>
      </w:r>
      <w:r w:rsidRPr="00057778">
        <w:rPr>
          <w:rFonts w:ascii="Times New Roman" w:hAnsi="Times New Roman"/>
        </w:rPr>
        <w:t xml:space="preserve"> </w:t>
      </w:r>
      <w:r w:rsidRPr="00057778">
        <w:rPr>
          <w:rFonts w:ascii="Times New Roman" w:hAnsi="Times New Roman"/>
          <w:lang w:val="en-US"/>
        </w:rPr>
        <w:t xml:space="preserve">I referohet normës mesatare të ponderuar të titujve shtetërorë të emetuar </w:t>
      </w:r>
      <w:r>
        <w:rPr>
          <w:rFonts w:ascii="Times New Roman" w:hAnsi="Times New Roman"/>
          <w:lang w:val="en-US"/>
        </w:rPr>
        <w:t xml:space="preserve">vetëm </w:t>
      </w:r>
      <w:r w:rsidRPr="00057778">
        <w:rPr>
          <w:rFonts w:ascii="Times New Roman" w:hAnsi="Times New Roman"/>
          <w:lang w:val="en-US"/>
        </w:rPr>
        <w:t>në tregun primar.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32DB0" w:rsidRDefault="00B32DB0">
    <w:pPr>
      <w:pStyle w:val="Header"/>
    </w:pPr>
  </w:p>
  <w:tbl>
    <w:tblPr>
      <w:tblW w:w="5022" w:type="pct"/>
      <w:jc w:val="center"/>
      <w:tblBorders>
        <w:bottom w:val="single" w:sz="12" w:space="0" w:color="A6A6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6840"/>
      <w:gridCol w:w="2226"/>
    </w:tblGrid>
    <w:tr w:rsidR="00B32DB0" w:rsidRPr="005B570E" w:rsidTr="008F2F19">
      <w:trPr>
        <w:trHeight w:val="355"/>
        <w:jc w:val="center"/>
      </w:trPr>
      <w:tc>
        <w:tcPr>
          <w:tcW w:w="6839" w:type="dxa"/>
          <w:tcBorders>
            <w:right w:val="single" w:sz="12" w:space="0" w:color="A6A6A6"/>
          </w:tcBorders>
        </w:tcPr>
        <w:p w:rsidR="00B32DB0" w:rsidRPr="003C58AE" w:rsidRDefault="00B32DB0" w:rsidP="00A345B1">
          <w:pPr>
            <w:pStyle w:val="Header"/>
            <w:jc w:val="right"/>
            <w:rPr>
              <w:rFonts w:ascii="Cambria" w:eastAsia="Times New Roman" w:hAnsi="Cambria"/>
              <w:color w:val="A6A6A6" w:themeColor="background1" w:themeShade="A6"/>
              <w:sz w:val="20"/>
              <w:szCs w:val="20"/>
            </w:rPr>
          </w:pPr>
          <w:r>
            <w:rPr>
              <w:rFonts w:ascii="Cambria" w:eastAsia="Times New Roman" w:hAnsi="Cambria"/>
              <w:color w:val="A6A6A6" w:themeColor="background1" w:themeShade="A6"/>
              <w:sz w:val="20"/>
              <w:szCs w:val="20"/>
            </w:rPr>
            <w:t>ANALIZA E BORXHIT PUBLIK</w:t>
          </w:r>
        </w:p>
      </w:tc>
      <w:tc>
        <w:tcPr>
          <w:tcW w:w="2226" w:type="dxa"/>
          <w:tcBorders>
            <w:left w:val="single" w:sz="12" w:space="0" w:color="A6A6A6"/>
          </w:tcBorders>
        </w:tcPr>
        <w:p w:rsidR="00B32DB0" w:rsidRPr="003C58AE" w:rsidRDefault="00B32DB0" w:rsidP="00CD35FA">
          <w:pPr>
            <w:pStyle w:val="Header"/>
            <w:rPr>
              <w:rFonts w:ascii="Cambria" w:eastAsia="Times New Roman" w:hAnsi="Cambria"/>
              <w:bCs/>
              <w:color w:val="A6A6A6" w:themeColor="background1" w:themeShade="A6"/>
              <w:sz w:val="20"/>
              <w:szCs w:val="20"/>
            </w:rPr>
          </w:pPr>
          <w:r>
            <w:rPr>
              <w:rFonts w:ascii="Cambria" w:eastAsia="Times New Roman" w:hAnsi="Cambria"/>
              <w:bCs/>
              <w:color w:val="A6A6A6" w:themeColor="background1" w:themeShade="A6"/>
              <w:sz w:val="20"/>
              <w:szCs w:val="20"/>
            </w:rPr>
            <w:t>Janar-Dhjetor 2021</w:t>
          </w:r>
        </w:p>
      </w:tc>
    </w:tr>
  </w:tbl>
  <w:p w:rsidR="00B32DB0" w:rsidRDefault="00B32DB0" w:rsidP="008F2F19">
    <w:pPr>
      <w:pStyle w:val="Header"/>
      <w:tabs>
        <w:tab w:val="clear" w:pos="4513"/>
        <w:tab w:val="clear" w:pos="9026"/>
        <w:tab w:val="left" w:pos="6263"/>
      </w:tabs>
    </w:pPr>
    <w:r>
      <w:tab/>
    </w:r>
  </w:p>
  <w:p w:rsidR="00B32DB0" w:rsidRDefault="00B32DB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D1256F"/>
    <w:multiLevelType w:val="hybridMultilevel"/>
    <w:tmpl w:val="9C944E32"/>
    <w:lvl w:ilvl="0" w:tplc="FBA45AB6">
      <w:start w:val="1"/>
      <w:numFmt w:val="bullet"/>
      <w:lvlText w:val=""/>
      <w:lvlJc w:val="left"/>
      <w:pPr>
        <w:ind w:left="1080" w:hanging="360"/>
      </w:pPr>
      <w:rPr>
        <w:rFonts w:ascii="Symbol" w:hAnsi="Symbol" w:hint="default"/>
      </w:rPr>
    </w:lvl>
    <w:lvl w:ilvl="1" w:tplc="041C0003" w:tentative="1">
      <w:start w:val="1"/>
      <w:numFmt w:val="bullet"/>
      <w:lvlText w:val="o"/>
      <w:lvlJc w:val="left"/>
      <w:pPr>
        <w:ind w:left="1800" w:hanging="360"/>
      </w:pPr>
      <w:rPr>
        <w:rFonts w:ascii="Courier New" w:hAnsi="Courier New" w:cs="Courier New" w:hint="default"/>
      </w:rPr>
    </w:lvl>
    <w:lvl w:ilvl="2" w:tplc="041C0005" w:tentative="1">
      <w:start w:val="1"/>
      <w:numFmt w:val="bullet"/>
      <w:lvlText w:val=""/>
      <w:lvlJc w:val="left"/>
      <w:pPr>
        <w:ind w:left="2520" w:hanging="360"/>
      </w:pPr>
      <w:rPr>
        <w:rFonts w:ascii="Wingdings" w:hAnsi="Wingdings" w:hint="default"/>
      </w:rPr>
    </w:lvl>
    <w:lvl w:ilvl="3" w:tplc="041C0001" w:tentative="1">
      <w:start w:val="1"/>
      <w:numFmt w:val="bullet"/>
      <w:lvlText w:val=""/>
      <w:lvlJc w:val="left"/>
      <w:pPr>
        <w:ind w:left="3240" w:hanging="360"/>
      </w:pPr>
      <w:rPr>
        <w:rFonts w:ascii="Symbol" w:hAnsi="Symbol" w:hint="default"/>
      </w:rPr>
    </w:lvl>
    <w:lvl w:ilvl="4" w:tplc="041C0003" w:tentative="1">
      <w:start w:val="1"/>
      <w:numFmt w:val="bullet"/>
      <w:lvlText w:val="o"/>
      <w:lvlJc w:val="left"/>
      <w:pPr>
        <w:ind w:left="3960" w:hanging="360"/>
      </w:pPr>
      <w:rPr>
        <w:rFonts w:ascii="Courier New" w:hAnsi="Courier New" w:cs="Courier New" w:hint="default"/>
      </w:rPr>
    </w:lvl>
    <w:lvl w:ilvl="5" w:tplc="041C0005" w:tentative="1">
      <w:start w:val="1"/>
      <w:numFmt w:val="bullet"/>
      <w:lvlText w:val=""/>
      <w:lvlJc w:val="left"/>
      <w:pPr>
        <w:ind w:left="4680" w:hanging="360"/>
      </w:pPr>
      <w:rPr>
        <w:rFonts w:ascii="Wingdings" w:hAnsi="Wingdings" w:hint="default"/>
      </w:rPr>
    </w:lvl>
    <w:lvl w:ilvl="6" w:tplc="041C0001" w:tentative="1">
      <w:start w:val="1"/>
      <w:numFmt w:val="bullet"/>
      <w:lvlText w:val=""/>
      <w:lvlJc w:val="left"/>
      <w:pPr>
        <w:ind w:left="5400" w:hanging="360"/>
      </w:pPr>
      <w:rPr>
        <w:rFonts w:ascii="Symbol" w:hAnsi="Symbol" w:hint="default"/>
      </w:rPr>
    </w:lvl>
    <w:lvl w:ilvl="7" w:tplc="041C0003" w:tentative="1">
      <w:start w:val="1"/>
      <w:numFmt w:val="bullet"/>
      <w:lvlText w:val="o"/>
      <w:lvlJc w:val="left"/>
      <w:pPr>
        <w:ind w:left="6120" w:hanging="360"/>
      </w:pPr>
      <w:rPr>
        <w:rFonts w:ascii="Courier New" w:hAnsi="Courier New" w:cs="Courier New" w:hint="default"/>
      </w:rPr>
    </w:lvl>
    <w:lvl w:ilvl="8" w:tplc="041C0005" w:tentative="1">
      <w:start w:val="1"/>
      <w:numFmt w:val="bullet"/>
      <w:lvlText w:val=""/>
      <w:lvlJc w:val="left"/>
      <w:pPr>
        <w:ind w:left="6840" w:hanging="360"/>
      </w:pPr>
      <w:rPr>
        <w:rFonts w:ascii="Wingdings" w:hAnsi="Wingdings" w:hint="default"/>
      </w:rPr>
    </w:lvl>
  </w:abstractNum>
  <w:abstractNum w:abstractNumId="1">
    <w:nsid w:val="0F94569F"/>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55E7769"/>
    <w:multiLevelType w:val="hybridMultilevel"/>
    <w:tmpl w:val="4C0AABE2"/>
    <w:lvl w:ilvl="0" w:tplc="041C000F">
      <w:start w:val="1"/>
      <w:numFmt w:val="decimal"/>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
    <w:nsid w:val="252B0FFA"/>
    <w:multiLevelType w:val="multilevel"/>
    <w:tmpl w:val="4E1E573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Cambria" w:hAnsi="Cambria"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2A117745"/>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EB479A8"/>
    <w:multiLevelType w:val="hybridMultilevel"/>
    <w:tmpl w:val="C49A0112"/>
    <w:lvl w:ilvl="0" w:tplc="A33826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E84719"/>
    <w:multiLevelType w:val="multilevel"/>
    <w:tmpl w:val="636C9A0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33E175E1"/>
    <w:multiLevelType w:val="hybridMultilevel"/>
    <w:tmpl w:val="326E2F36"/>
    <w:lvl w:ilvl="0" w:tplc="354AE596">
      <w:start w:val="1"/>
      <w:numFmt w:val="decimal"/>
      <w:lvlText w:val="%1."/>
      <w:lvlJc w:val="left"/>
      <w:pPr>
        <w:ind w:left="786"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344B66CA"/>
    <w:multiLevelType w:val="hybridMultilevel"/>
    <w:tmpl w:val="FBA45A04"/>
    <w:lvl w:ilvl="0" w:tplc="1A300FDE">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F310E25"/>
    <w:multiLevelType w:val="hybridMultilevel"/>
    <w:tmpl w:val="885A67CC"/>
    <w:lvl w:ilvl="0" w:tplc="44CCA092">
      <w:numFmt w:val="bullet"/>
      <w:lvlText w:val=""/>
      <w:lvlJc w:val="left"/>
      <w:pPr>
        <w:ind w:left="720" w:hanging="360"/>
      </w:pPr>
      <w:rPr>
        <w:rFonts w:ascii="Symbol" w:eastAsia="Times New Roman"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57F2563"/>
    <w:multiLevelType w:val="hybridMultilevel"/>
    <w:tmpl w:val="79E85092"/>
    <w:lvl w:ilvl="0" w:tplc="041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8F17119"/>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5EBE7C4D"/>
    <w:multiLevelType w:val="hybridMultilevel"/>
    <w:tmpl w:val="EBE2C232"/>
    <w:lvl w:ilvl="0" w:tplc="71F4379C">
      <w:start w:val="5"/>
      <w:numFmt w:val="bullet"/>
      <w:lvlText w:val="-"/>
      <w:lvlJc w:val="left"/>
      <w:pPr>
        <w:ind w:left="720" w:hanging="360"/>
      </w:pPr>
      <w:rPr>
        <w:rFonts w:ascii="Times New Roman" w:eastAsia="Batang" w:hAnsi="Times New Roman" w:cs="Times New Roman" w:hint="default"/>
        <w:b w:val="0"/>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3">
    <w:nsid w:val="62E66811"/>
    <w:multiLevelType w:val="hybridMultilevel"/>
    <w:tmpl w:val="F87C40E4"/>
    <w:lvl w:ilvl="0" w:tplc="B686DE84">
      <w:start w:val="1"/>
      <w:numFmt w:val="lowerRoman"/>
      <w:lvlText w:val="%1)"/>
      <w:lvlJc w:val="left"/>
      <w:pPr>
        <w:ind w:left="1080" w:hanging="720"/>
      </w:pPr>
      <w:rPr>
        <w:rFonts w:ascii="Times New Roman" w:eastAsia="MS Mincho"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88A0BF9"/>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7BB47273"/>
    <w:multiLevelType w:val="multilevel"/>
    <w:tmpl w:val="90B0425E"/>
    <w:lvl w:ilvl="0">
      <w:start w:val="1"/>
      <w:numFmt w:val="decimal"/>
      <w:lvlText w:val="%1."/>
      <w:lvlJc w:val="left"/>
      <w:pPr>
        <w:ind w:left="72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080" w:hanging="360"/>
      </w:pPr>
      <w:rPr>
        <w:rFonts w:hint="default"/>
      </w:rPr>
    </w:lvl>
    <w:lvl w:ilvl="2">
      <w:start w:val="1"/>
      <w:numFmt w:val="decimal"/>
      <w:isLgl/>
      <w:lvlText w:val="%1.1.%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num w:numId="1">
    <w:abstractNumId w:val="6"/>
  </w:num>
  <w:num w:numId="2">
    <w:abstractNumId w:val="0"/>
  </w:num>
  <w:num w:numId="3">
    <w:abstractNumId w:val="10"/>
  </w:num>
  <w:num w:numId="4">
    <w:abstractNumId w:val="2"/>
  </w:num>
  <w:num w:numId="5">
    <w:abstractNumId w:val="3"/>
  </w:num>
  <w:num w:numId="6">
    <w:abstractNumId w:val="7"/>
  </w:num>
  <w:num w:numId="7">
    <w:abstractNumId w:val="1"/>
  </w:num>
  <w:num w:numId="8">
    <w:abstractNumId w:val="14"/>
  </w:num>
  <w:num w:numId="9">
    <w:abstractNumId w:val="11"/>
  </w:num>
  <w:num w:numId="10">
    <w:abstractNumId w:val="4"/>
  </w:num>
  <w:num w:numId="11">
    <w:abstractNumId w:val="9"/>
  </w:num>
  <w:num w:numId="12">
    <w:abstractNumId w:val="15"/>
  </w:num>
  <w:num w:numId="13">
    <w:abstractNumId w:val="15"/>
    <w:lvlOverride w:ilvl="0">
      <w:startOverride w:val="5"/>
    </w:lvlOverride>
    <w:lvlOverride w:ilvl="1">
      <w:startOverride w:val="2"/>
    </w:lvlOverride>
  </w:num>
  <w:num w:numId="14">
    <w:abstractNumId w:val="12"/>
  </w:num>
  <w:num w:numId="15">
    <w:abstractNumId w:val="13"/>
  </w:num>
  <w:num w:numId="16">
    <w:abstractNumId w:val="5"/>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trackRevisions/>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Q2szCzMDI2NTE0tjBU0lEKTi0uzszPAykwrAUAuWsAxywAAAA="/>
  </w:docVars>
  <w:rsids>
    <w:rsidRoot w:val="00BD4441"/>
    <w:rsid w:val="000012B6"/>
    <w:rsid w:val="000035DC"/>
    <w:rsid w:val="00003C4C"/>
    <w:rsid w:val="00005C16"/>
    <w:rsid w:val="000078A5"/>
    <w:rsid w:val="00007B03"/>
    <w:rsid w:val="000119D5"/>
    <w:rsid w:val="00012AF7"/>
    <w:rsid w:val="0001336A"/>
    <w:rsid w:val="000135D8"/>
    <w:rsid w:val="0001373B"/>
    <w:rsid w:val="00014398"/>
    <w:rsid w:val="00014AC1"/>
    <w:rsid w:val="000158E7"/>
    <w:rsid w:val="00016001"/>
    <w:rsid w:val="00020054"/>
    <w:rsid w:val="00020B98"/>
    <w:rsid w:val="000216E3"/>
    <w:rsid w:val="00021B12"/>
    <w:rsid w:val="00022758"/>
    <w:rsid w:val="00022EE4"/>
    <w:rsid w:val="000235C7"/>
    <w:rsid w:val="00024E11"/>
    <w:rsid w:val="000260A0"/>
    <w:rsid w:val="00026334"/>
    <w:rsid w:val="00026982"/>
    <w:rsid w:val="00027F60"/>
    <w:rsid w:val="000303AF"/>
    <w:rsid w:val="00030A5F"/>
    <w:rsid w:val="0003109A"/>
    <w:rsid w:val="00031A31"/>
    <w:rsid w:val="00031F32"/>
    <w:rsid w:val="0003201C"/>
    <w:rsid w:val="0003348F"/>
    <w:rsid w:val="0003425E"/>
    <w:rsid w:val="00036EE2"/>
    <w:rsid w:val="0004090F"/>
    <w:rsid w:val="00040D9E"/>
    <w:rsid w:val="00041FEC"/>
    <w:rsid w:val="0004201D"/>
    <w:rsid w:val="0004299A"/>
    <w:rsid w:val="00042D05"/>
    <w:rsid w:val="00042F7B"/>
    <w:rsid w:val="0004346D"/>
    <w:rsid w:val="00043484"/>
    <w:rsid w:val="00043775"/>
    <w:rsid w:val="000443B5"/>
    <w:rsid w:val="00044A37"/>
    <w:rsid w:val="000451D7"/>
    <w:rsid w:val="00045AB4"/>
    <w:rsid w:val="00046697"/>
    <w:rsid w:val="000467B8"/>
    <w:rsid w:val="000479CC"/>
    <w:rsid w:val="00047B4C"/>
    <w:rsid w:val="00047D19"/>
    <w:rsid w:val="00050097"/>
    <w:rsid w:val="00050209"/>
    <w:rsid w:val="00050D7D"/>
    <w:rsid w:val="00050E07"/>
    <w:rsid w:val="000512F9"/>
    <w:rsid w:val="00051F6F"/>
    <w:rsid w:val="00052620"/>
    <w:rsid w:val="00053491"/>
    <w:rsid w:val="000535E2"/>
    <w:rsid w:val="0005379B"/>
    <w:rsid w:val="00055B0F"/>
    <w:rsid w:val="00055C97"/>
    <w:rsid w:val="00057033"/>
    <w:rsid w:val="00057778"/>
    <w:rsid w:val="000605C7"/>
    <w:rsid w:val="00061FDC"/>
    <w:rsid w:val="0006390C"/>
    <w:rsid w:val="000643FA"/>
    <w:rsid w:val="00065F44"/>
    <w:rsid w:val="000674A7"/>
    <w:rsid w:val="000678A6"/>
    <w:rsid w:val="00067AD8"/>
    <w:rsid w:val="0007107A"/>
    <w:rsid w:val="0007109A"/>
    <w:rsid w:val="00072177"/>
    <w:rsid w:val="00072314"/>
    <w:rsid w:val="000727E9"/>
    <w:rsid w:val="00073659"/>
    <w:rsid w:val="000746D8"/>
    <w:rsid w:val="00075634"/>
    <w:rsid w:val="00075FBF"/>
    <w:rsid w:val="000802A5"/>
    <w:rsid w:val="000823AF"/>
    <w:rsid w:val="0008273D"/>
    <w:rsid w:val="00082B20"/>
    <w:rsid w:val="00082D2F"/>
    <w:rsid w:val="0008327D"/>
    <w:rsid w:val="00084A95"/>
    <w:rsid w:val="0008639D"/>
    <w:rsid w:val="00086FEE"/>
    <w:rsid w:val="00087610"/>
    <w:rsid w:val="00087899"/>
    <w:rsid w:val="00087DCA"/>
    <w:rsid w:val="000900E7"/>
    <w:rsid w:val="000903DF"/>
    <w:rsid w:val="0009072D"/>
    <w:rsid w:val="000908B1"/>
    <w:rsid w:val="00092AE3"/>
    <w:rsid w:val="00092C6D"/>
    <w:rsid w:val="0009488A"/>
    <w:rsid w:val="00095921"/>
    <w:rsid w:val="0009624A"/>
    <w:rsid w:val="000A0033"/>
    <w:rsid w:val="000A016F"/>
    <w:rsid w:val="000A0B97"/>
    <w:rsid w:val="000A2857"/>
    <w:rsid w:val="000A2AE4"/>
    <w:rsid w:val="000A3A4E"/>
    <w:rsid w:val="000A3FAD"/>
    <w:rsid w:val="000A4305"/>
    <w:rsid w:val="000A45D5"/>
    <w:rsid w:val="000A4CFC"/>
    <w:rsid w:val="000A685E"/>
    <w:rsid w:val="000A6A8C"/>
    <w:rsid w:val="000A7636"/>
    <w:rsid w:val="000A7E21"/>
    <w:rsid w:val="000B0740"/>
    <w:rsid w:val="000B164A"/>
    <w:rsid w:val="000B16C6"/>
    <w:rsid w:val="000B2835"/>
    <w:rsid w:val="000B40FC"/>
    <w:rsid w:val="000B4CF5"/>
    <w:rsid w:val="000B5276"/>
    <w:rsid w:val="000B7F2C"/>
    <w:rsid w:val="000C0DE8"/>
    <w:rsid w:val="000C144E"/>
    <w:rsid w:val="000C1953"/>
    <w:rsid w:val="000C1CDE"/>
    <w:rsid w:val="000C2291"/>
    <w:rsid w:val="000C22A8"/>
    <w:rsid w:val="000C4680"/>
    <w:rsid w:val="000C5549"/>
    <w:rsid w:val="000C5694"/>
    <w:rsid w:val="000C68B8"/>
    <w:rsid w:val="000C779C"/>
    <w:rsid w:val="000D1493"/>
    <w:rsid w:val="000D1771"/>
    <w:rsid w:val="000D28BB"/>
    <w:rsid w:val="000D367F"/>
    <w:rsid w:val="000D43F1"/>
    <w:rsid w:val="000D56DF"/>
    <w:rsid w:val="000D58DD"/>
    <w:rsid w:val="000D657A"/>
    <w:rsid w:val="000D7F11"/>
    <w:rsid w:val="000E3DD0"/>
    <w:rsid w:val="000E451C"/>
    <w:rsid w:val="000E53F2"/>
    <w:rsid w:val="000E5ED4"/>
    <w:rsid w:val="000E632B"/>
    <w:rsid w:val="000E65F6"/>
    <w:rsid w:val="000E7172"/>
    <w:rsid w:val="000E720A"/>
    <w:rsid w:val="000F00C1"/>
    <w:rsid w:val="000F0903"/>
    <w:rsid w:val="000F0AF2"/>
    <w:rsid w:val="000F126F"/>
    <w:rsid w:val="000F1E03"/>
    <w:rsid w:val="000F2998"/>
    <w:rsid w:val="000F3D66"/>
    <w:rsid w:val="000F572D"/>
    <w:rsid w:val="000F5DA0"/>
    <w:rsid w:val="000F63F8"/>
    <w:rsid w:val="000F7370"/>
    <w:rsid w:val="000F7529"/>
    <w:rsid w:val="000F7576"/>
    <w:rsid w:val="000F7F13"/>
    <w:rsid w:val="00100525"/>
    <w:rsid w:val="001018E7"/>
    <w:rsid w:val="00101B44"/>
    <w:rsid w:val="00101CF9"/>
    <w:rsid w:val="001023C0"/>
    <w:rsid w:val="00102DA8"/>
    <w:rsid w:val="001031C1"/>
    <w:rsid w:val="00104A37"/>
    <w:rsid w:val="0010660A"/>
    <w:rsid w:val="00106831"/>
    <w:rsid w:val="001071CE"/>
    <w:rsid w:val="0010736D"/>
    <w:rsid w:val="00110F6E"/>
    <w:rsid w:val="00111296"/>
    <w:rsid w:val="001118C6"/>
    <w:rsid w:val="00111A5D"/>
    <w:rsid w:val="00113008"/>
    <w:rsid w:val="00113426"/>
    <w:rsid w:val="00113757"/>
    <w:rsid w:val="0011384F"/>
    <w:rsid w:val="00113BD9"/>
    <w:rsid w:val="00113EA3"/>
    <w:rsid w:val="0011423E"/>
    <w:rsid w:val="001143E4"/>
    <w:rsid w:val="001146B6"/>
    <w:rsid w:val="00114D25"/>
    <w:rsid w:val="00114E45"/>
    <w:rsid w:val="0011574A"/>
    <w:rsid w:val="0012045F"/>
    <w:rsid w:val="00122850"/>
    <w:rsid w:val="00122A78"/>
    <w:rsid w:val="00122EBF"/>
    <w:rsid w:val="001231C5"/>
    <w:rsid w:val="0012383A"/>
    <w:rsid w:val="001241C2"/>
    <w:rsid w:val="001245C1"/>
    <w:rsid w:val="001259BD"/>
    <w:rsid w:val="00125F9F"/>
    <w:rsid w:val="00126DF8"/>
    <w:rsid w:val="00127E5D"/>
    <w:rsid w:val="00131F79"/>
    <w:rsid w:val="00132058"/>
    <w:rsid w:val="00133159"/>
    <w:rsid w:val="00134D37"/>
    <w:rsid w:val="00136E72"/>
    <w:rsid w:val="00137933"/>
    <w:rsid w:val="00140B37"/>
    <w:rsid w:val="00141F80"/>
    <w:rsid w:val="00142176"/>
    <w:rsid w:val="00142285"/>
    <w:rsid w:val="00143AD5"/>
    <w:rsid w:val="00144195"/>
    <w:rsid w:val="001443A6"/>
    <w:rsid w:val="001443B2"/>
    <w:rsid w:val="00145289"/>
    <w:rsid w:val="00145865"/>
    <w:rsid w:val="00145C09"/>
    <w:rsid w:val="0014708A"/>
    <w:rsid w:val="001478D0"/>
    <w:rsid w:val="00150D13"/>
    <w:rsid w:val="001517D3"/>
    <w:rsid w:val="0015193E"/>
    <w:rsid w:val="00151A21"/>
    <w:rsid w:val="00151F4A"/>
    <w:rsid w:val="0015221B"/>
    <w:rsid w:val="00152BBE"/>
    <w:rsid w:val="0015378C"/>
    <w:rsid w:val="0015490E"/>
    <w:rsid w:val="00154E13"/>
    <w:rsid w:val="00154F62"/>
    <w:rsid w:val="001579F8"/>
    <w:rsid w:val="00160856"/>
    <w:rsid w:val="00163842"/>
    <w:rsid w:val="00163A17"/>
    <w:rsid w:val="00163AD1"/>
    <w:rsid w:val="00163EA8"/>
    <w:rsid w:val="00163F98"/>
    <w:rsid w:val="00164AAA"/>
    <w:rsid w:val="00165416"/>
    <w:rsid w:val="0016587F"/>
    <w:rsid w:val="00165ED2"/>
    <w:rsid w:val="00166B85"/>
    <w:rsid w:val="00167088"/>
    <w:rsid w:val="0017092C"/>
    <w:rsid w:val="001712B2"/>
    <w:rsid w:val="0017159C"/>
    <w:rsid w:val="00171757"/>
    <w:rsid w:val="00171DF3"/>
    <w:rsid w:val="001729BC"/>
    <w:rsid w:val="00172C2C"/>
    <w:rsid w:val="00173283"/>
    <w:rsid w:val="001735F1"/>
    <w:rsid w:val="001744AF"/>
    <w:rsid w:val="001748B8"/>
    <w:rsid w:val="0017548A"/>
    <w:rsid w:val="001756D9"/>
    <w:rsid w:val="00175847"/>
    <w:rsid w:val="001760B9"/>
    <w:rsid w:val="001761BD"/>
    <w:rsid w:val="0017729B"/>
    <w:rsid w:val="00177F5D"/>
    <w:rsid w:val="00180950"/>
    <w:rsid w:val="001813A1"/>
    <w:rsid w:val="001833CC"/>
    <w:rsid w:val="001834E5"/>
    <w:rsid w:val="0018395D"/>
    <w:rsid w:val="00186140"/>
    <w:rsid w:val="00187A17"/>
    <w:rsid w:val="0019083A"/>
    <w:rsid w:val="001916B7"/>
    <w:rsid w:val="00191C67"/>
    <w:rsid w:val="00191EA6"/>
    <w:rsid w:val="00192E23"/>
    <w:rsid w:val="001936AA"/>
    <w:rsid w:val="00193E03"/>
    <w:rsid w:val="00195A23"/>
    <w:rsid w:val="001962D3"/>
    <w:rsid w:val="0019673A"/>
    <w:rsid w:val="001967F2"/>
    <w:rsid w:val="00197C26"/>
    <w:rsid w:val="00197E59"/>
    <w:rsid w:val="001A061C"/>
    <w:rsid w:val="001A078E"/>
    <w:rsid w:val="001A1BA2"/>
    <w:rsid w:val="001A209B"/>
    <w:rsid w:val="001A2746"/>
    <w:rsid w:val="001A276F"/>
    <w:rsid w:val="001A3DD8"/>
    <w:rsid w:val="001A5079"/>
    <w:rsid w:val="001A509C"/>
    <w:rsid w:val="001A58B7"/>
    <w:rsid w:val="001A64DB"/>
    <w:rsid w:val="001A6CC1"/>
    <w:rsid w:val="001A6F39"/>
    <w:rsid w:val="001A71AB"/>
    <w:rsid w:val="001B07AF"/>
    <w:rsid w:val="001B0EEC"/>
    <w:rsid w:val="001B17D9"/>
    <w:rsid w:val="001B18F3"/>
    <w:rsid w:val="001B1BC5"/>
    <w:rsid w:val="001B21F0"/>
    <w:rsid w:val="001B22B9"/>
    <w:rsid w:val="001B2539"/>
    <w:rsid w:val="001B37A5"/>
    <w:rsid w:val="001B382B"/>
    <w:rsid w:val="001B3CF2"/>
    <w:rsid w:val="001B3D8C"/>
    <w:rsid w:val="001B48C0"/>
    <w:rsid w:val="001B4E49"/>
    <w:rsid w:val="001B63D3"/>
    <w:rsid w:val="001B6AA6"/>
    <w:rsid w:val="001B760D"/>
    <w:rsid w:val="001C03D4"/>
    <w:rsid w:val="001C085C"/>
    <w:rsid w:val="001C0CA5"/>
    <w:rsid w:val="001C18C1"/>
    <w:rsid w:val="001C2A48"/>
    <w:rsid w:val="001C2E0F"/>
    <w:rsid w:val="001C3A24"/>
    <w:rsid w:val="001C4917"/>
    <w:rsid w:val="001C5519"/>
    <w:rsid w:val="001C5BC6"/>
    <w:rsid w:val="001C5CB3"/>
    <w:rsid w:val="001C5D27"/>
    <w:rsid w:val="001C7940"/>
    <w:rsid w:val="001D0504"/>
    <w:rsid w:val="001D1A83"/>
    <w:rsid w:val="001D1D00"/>
    <w:rsid w:val="001D25E7"/>
    <w:rsid w:val="001D2DDD"/>
    <w:rsid w:val="001D415C"/>
    <w:rsid w:val="001D41B8"/>
    <w:rsid w:val="001D50FA"/>
    <w:rsid w:val="001D53A9"/>
    <w:rsid w:val="001D5685"/>
    <w:rsid w:val="001D572D"/>
    <w:rsid w:val="001D622A"/>
    <w:rsid w:val="001D74F4"/>
    <w:rsid w:val="001E0E20"/>
    <w:rsid w:val="001E12F5"/>
    <w:rsid w:val="001E1BEC"/>
    <w:rsid w:val="001E3D18"/>
    <w:rsid w:val="001E46A9"/>
    <w:rsid w:val="001E50CB"/>
    <w:rsid w:val="001E54FA"/>
    <w:rsid w:val="001E6140"/>
    <w:rsid w:val="001E6298"/>
    <w:rsid w:val="001E7929"/>
    <w:rsid w:val="001F15D1"/>
    <w:rsid w:val="001F1AFC"/>
    <w:rsid w:val="001F212C"/>
    <w:rsid w:val="001F2C78"/>
    <w:rsid w:val="001F3412"/>
    <w:rsid w:val="001F361F"/>
    <w:rsid w:val="001F3FE5"/>
    <w:rsid w:val="001F4E30"/>
    <w:rsid w:val="001F5665"/>
    <w:rsid w:val="00200637"/>
    <w:rsid w:val="00200D11"/>
    <w:rsid w:val="00201489"/>
    <w:rsid w:val="0020161E"/>
    <w:rsid w:val="00202232"/>
    <w:rsid w:val="00203A87"/>
    <w:rsid w:val="00205F7D"/>
    <w:rsid w:val="00206432"/>
    <w:rsid w:val="00206881"/>
    <w:rsid w:val="00206B62"/>
    <w:rsid w:val="0021160B"/>
    <w:rsid w:val="00211918"/>
    <w:rsid w:val="00211B93"/>
    <w:rsid w:val="00211EA0"/>
    <w:rsid w:val="00212997"/>
    <w:rsid w:val="00212A5C"/>
    <w:rsid w:val="00212B8F"/>
    <w:rsid w:val="00212CF5"/>
    <w:rsid w:val="00213852"/>
    <w:rsid w:val="00214A57"/>
    <w:rsid w:val="00215602"/>
    <w:rsid w:val="002173B7"/>
    <w:rsid w:val="00217506"/>
    <w:rsid w:val="00217D70"/>
    <w:rsid w:val="00220331"/>
    <w:rsid w:val="00220DDA"/>
    <w:rsid w:val="002211C9"/>
    <w:rsid w:val="00222336"/>
    <w:rsid w:val="0022392E"/>
    <w:rsid w:val="00223B39"/>
    <w:rsid w:val="00224715"/>
    <w:rsid w:val="00224878"/>
    <w:rsid w:val="00224CF2"/>
    <w:rsid w:val="002262C5"/>
    <w:rsid w:val="002307A3"/>
    <w:rsid w:val="00230C66"/>
    <w:rsid w:val="0023294D"/>
    <w:rsid w:val="0023391A"/>
    <w:rsid w:val="00233E8E"/>
    <w:rsid w:val="00233EA7"/>
    <w:rsid w:val="00236108"/>
    <w:rsid w:val="00236805"/>
    <w:rsid w:val="00236FFC"/>
    <w:rsid w:val="00237303"/>
    <w:rsid w:val="00237F90"/>
    <w:rsid w:val="002401F3"/>
    <w:rsid w:val="00240FDF"/>
    <w:rsid w:val="00241702"/>
    <w:rsid w:val="00241968"/>
    <w:rsid w:val="00241A28"/>
    <w:rsid w:val="00242066"/>
    <w:rsid w:val="002427D9"/>
    <w:rsid w:val="00242FA7"/>
    <w:rsid w:val="00243837"/>
    <w:rsid w:val="00243B50"/>
    <w:rsid w:val="002448EC"/>
    <w:rsid w:val="00244928"/>
    <w:rsid w:val="00244B84"/>
    <w:rsid w:val="00244D6F"/>
    <w:rsid w:val="00245713"/>
    <w:rsid w:val="00245EE4"/>
    <w:rsid w:val="00250DD4"/>
    <w:rsid w:val="00251715"/>
    <w:rsid w:val="00253184"/>
    <w:rsid w:val="0025375B"/>
    <w:rsid w:val="00253F18"/>
    <w:rsid w:val="00253F5D"/>
    <w:rsid w:val="0025468A"/>
    <w:rsid w:val="0025506B"/>
    <w:rsid w:val="002550C3"/>
    <w:rsid w:val="0025559D"/>
    <w:rsid w:val="002564AB"/>
    <w:rsid w:val="002569C4"/>
    <w:rsid w:val="0025745D"/>
    <w:rsid w:val="002600FE"/>
    <w:rsid w:val="00260B95"/>
    <w:rsid w:val="002619DB"/>
    <w:rsid w:val="00262175"/>
    <w:rsid w:val="002630D0"/>
    <w:rsid w:val="00263448"/>
    <w:rsid w:val="00263BB7"/>
    <w:rsid w:val="00263F17"/>
    <w:rsid w:val="00264316"/>
    <w:rsid w:val="00265124"/>
    <w:rsid w:val="0026542D"/>
    <w:rsid w:val="00265CCD"/>
    <w:rsid w:val="00265DA2"/>
    <w:rsid w:val="00266321"/>
    <w:rsid w:val="002666D8"/>
    <w:rsid w:val="00267758"/>
    <w:rsid w:val="00267DAE"/>
    <w:rsid w:val="002703F5"/>
    <w:rsid w:val="00271CCA"/>
    <w:rsid w:val="00272DB5"/>
    <w:rsid w:val="0027326C"/>
    <w:rsid w:val="00273B2F"/>
    <w:rsid w:val="00273B41"/>
    <w:rsid w:val="002754B5"/>
    <w:rsid w:val="0027678A"/>
    <w:rsid w:val="00276B74"/>
    <w:rsid w:val="0027751E"/>
    <w:rsid w:val="0027780A"/>
    <w:rsid w:val="002801CA"/>
    <w:rsid w:val="002810F5"/>
    <w:rsid w:val="002819A7"/>
    <w:rsid w:val="00281EB0"/>
    <w:rsid w:val="00284A78"/>
    <w:rsid w:val="00285652"/>
    <w:rsid w:val="00285871"/>
    <w:rsid w:val="00285DCA"/>
    <w:rsid w:val="002860AC"/>
    <w:rsid w:val="00286720"/>
    <w:rsid w:val="00286C35"/>
    <w:rsid w:val="002872E9"/>
    <w:rsid w:val="0029049A"/>
    <w:rsid w:val="00291A56"/>
    <w:rsid w:val="002924BF"/>
    <w:rsid w:val="002934E6"/>
    <w:rsid w:val="00293B87"/>
    <w:rsid w:val="002949AA"/>
    <w:rsid w:val="0029516E"/>
    <w:rsid w:val="00297344"/>
    <w:rsid w:val="002973EC"/>
    <w:rsid w:val="002977DD"/>
    <w:rsid w:val="002A0A89"/>
    <w:rsid w:val="002A0B66"/>
    <w:rsid w:val="002A143A"/>
    <w:rsid w:val="002A14B4"/>
    <w:rsid w:val="002A210F"/>
    <w:rsid w:val="002A363D"/>
    <w:rsid w:val="002A4301"/>
    <w:rsid w:val="002A54D0"/>
    <w:rsid w:val="002A55BD"/>
    <w:rsid w:val="002A5EBD"/>
    <w:rsid w:val="002A6E2C"/>
    <w:rsid w:val="002A7724"/>
    <w:rsid w:val="002B027C"/>
    <w:rsid w:val="002B02D9"/>
    <w:rsid w:val="002B064D"/>
    <w:rsid w:val="002B0658"/>
    <w:rsid w:val="002B128A"/>
    <w:rsid w:val="002B24A5"/>
    <w:rsid w:val="002B2A0F"/>
    <w:rsid w:val="002B465C"/>
    <w:rsid w:val="002B66AC"/>
    <w:rsid w:val="002B6AF6"/>
    <w:rsid w:val="002B6B1C"/>
    <w:rsid w:val="002B6E8F"/>
    <w:rsid w:val="002B768F"/>
    <w:rsid w:val="002B7772"/>
    <w:rsid w:val="002C02F4"/>
    <w:rsid w:val="002C1666"/>
    <w:rsid w:val="002C46DE"/>
    <w:rsid w:val="002C4F39"/>
    <w:rsid w:val="002C5815"/>
    <w:rsid w:val="002C583E"/>
    <w:rsid w:val="002C6E09"/>
    <w:rsid w:val="002C7BFE"/>
    <w:rsid w:val="002C7F0D"/>
    <w:rsid w:val="002C7FDF"/>
    <w:rsid w:val="002D1247"/>
    <w:rsid w:val="002D1744"/>
    <w:rsid w:val="002D188E"/>
    <w:rsid w:val="002D35F7"/>
    <w:rsid w:val="002D382F"/>
    <w:rsid w:val="002D48EA"/>
    <w:rsid w:val="002D50F1"/>
    <w:rsid w:val="002D56A2"/>
    <w:rsid w:val="002D56AC"/>
    <w:rsid w:val="002D58F2"/>
    <w:rsid w:val="002D608B"/>
    <w:rsid w:val="002D6562"/>
    <w:rsid w:val="002D68DF"/>
    <w:rsid w:val="002D7750"/>
    <w:rsid w:val="002D7856"/>
    <w:rsid w:val="002D7AEB"/>
    <w:rsid w:val="002E074E"/>
    <w:rsid w:val="002E0F5E"/>
    <w:rsid w:val="002E17F4"/>
    <w:rsid w:val="002E180C"/>
    <w:rsid w:val="002E191E"/>
    <w:rsid w:val="002E1C4C"/>
    <w:rsid w:val="002E2B51"/>
    <w:rsid w:val="002E3221"/>
    <w:rsid w:val="002E37B5"/>
    <w:rsid w:val="002E52C2"/>
    <w:rsid w:val="002E5958"/>
    <w:rsid w:val="002E5BC5"/>
    <w:rsid w:val="002E5F1D"/>
    <w:rsid w:val="002E5FCF"/>
    <w:rsid w:val="002E67F6"/>
    <w:rsid w:val="002E7134"/>
    <w:rsid w:val="002F016E"/>
    <w:rsid w:val="002F04D9"/>
    <w:rsid w:val="002F06AE"/>
    <w:rsid w:val="002F0822"/>
    <w:rsid w:val="002F0B6F"/>
    <w:rsid w:val="002F37EE"/>
    <w:rsid w:val="002F3909"/>
    <w:rsid w:val="002F40DB"/>
    <w:rsid w:val="002F5E00"/>
    <w:rsid w:val="002F6229"/>
    <w:rsid w:val="002F6673"/>
    <w:rsid w:val="00300DBE"/>
    <w:rsid w:val="00301B20"/>
    <w:rsid w:val="00303C29"/>
    <w:rsid w:val="00304D20"/>
    <w:rsid w:val="00304EA7"/>
    <w:rsid w:val="00305862"/>
    <w:rsid w:val="003073C1"/>
    <w:rsid w:val="003079D8"/>
    <w:rsid w:val="00310CD6"/>
    <w:rsid w:val="00311439"/>
    <w:rsid w:val="003116E9"/>
    <w:rsid w:val="00311ACF"/>
    <w:rsid w:val="003120F4"/>
    <w:rsid w:val="003127BA"/>
    <w:rsid w:val="00313151"/>
    <w:rsid w:val="003137DF"/>
    <w:rsid w:val="0031409D"/>
    <w:rsid w:val="003143DF"/>
    <w:rsid w:val="00314E23"/>
    <w:rsid w:val="00314EB0"/>
    <w:rsid w:val="00316548"/>
    <w:rsid w:val="00316979"/>
    <w:rsid w:val="0031714E"/>
    <w:rsid w:val="00317F0C"/>
    <w:rsid w:val="003204C2"/>
    <w:rsid w:val="00320CB8"/>
    <w:rsid w:val="0032106D"/>
    <w:rsid w:val="003214E3"/>
    <w:rsid w:val="00321EF1"/>
    <w:rsid w:val="003224B9"/>
    <w:rsid w:val="0032251C"/>
    <w:rsid w:val="00322F06"/>
    <w:rsid w:val="003234A8"/>
    <w:rsid w:val="00325E6F"/>
    <w:rsid w:val="00326334"/>
    <w:rsid w:val="0033048F"/>
    <w:rsid w:val="00331255"/>
    <w:rsid w:val="00331336"/>
    <w:rsid w:val="0033203B"/>
    <w:rsid w:val="00332577"/>
    <w:rsid w:val="003329C8"/>
    <w:rsid w:val="0033355F"/>
    <w:rsid w:val="00333773"/>
    <w:rsid w:val="00334098"/>
    <w:rsid w:val="00335A1A"/>
    <w:rsid w:val="00335C07"/>
    <w:rsid w:val="0033694E"/>
    <w:rsid w:val="00336E06"/>
    <w:rsid w:val="00337C22"/>
    <w:rsid w:val="003418FE"/>
    <w:rsid w:val="003430A8"/>
    <w:rsid w:val="003432B8"/>
    <w:rsid w:val="00343C81"/>
    <w:rsid w:val="00343F6E"/>
    <w:rsid w:val="0034428B"/>
    <w:rsid w:val="00345BCE"/>
    <w:rsid w:val="00345CDA"/>
    <w:rsid w:val="00345FB6"/>
    <w:rsid w:val="0034621C"/>
    <w:rsid w:val="003471D2"/>
    <w:rsid w:val="00347621"/>
    <w:rsid w:val="003476E5"/>
    <w:rsid w:val="00350184"/>
    <w:rsid w:val="00350ACB"/>
    <w:rsid w:val="00351493"/>
    <w:rsid w:val="00351879"/>
    <w:rsid w:val="003519C6"/>
    <w:rsid w:val="003534A5"/>
    <w:rsid w:val="00353AE2"/>
    <w:rsid w:val="00354FA0"/>
    <w:rsid w:val="003558C7"/>
    <w:rsid w:val="00355A33"/>
    <w:rsid w:val="00357CEF"/>
    <w:rsid w:val="003602E5"/>
    <w:rsid w:val="00360EDE"/>
    <w:rsid w:val="00361794"/>
    <w:rsid w:val="0036235C"/>
    <w:rsid w:val="00362DB7"/>
    <w:rsid w:val="003631C5"/>
    <w:rsid w:val="00363989"/>
    <w:rsid w:val="003639D3"/>
    <w:rsid w:val="003647E3"/>
    <w:rsid w:val="0036551C"/>
    <w:rsid w:val="00366957"/>
    <w:rsid w:val="00366E12"/>
    <w:rsid w:val="003706FC"/>
    <w:rsid w:val="0037248B"/>
    <w:rsid w:val="00372E7D"/>
    <w:rsid w:val="0037490A"/>
    <w:rsid w:val="00374965"/>
    <w:rsid w:val="00374FA4"/>
    <w:rsid w:val="00374FCE"/>
    <w:rsid w:val="00376910"/>
    <w:rsid w:val="00376A93"/>
    <w:rsid w:val="003771C7"/>
    <w:rsid w:val="003775A7"/>
    <w:rsid w:val="00377C90"/>
    <w:rsid w:val="00381B12"/>
    <w:rsid w:val="00382F49"/>
    <w:rsid w:val="00383070"/>
    <w:rsid w:val="00383222"/>
    <w:rsid w:val="0038340E"/>
    <w:rsid w:val="00383467"/>
    <w:rsid w:val="00384739"/>
    <w:rsid w:val="003850D3"/>
    <w:rsid w:val="00386E72"/>
    <w:rsid w:val="003900F3"/>
    <w:rsid w:val="003905F1"/>
    <w:rsid w:val="00390B72"/>
    <w:rsid w:val="00392296"/>
    <w:rsid w:val="00392C93"/>
    <w:rsid w:val="00393B6A"/>
    <w:rsid w:val="00393E55"/>
    <w:rsid w:val="0039438E"/>
    <w:rsid w:val="00394AD4"/>
    <w:rsid w:val="00395F4E"/>
    <w:rsid w:val="003968CF"/>
    <w:rsid w:val="00397DEF"/>
    <w:rsid w:val="003A010B"/>
    <w:rsid w:val="003A04D0"/>
    <w:rsid w:val="003A09AB"/>
    <w:rsid w:val="003A0BA0"/>
    <w:rsid w:val="003A1219"/>
    <w:rsid w:val="003A21C9"/>
    <w:rsid w:val="003A3C30"/>
    <w:rsid w:val="003A55EE"/>
    <w:rsid w:val="003A6149"/>
    <w:rsid w:val="003A62F5"/>
    <w:rsid w:val="003A646D"/>
    <w:rsid w:val="003A6CD8"/>
    <w:rsid w:val="003A78EC"/>
    <w:rsid w:val="003B0024"/>
    <w:rsid w:val="003B01AA"/>
    <w:rsid w:val="003B0AA4"/>
    <w:rsid w:val="003B0B0D"/>
    <w:rsid w:val="003B0C87"/>
    <w:rsid w:val="003B0FED"/>
    <w:rsid w:val="003B20D1"/>
    <w:rsid w:val="003B2965"/>
    <w:rsid w:val="003B2B05"/>
    <w:rsid w:val="003B3BBB"/>
    <w:rsid w:val="003B3CC3"/>
    <w:rsid w:val="003B614F"/>
    <w:rsid w:val="003B73A5"/>
    <w:rsid w:val="003B7E78"/>
    <w:rsid w:val="003C0520"/>
    <w:rsid w:val="003C1363"/>
    <w:rsid w:val="003C1892"/>
    <w:rsid w:val="003C1F2C"/>
    <w:rsid w:val="003C365C"/>
    <w:rsid w:val="003C3C14"/>
    <w:rsid w:val="003C3F0C"/>
    <w:rsid w:val="003C46D0"/>
    <w:rsid w:val="003C6C95"/>
    <w:rsid w:val="003D012A"/>
    <w:rsid w:val="003D16A0"/>
    <w:rsid w:val="003D1BA8"/>
    <w:rsid w:val="003D2D67"/>
    <w:rsid w:val="003D2F3C"/>
    <w:rsid w:val="003D564A"/>
    <w:rsid w:val="003D7E88"/>
    <w:rsid w:val="003E0C38"/>
    <w:rsid w:val="003E22CA"/>
    <w:rsid w:val="003E39E0"/>
    <w:rsid w:val="003E3A5E"/>
    <w:rsid w:val="003E3BF6"/>
    <w:rsid w:val="003E3F34"/>
    <w:rsid w:val="003E403B"/>
    <w:rsid w:val="003E48C0"/>
    <w:rsid w:val="003E4A48"/>
    <w:rsid w:val="003E5172"/>
    <w:rsid w:val="003E5539"/>
    <w:rsid w:val="003E5714"/>
    <w:rsid w:val="003E5DAA"/>
    <w:rsid w:val="003E658F"/>
    <w:rsid w:val="003E6A9F"/>
    <w:rsid w:val="003E6AB6"/>
    <w:rsid w:val="003E7221"/>
    <w:rsid w:val="003E7C26"/>
    <w:rsid w:val="003E7CEF"/>
    <w:rsid w:val="003F0299"/>
    <w:rsid w:val="003F03FA"/>
    <w:rsid w:val="003F045B"/>
    <w:rsid w:val="003F0D39"/>
    <w:rsid w:val="003F1179"/>
    <w:rsid w:val="003F259B"/>
    <w:rsid w:val="003F2F98"/>
    <w:rsid w:val="003F3A3F"/>
    <w:rsid w:val="003F4603"/>
    <w:rsid w:val="003F46BC"/>
    <w:rsid w:val="003F5D3F"/>
    <w:rsid w:val="003F64B2"/>
    <w:rsid w:val="003F6674"/>
    <w:rsid w:val="003F6909"/>
    <w:rsid w:val="003F691F"/>
    <w:rsid w:val="00401C8B"/>
    <w:rsid w:val="004024B0"/>
    <w:rsid w:val="004025D7"/>
    <w:rsid w:val="004064CE"/>
    <w:rsid w:val="0040664B"/>
    <w:rsid w:val="00406A07"/>
    <w:rsid w:val="00406EB7"/>
    <w:rsid w:val="00406EC9"/>
    <w:rsid w:val="00410A77"/>
    <w:rsid w:val="00411A74"/>
    <w:rsid w:val="00411BF1"/>
    <w:rsid w:val="00412C4F"/>
    <w:rsid w:val="0041455B"/>
    <w:rsid w:val="00414614"/>
    <w:rsid w:val="0041652D"/>
    <w:rsid w:val="00416612"/>
    <w:rsid w:val="0041686F"/>
    <w:rsid w:val="00416B7F"/>
    <w:rsid w:val="00417277"/>
    <w:rsid w:val="00420146"/>
    <w:rsid w:val="00422A2F"/>
    <w:rsid w:val="00424126"/>
    <w:rsid w:val="004244E1"/>
    <w:rsid w:val="0042611B"/>
    <w:rsid w:val="004262A9"/>
    <w:rsid w:val="00427DA9"/>
    <w:rsid w:val="004308D6"/>
    <w:rsid w:val="00430A52"/>
    <w:rsid w:val="00430D43"/>
    <w:rsid w:val="00430D7B"/>
    <w:rsid w:val="004317D1"/>
    <w:rsid w:val="004321CF"/>
    <w:rsid w:val="0043282B"/>
    <w:rsid w:val="00433A77"/>
    <w:rsid w:val="0043481D"/>
    <w:rsid w:val="0043532C"/>
    <w:rsid w:val="00435BE0"/>
    <w:rsid w:val="00435E4F"/>
    <w:rsid w:val="00436D9A"/>
    <w:rsid w:val="00440CB8"/>
    <w:rsid w:val="00440FE5"/>
    <w:rsid w:val="00441059"/>
    <w:rsid w:val="00441ED3"/>
    <w:rsid w:val="0044224A"/>
    <w:rsid w:val="004426B7"/>
    <w:rsid w:val="00444DC5"/>
    <w:rsid w:val="004458A0"/>
    <w:rsid w:val="00446172"/>
    <w:rsid w:val="004461D5"/>
    <w:rsid w:val="004461D8"/>
    <w:rsid w:val="00446875"/>
    <w:rsid w:val="004501F5"/>
    <w:rsid w:val="00452F4F"/>
    <w:rsid w:val="0045381B"/>
    <w:rsid w:val="0045394E"/>
    <w:rsid w:val="00453DF5"/>
    <w:rsid w:val="0045556A"/>
    <w:rsid w:val="00456D6A"/>
    <w:rsid w:val="0045729D"/>
    <w:rsid w:val="004604F6"/>
    <w:rsid w:val="00460B88"/>
    <w:rsid w:val="00461B4A"/>
    <w:rsid w:val="004629A2"/>
    <w:rsid w:val="00463205"/>
    <w:rsid w:val="00463AC7"/>
    <w:rsid w:val="00463C40"/>
    <w:rsid w:val="0046423B"/>
    <w:rsid w:val="004677A3"/>
    <w:rsid w:val="004677AA"/>
    <w:rsid w:val="00467FE7"/>
    <w:rsid w:val="004706D1"/>
    <w:rsid w:val="00470B7D"/>
    <w:rsid w:val="00471A07"/>
    <w:rsid w:val="00472505"/>
    <w:rsid w:val="00473B0A"/>
    <w:rsid w:val="00473C4E"/>
    <w:rsid w:val="004748D6"/>
    <w:rsid w:val="00475116"/>
    <w:rsid w:val="0047608F"/>
    <w:rsid w:val="0047672D"/>
    <w:rsid w:val="004769A2"/>
    <w:rsid w:val="00476E82"/>
    <w:rsid w:val="00477109"/>
    <w:rsid w:val="00477E44"/>
    <w:rsid w:val="004809AE"/>
    <w:rsid w:val="00480A54"/>
    <w:rsid w:val="00480D26"/>
    <w:rsid w:val="00481297"/>
    <w:rsid w:val="00481323"/>
    <w:rsid w:val="0048163C"/>
    <w:rsid w:val="004817EA"/>
    <w:rsid w:val="004818AF"/>
    <w:rsid w:val="00482EE8"/>
    <w:rsid w:val="00483369"/>
    <w:rsid w:val="00483B77"/>
    <w:rsid w:val="00483B91"/>
    <w:rsid w:val="004847AF"/>
    <w:rsid w:val="00484EAB"/>
    <w:rsid w:val="00485CB3"/>
    <w:rsid w:val="004865CC"/>
    <w:rsid w:val="00486D3E"/>
    <w:rsid w:val="004874AD"/>
    <w:rsid w:val="00487807"/>
    <w:rsid w:val="00487837"/>
    <w:rsid w:val="004905BF"/>
    <w:rsid w:val="00490A13"/>
    <w:rsid w:val="0049197C"/>
    <w:rsid w:val="00492126"/>
    <w:rsid w:val="004925A9"/>
    <w:rsid w:val="00492B91"/>
    <w:rsid w:val="0049352C"/>
    <w:rsid w:val="00493756"/>
    <w:rsid w:val="00494308"/>
    <w:rsid w:val="004948A9"/>
    <w:rsid w:val="00494D9B"/>
    <w:rsid w:val="004952BF"/>
    <w:rsid w:val="00495397"/>
    <w:rsid w:val="0049690E"/>
    <w:rsid w:val="0049761E"/>
    <w:rsid w:val="004A1106"/>
    <w:rsid w:val="004A2218"/>
    <w:rsid w:val="004A28B5"/>
    <w:rsid w:val="004A3E07"/>
    <w:rsid w:val="004A52D1"/>
    <w:rsid w:val="004A57FF"/>
    <w:rsid w:val="004A5EA2"/>
    <w:rsid w:val="004A5FF7"/>
    <w:rsid w:val="004A6E29"/>
    <w:rsid w:val="004B17D9"/>
    <w:rsid w:val="004B17FB"/>
    <w:rsid w:val="004B1B67"/>
    <w:rsid w:val="004B3387"/>
    <w:rsid w:val="004B419B"/>
    <w:rsid w:val="004B46DB"/>
    <w:rsid w:val="004B4D48"/>
    <w:rsid w:val="004B551A"/>
    <w:rsid w:val="004B56C4"/>
    <w:rsid w:val="004B6FA7"/>
    <w:rsid w:val="004B7F70"/>
    <w:rsid w:val="004B7F72"/>
    <w:rsid w:val="004C0208"/>
    <w:rsid w:val="004C05EF"/>
    <w:rsid w:val="004C1EE2"/>
    <w:rsid w:val="004C1F0A"/>
    <w:rsid w:val="004C25B9"/>
    <w:rsid w:val="004C3A73"/>
    <w:rsid w:val="004C408A"/>
    <w:rsid w:val="004C4733"/>
    <w:rsid w:val="004C4DBA"/>
    <w:rsid w:val="004C6ACF"/>
    <w:rsid w:val="004C756E"/>
    <w:rsid w:val="004C7713"/>
    <w:rsid w:val="004D127A"/>
    <w:rsid w:val="004D1481"/>
    <w:rsid w:val="004D1954"/>
    <w:rsid w:val="004D195F"/>
    <w:rsid w:val="004D20F4"/>
    <w:rsid w:val="004D2997"/>
    <w:rsid w:val="004D4153"/>
    <w:rsid w:val="004D4E60"/>
    <w:rsid w:val="004D5142"/>
    <w:rsid w:val="004D68CD"/>
    <w:rsid w:val="004D6B74"/>
    <w:rsid w:val="004E14E7"/>
    <w:rsid w:val="004E1E77"/>
    <w:rsid w:val="004E2310"/>
    <w:rsid w:val="004E2932"/>
    <w:rsid w:val="004E3460"/>
    <w:rsid w:val="004E3F24"/>
    <w:rsid w:val="004E5408"/>
    <w:rsid w:val="004E6689"/>
    <w:rsid w:val="004E6EA2"/>
    <w:rsid w:val="004E7254"/>
    <w:rsid w:val="004E7F60"/>
    <w:rsid w:val="004F0F12"/>
    <w:rsid w:val="004F21A5"/>
    <w:rsid w:val="004F22DE"/>
    <w:rsid w:val="004F2D3C"/>
    <w:rsid w:val="004F378B"/>
    <w:rsid w:val="004F51D3"/>
    <w:rsid w:val="004F6E1A"/>
    <w:rsid w:val="004F70EA"/>
    <w:rsid w:val="004F74FA"/>
    <w:rsid w:val="004F7AA9"/>
    <w:rsid w:val="004F7EA2"/>
    <w:rsid w:val="00502FE5"/>
    <w:rsid w:val="00503143"/>
    <w:rsid w:val="0050323A"/>
    <w:rsid w:val="00503383"/>
    <w:rsid w:val="00503392"/>
    <w:rsid w:val="0050371A"/>
    <w:rsid w:val="00504251"/>
    <w:rsid w:val="00504588"/>
    <w:rsid w:val="005049CD"/>
    <w:rsid w:val="00504C66"/>
    <w:rsid w:val="00505339"/>
    <w:rsid w:val="005060D8"/>
    <w:rsid w:val="0050613C"/>
    <w:rsid w:val="00506686"/>
    <w:rsid w:val="005067A0"/>
    <w:rsid w:val="005077C5"/>
    <w:rsid w:val="00511323"/>
    <w:rsid w:val="0051155A"/>
    <w:rsid w:val="00511601"/>
    <w:rsid w:val="00511CD1"/>
    <w:rsid w:val="005120E4"/>
    <w:rsid w:val="00512C68"/>
    <w:rsid w:val="00512E73"/>
    <w:rsid w:val="00513848"/>
    <w:rsid w:val="005140C5"/>
    <w:rsid w:val="0051423B"/>
    <w:rsid w:val="0051463E"/>
    <w:rsid w:val="00514B09"/>
    <w:rsid w:val="00514E7D"/>
    <w:rsid w:val="0051503E"/>
    <w:rsid w:val="005156B1"/>
    <w:rsid w:val="00516135"/>
    <w:rsid w:val="0051680B"/>
    <w:rsid w:val="00520498"/>
    <w:rsid w:val="00520C13"/>
    <w:rsid w:val="00520DCB"/>
    <w:rsid w:val="005227BC"/>
    <w:rsid w:val="00522CFC"/>
    <w:rsid w:val="00522F98"/>
    <w:rsid w:val="005231E9"/>
    <w:rsid w:val="005244C9"/>
    <w:rsid w:val="005251DB"/>
    <w:rsid w:val="00526924"/>
    <w:rsid w:val="00526B4B"/>
    <w:rsid w:val="005277E7"/>
    <w:rsid w:val="0053006D"/>
    <w:rsid w:val="00530977"/>
    <w:rsid w:val="005317EE"/>
    <w:rsid w:val="00532119"/>
    <w:rsid w:val="00532510"/>
    <w:rsid w:val="005326A8"/>
    <w:rsid w:val="00532CD2"/>
    <w:rsid w:val="00534818"/>
    <w:rsid w:val="00534832"/>
    <w:rsid w:val="005350E5"/>
    <w:rsid w:val="005353E9"/>
    <w:rsid w:val="00537064"/>
    <w:rsid w:val="00537E0D"/>
    <w:rsid w:val="005409A2"/>
    <w:rsid w:val="005415C3"/>
    <w:rsid w:val="00543729"/>
    <w:rsid w:val="005455D9"/>
    <w:rsid w:val="00545A1C"/>
    <w:rsid w:val="005465F2"/>
    <w:rsid w:val="005502E1"/>
    <w:rsid w:val="00550497"/>
    <w:rsid w:val="00550EE5"/>
    <w:rsid w:val="0055231F"/>
    <w:rsid w:val="00553388"/>
    <w:rsid w:val="005536AF"/>
    <w:rsid w:val="00553733"/>
    <w:rsid w:val="00553D8B"/>
    <w:rsid w:val="00554271"/>
    <w:rsid w:val="005542F0"/>
    <w:rsid w:val="00555012"/>
    <w:rsid w:val="0055605A"/>
    <w:rsid w:val="00556CC6"/>
    <w:rsid w:val="00556DBE"/>
    <w:rsid w:val="00557E35"/>
    <w:rsid w:val="0056058D"/>
    <w:rsid w:val="0056170E"/>
    <w:rsid w:val="0056224A"/>
    <w:rsid w:val="005639E7"/>
    <w:rsid w:val="00564B54"/>
    <w:rsid w:val="00567332"/>
    <w:rsid w:val="0056784B"/>
    <w:rsid w:val="00570044"/>
    <w:rsid w:val="00571F02"/>
    <w:rsid w:val="00572741"/>
    <w:rsid w:val="0057276A"/>
    <w:rsid w:val="00573DFC"/>
    <w:rsid w:val="00574095"/>
    <w:rsid w:val="00574A37"/>
    <w:rsid w:val="00574B4C"/>
    <w:rsid w:val="0057581A"/>
    <w:rsid w:val="00577246"/>
    <w:rsid w:val="005772D5"/>
    <w:rsid w:val="0057742C"/>
    <w:rsid w:val="00580735"/>
    <w:rsid w:val="00581486"/>
    <w:rsid w:val="00584441"/>
    <w:rsid w:val="00584D00"/>
    <w:rsid w:val="00584D05"/>
    <w:rsid w:val="00585709"/>
    <w:rsid w:val="00586912"/>
    <w:rsid w:val="00586D58"/>
    <w:rsid w:val="00587140"/>
    <w:rsid w:val="00587974"/>
    <w:rsid w:val="00590940"/>
    <w:rsid w:val="005916FF"/>
    <w:rsid w:val="00591F30"/>
    <w:rsid w:val="005927D6"/>
    <w:rsid w:val="00593021"/>
    <w:rsid w:val="0059355B"/>
    <w:rsid w:val="00593627"/>
    <w:rsid w:val="00594060"/>
    <w:rsid w:val="005940A6"/>
    <w:rsid w:val="0059458C"/>
    <w:rsid w:val="0059511E"/>
    <w:rsid w:val="00595C1F"/>
    <w:rsid w:val="005964C3"/>
    <w:rsid w:val="00596796"/>
    <w:rsid w:val="00596B18"/>
    <w:rsid w:val="005A0456"/>
    <w:rsid w:val="005A091E"/>
    <w:rsid w:val="005A1452"/>
    <w:rsid w:val="005A2129"/>
    <w:rsid w:val="005A2511"/>
    <w:rsid w:val="005A68D2"/>
    <w:rsid w:val="005A6C29"/>
    <w:rsid w:val="005A6D7F"/>
    <w:rsid w:val="005B09E4"/>
    <w:rsid w:val="005B1B84"/>
    <w:rsid w:val="005B2D2B"/>
    <w:rsid w:val="005B2D91"/>
    <w:rsid w:val="005B2F49"/>
    <w:rsid w:val="005B383F"/>
    <w:rsid w:val="005B4AC3"/>
    <w:rsid w:val="005B4B6E"/>
    <w:rsid w:val="005B5314"/>
    <w:rsid w:val="005B72BF"/>
    <w:rsid w:val="005B73DA"/>
    <w:rsid w:val="005B7EA6"/>
    <w:rsid w:val="005C17E6"/>
    <w:rsid w:val="005C1CAB"/>
    <w:rsid w:val="005C1EC7"/>
    <w:rsid w:val="005C313E"/>
    <w:rsid w:val="005C34D3"/>
    <w:rsid w:val="005C3934"/>
    <w:rsid w:val="005C3C41"/>
    <w:rsid w:val="005C400D"/>
    <w:rsid w:val="005C4A05"/>
    <w:rsid w:val="005C5374"/>
    <w:rsid w:val="005C59FF"/>
    <w:rsid w:val="005C5B1F"/>
    <w:rsid w:val="005C5C36"/>
    <w:rsid w:val="005C6B82"/>
    <w:rsid w:val="005C7153"/>
    <w:rsid w:val="005C783F"/>
    <w:rsid w:val="005C7DBC"/>
    <w:rsid w:val="005D10D9"/>
    <w:rsid w:val="005D1D2E"/>
    <w:rsid w:val="005D27A3"/>
    <w:rsid w:val="005D2A14"/>
    <w:rsid w:val="005D3DBC"/>
    <w:rsid w:val="005D43EF"/>
    <w:rsid w:val="005D47F9"/>
    <w:rsid w:val="005D583D"/>
    <w:rsid w:val="005D5C1D"/>
    <w:rsid w:val="005D5FCA"/>
    <w:rsid w:val="005E1612"/>
    <w:rsid w:val="005E25F8"/>
    <w:rsid w:val="005E29F6"/>
    <w:rsid w:val="005E3C94"/>
    <w:rsid w:val="005E7219"/>
    <w:rsid w:val="005E7EA0"/>
    <w:rsid w:val="005F28B7"/>
    <w:rsid w:val="005F3A4A"/>
    <w:rsid w:val="005F3E97"/>
    <w:rsid w:val="005F4470"/>
    <w:rsid w:val="005F5872"/>
    <w:rsid w:val="005F5D6A"/>
    <w:rsid w:val="005F5E30"/>
    <w:rsid w:val="005F670F"/>
    <w:rsid w:val="005F7437"/>
    <w:rsid w:val="00600554"/>
    <w:rsid w:val="00600D86"/>
    <w:rsid w:val="006010F7"/>
    <w:rsid w:val="006040BA"/>
    <w:rsid w:val="006041E3"/>
    <w:rsid w:val="00604392"/>
    <w:rsid w:val="00607BF3"/>
    <w:rsid w:val="00607C75"/>
    <w:rsid w:val="006100BC"/>
    <w:rsid w:val="006101BF"/>
    <w:rsid w:val="006109EB"/>
    <w:rsid w:val="00610D43"/>
    <w:rsid w:val="006116A0"/>
    <w:rsid w:val="00612352"/>
    <w:rsid w:val="00612DD0"/>
    <w:rsid w:val="00614B63"/>
    <w:rsid w:val="00616B69"/>
    <w:rsid w:val="00620014"/>
    <w:rsid w:val="00620FF3"/>
    <w:rsid w:val="00621BF4"/>
    <w:rsid w:val="00622B5E"/>
    <w:rsid w:val="00622BF7"/>
    <w:rsid w:val="00622CB4"/>
    <w:rsid w:val="00622CD9"/>
    <w:rsid w:val="00622FDE"/>
    <w:rsid w:val="0062381A"/>
    <w:rsid w:val="006241F4"/>
    <w:rsid w:val="006243A3"/>
    <w:rsid w:val="0062557E"/>
    <w:rsid w:val="00625983"/>
    <w:rsid w:val="00626129"/>
    <w:rsid w:val="006274BE"/>
    <w:rsid w:val="00630E85"/>
    <w:rsid w:val="00630EB7"/>
    <w:rsid w:val="00631817"/>
    <w:rsid w:val="006351E7"/>
    <w:rsid w:val="00635234"/>
    <w:rsid w:val="0063583A"/>
    <w:rsid w:val="00636069"/>
    <w:rsid w:val="00636921"/>
    <w:rsid w:val="00636C90"/>
    <w:rsid w:val="00636F66"/>
    <w:rsid w:val="0064086F"/>
    <w:rsid w:val="00640A13"/>
    <w:rsid w:val="0064197A"/>
    <w:rsid w:val="0064240D"/>
    <w:rsid w:val="00643DE0"/>
    <w:rsid w:val="006448EF"/>
    <w:rsid w:val="006457AF"/>
    <w:rsid w:val="00647F65"/>
    <w:rsid w:val="006503C2"/>
    <w:rsid w:val="00650B73"/>
    <w:rsid w:val="00650C6C"/>
    <w:rsid w:val="0065111E"/>
    <w:rsid w:val="00651536"/>
    <w:rsid w:val="006518C6"/>
    <w:rsid w:val="0065232D"/>
    <w:rsid w:val="006545F2"/>
    <w:rsid w:val="00655165"/>
    <w:rsid w:val="0065542B"/>
    <w:rsid w:val="00655458"/>
    <w:rsid w:val="006564A5"/>
    <w:rsid w:val="00656AAB"/>
    <w:rsid w:val="00657590"/>
    <w:rsid w:val="00657EB4"/>
    <w:rsid w:val="00660621"/>
    <w:rsid w:val="00660E70"/>
    <w:rsid w:val="006611E7"/>
    <w:rsid w:val="00661BD9"/>
    <w:rsid w:val="006626B0"/>
    <w:rsid w:val="00663068"/>
    <w:rsid w:val="00663289"/>
    <w:rsid w:val="00663539"/>
    <w:rsid w:val="00663595"/>
    <w:rsid w:val="00663C36"/>
    <w:rsid w:val="006648D1"/>
    <w:rsid w:val="006653F9"/>
    <w:rsid w:val="0066640D"/>
    <w:rsid w:val="00667236"/>
    <w:rsid w:val="006677FF"/>
    <w:rsid w:val="00670CB4"/>
    <w:rsid w:val="006718B4"/>
    <w:rsid w:val="00671D27"/>
    <w:rsid w:val="00674E3F"/>
    <w:rsid w:val="006754FF"/>
    <w:rsid w:val="0067566A"/>
    <w:rsid w:val="006771AC"/>
    <w:rsid w:val="006771FD"/>
    <w:rsid w:val="00677E2B"/>
    <w:rsid w:val="00680401"/>
    <w:rsid w:val="0068134F"/>
    <w:rsid w:val="006815CE"/>
    <w:rsid w:val="00682C7D"/>
    <w:rsid w:val="006835FC"/>
    <w:rsid w:val="0068427E"/>
    <w:rsid w:val="00684B65"/>
    <w:rsid w:val="00686E67"/>
    <w:rsid w:val="0069007B"/>
    <w:rsid w:val="006913DA"/>
    <w:rsid w:val="00692519"/>
    <w:rsid w:val="00692E1F"/>
    <w:rsid w:val="00693504"/>
    <w:rsid w:val="0069412A"/>
    <w:rsid w:val="00694361"/>
    <w:rsid w:val="006951C8"/>
    <w:rsid w:val="00695369"/>
    <w:rsid w:val="00695626"/>
    <w:rsid w:val="006968E4"/>
    <w:rsid w:val="00696B73"/>
    <w:rsid w:val="00696C4E"/>
    <w:rsid w:val="006973BE"/>
    <w:rsid w:val="0069754C"/>
    <w:rsid w:val="006975DB"/>
    <w:rsid w:val="00697ED9"/>
    <w:rsid w:val="006A0CA6"/>
    <w:rsid w:val="006A1475"/>
    <w:rsid w:val="006A1481"/>
    <w:rsid w:val="006A1788"/>
    <w:rsid w:val="006A17A2"/>
    <w:rsid w:val="006A288B"/>
    <w:rsid w:val="006A32B7"/>
    <w:rsid w:val="006A3317"/>
    <w:rsid w:val="006A33C6"/>
    <w:rsid w:val="006A3A59"/>
    <w:rsid w:val="006A4124"/>
    <w:rsid w:val="006A7201"/>
    <w:rsid w:val="006A7B0A"/>
    <w:rsid w:val="006B0843"/>
    <w:rsid w:val="006B253D"/>
    <w:rsid w:val="006B2B32"/>
    <w:rsid w:val="006B3BEB"/>
    <w:rsid w:val="006B5C79"/>
    <w:rsid w:val="006B6B94"/>
    <w:rsid w:val="006B708A"/>
    <w:rsid w:val="006B7311"/>
    <w:rsid w:val="006B777D"/>
    <w:rsid w:val="006B7E69"/>
    <w:rsid w:val="006C00E3"/>
    <w:rsid w:val="006C11E6"/>
    <w:rsid w:val="006C199B"/>
    <w:rsid w:val="006C1CED"/>
    <w:rsid w:val="006C1ED5"/>
    <w:rsid w:val="006C3EC9"/>
    <w:rsid w:val="006C5685"/>
    <w:rsid w:val="006C592B"/>
    <w:rsid w:val="006C6295"/>
    <w:rsid w:val="006C661A"/>
    <w:rsid w:val="006C6BD8"/>
    <w:rsid w:val="006C78A7"/>
    <w:rsid w:val="006C7D0F"/>
    <w:rsid w:val="006D0BBB"/>
    <w:rsid w:val="006D13BD"/>
    <w:rsid w:val="006D1991"/>
    <w:rsid w:val="006D1A7C"/>
    <w:rsid w:val="006D2A5B"/>
    <w:rsid w:val="006D2BC7"/>
    <w:rsid w:val="006D36A0"/>
    <w:rsid w:val="006D40CE"/>
    <w:rsid w:val="006D4DED"/>
    <w:rsid w:val="006D6351"/>
    <w:rsid w:val="006D7EE5"/>
    <w:rsid w:val="006E05C0"/>
    <w:rsid w:val="006E07E2"/>
    <w:rsid w:val="006E0ECF"/>
    <w:rsid w:val="006E130B"/>
    <w:rsid w:val="006E2CC9"/>
    <w:rsid w:val="006E3712"/>
    <w:rsid w:val="006E3AAB"/>
    <w:rsid w:val="006E3D06"/>
    <w:rsid w:val="006E470A"/>
    <w:rsid w:val="006E609D"/>
    <w:rsid w:val="006E686C"/>
    <w:rsid w:val="006F068B"/>
    <w:rsid w:val="006F09C1"/>
    <w:rsid w:val="006F0E08"/>
    <w:rsid w:val="006F0F43"/>
    <w:rsid w:val="006F1227"/>
    <w:rsid w:val="006F1BA4"/>
    <w:rsid w:val="006F3D35"/>
    <w:rsid w:val="006F4BD2"/>
    <w:rsid w:val="006F4E56"/>
    <w:rsid w:val="006F5477"/>
    <w:rsid w:val="006F55AD"/>
    <w:rsid w:val="006F6CB0"/>
    <w:rsid w:val="006F7139"/>
    <w:rsid w:val="006F7E72"/>
    <w:rsid w:val="007000CD"/>
    <w:rsid w:val="00700BF0"/>
    <w:rsid w:val="00701592"/>
    <w:rsid w:val="0070185D"/>
    <w:rsid w:val="00703329"/>
    <w:rsid w:val="00703599"/>
    <w:rsid w:val="00703DE7"/>
    <w:rsid w:val="00703F6D"/>
    <w:rsid w:val="00704F7A"/>
    <w:rsid w:val="00705AB9"/>
    <w:rsid w:val="007061A4"/>
    <w:rsid w:val="00712A00"/>
    <w:rsid w:val="0071409E"/>
    <w:rsid w:val="00714371"/>
    <w:rsid w:val="00714CA0"/>
    <w:rsid w:val="007150C0"/>
    <w:rsid w:val="0071526B"/>
    <w:rsid w:val="0071537D"/>
    <w:rsid w:val="00716905"/>
    <w:rsid w:val="0071702B"/>
    <w:rsid w:val="00717D9C"/>
    <w:rsid w:val="00717E92"/>
    <w:rsid w:val="00720358"/>
    <w:rsid w:val="007215B9"/>
    <w:rsid w:val="007228B6"/>
    <w:rsid w:val="00722F5C"/>
    <w:rsid w:val="0072318D"/>
    <w:rsid w:val="0072350E"/>
    <w:rsid w:val="00723F54"/>
    <w:rsid w:val="00724721"/>
    <w:rsid w:val="00724FC0"/>
    <w:rsid w:val="00725C93"/>
    <w:rsid w:val="00726D32"/>
    <w:rsid w:val="00730209"/>
    <w:rsid w:val="00730A61"/>
    <w:rsid w:val="00730D70"/>
    <w:rsid w:val="00730DE3"/>
    <w:rsid w:val="00731138"/>
    <w:rsid w:val="00731262"/>
    <w:rsid w:val="00731414"/>
    <w:rsid w:val="007321B0"/>
    <w:rsid w:val="00733141"/>
    <w:rsid w:val="007332C2"/>
    <w:rsid w:val="00733F85"/>
    <w:rsid w:val="00734581"/>
    <w:rsid w:val="007349CF"/>
    <w:rsid w:val="0073503D"/>
    <w:rsid w:val="0074084D"/>
    <w:rsid w:val="007409C4"/>
    <w:rsid w:val="007410FC"/>
    <w:rsid w:val="0074204E"/>
    <w:rsid w:val="007426E5"/>
    <w:rsid w:val="00742C4F"/>
    <w:rsid w:val="007439C9"/>
    <w:rsid w:val="00744276"/>
    <w:rsid w:val="007444B7"/>
    <w:rsid w:val="00744FE1"/>
    <w:rsid w:val="00745459"/>
    <w:rsid w:val="00746916"/>
    <w:rsid w:val="00746F6C"/>
    <w:rsid w:val="0074741C"/>
    <w:rsid w:val="00747435"/>
    <w:rsid w:val="00747ED6"/>
    <w:rsid w:val="0075039D"/>
    <w:rsid w:val="00750677"/>
    <w:rsid w:val="00750B7B"/>
    <w:rsid w:val="00750CC0"/>
    <w:rsid w:val="00751329"/>
    <w:rsid w:val="007517E1"/>
    <w:rsid w:val="00752235"/>
    <w:rsid w:val="0075256A"/>
    <w:rsid w:val="00752DE1"/>
    <w:rsid w:val="00753C64"/>
    <w:rsid w:val="00753D3F"/>
    <w:rsid w:val="00753EB4"/>
    <w:rsid w:val="00754461"/>
    <w:rsid w:val="00754D67"/>
    <w:rsid w:val="00756CDC"/>
    <w:rsid w:val="00757A7B"/>
    <w:rsid w:val="00760394"/>
    <w:rsid w:val="00760FA2"/>
    <w:rsid w:val="00761C2E"/>
    <w:rsid w:val="00762F38"/>
    <w:rsid w:val="007630CC"/>
    <w:rsid w:val="00763AF4"/>
    <w:rsid w:val="0076486D"/>
    <w:rsid w:val="007648B4"/>
    <w:rsid w:val="00764F2D"/>
    <w:rsid w:val="007658C9"/>
    <w:rsid w:val="0076596D"/>
    <w:rsid w:val="00765B7C"/>
    <w:rsid w:val="00765CB2"/>
    <w:rsid w:val="00765E79"/>
    <w:rsid w:val="00766FA9"/>
    <w:rsid w:val="0076703F"/>
    <w:rsid w:val="00767C04"/>
    <w:rsid w:val="00770385"/>
    <w:rsid w:val="0077198B"/>
    <w:rsid w:val="00772554"/>
    <w:rsid w:val="00772B83"/>
    <w:rsid w:val="00772EBA"/>
    <w:rsid w:val="007730CD"/>
    <w:rsid w:val="007733C8"/>
    <w:rsid w:val="00775316"/>
    <w:rsid w:val="007767A2"/>
    <w:rsid w:val="00777578"/>
    <w:rsid w:val="00777B81"/>
    <w:rsid w:val="00782DCB"/>
    <w:rsid w:val="007839C8"/>
    <w:rsid w:val="00783B4A"/>
    <w:rsid w:val="00783DBA"/>
    <w:rsid w:val="0078402F"/>
    <w:rsid w:val="00784CB7"/>
    <w:rsid w:val="00784E52"/>
    <w:rsid w:val="0078555D"/>
    <w:rsid w:val="00785F2A"/>
    <w:rsid w:val="007860FF"/>
    <w:rsid w:val="00786A7D"/>
    <w:rsid w:val="00787304"/>
    <w:rsid w:val="007906A9"/>
    <w:rsid w:val="00791B53"/>
    <w:rsid w:val="00791D6E"/>
    <w:rsid w:val="0079207E"/>
    <w:rsid w:val="00792D78"/>
    <w:rsid w:val="00792ED3"/>
    <w:rsid w:val="0079343A"/>
    <w:rsid w:val="00794031"/>
    <w:rsid w:val="00794255"/>
    <w:rsid w:val="0079456E"/>
    <w:rsid w:val="0079478E"/>
    <w:rsid w:val="007955F6"/>
    <w:rsid w:val="00795D75"/>
    <w:rsid w:val="00796E8F"/>
    <w:rsid w:val="00797256"/>
    <w:rsid w:val="00797743"/>
    <w:rsid w:val="007979F1"/>
    <w:rsid w:val="00797D6E"/>
    <w:rsid w:val="007A33D8"/>
    <w:rsid w:val="007A3454"/>
    <w:rsid w:val="007A36D1"/>
    <w:rsid w:val="007A42BA"/>
    <w:rsid w:val="007A5B98"/>
    <w:rsid w:val="007A71EB"/>
    <w:rsid w:val="007A73CE"/>
    <w:rsid w:val="007B0881"/>
    <w:rsid w:val="007B1699"/>
    <w:rsid w:val="007B26BD"/>
    <w:rsid w:val="007B43C0"/>
    <w:rsid w:val="007B51BF"/>
    <w:rsid w:val="007B5398"/>
    <w:rsid w:val="007B6212"/>
    <w:rsid w:val="007B6288"/>
    <w:rsid w:val="007C04FF"/>
    <w:rsid w:val="007C2391"/>
    <w:rsid w:val="007C367B"/>
    <w:rsid w:val="007C4429"/>
    <w:rsid w:val="007C454E"/>
    <w:rsid w:val="007C5BD9"/>
    <w:rsid w:val="007C6C94"/>
    <w:rsid w:val="007C7244"/>
    <w:rsid w:val="007C735A"/>
    <w:rsid w:val="007D1248"/>
    <w:rsid w:val="007D1FD9"/>
    <w:rsid w:val="007D26DC"/>
    <w:rsid w:val="007D29A2"/>
    <w:rsid w:val="007D3357"/>
    <w:rsid w:val="007D355A"/>
    <w:rsid w:val="007D395E"/>
    <w:rsid w:val="007D39A2"/>
    <w:rsid w:val="007D3E38"/>
    <w:rsid w:val="007D438D"/>
    <w:rsid w:val="007D4411"/>
    <w:rsid w:val="007D489B"/>
    <w:rsid w:val="007D4F13"/>
    <w:rsid w:val="007D607C"/>
    <w:rsid w:val="007D6CC0"/>
    <w:rsid w:val="007D79F1"/>
    <w:rsid w:val="007E071E"/>
    <w:rsid w:val="007E07A6"/>
    <w:rsid w:val="007E1274"/>
    <w:rsid w:val="007E2592"/>
    <w:rsid w:val="007E2B91"/>
    <w:rsid w:val="007E4B0A"/>
    <w:rsid w:val="007E52C6"/>
    <w:rsid w:val="007E5BFB"/>
    <w:rsid w:val="007F105F"/>
    <w:rsid w:val="007F2E2E"/>
    <w:rsid w:val="007F30E2"/>
    <w:rsid w:val="007F353C"/>
    <w:rsid w:val="007F452C"/>
    <w:rsid w:val="007F4D80"/>
    <w:rsid w:val="007F53F5"/>
    <w:rsid w:val="007F63B2"/>
    <w:rsid w:val="007F7593"/>
    <w:rsid w:val="00801585"/>
    <w:rsid w:val="00801E57"/>
    <w:rsid w:val="008034AE"/>
    <w:rsid w:val="00804BB7"/>
    <w:rsid w:val="00805B4F"/>
    <w:rsid w:val="0080634F"/>
    <w:rsid w:val="0080644F"/>
    <w:rsid w:val="00806476"/>
    <w:rsid w:val="008069B2"/>
    <w:rsid w:val="00806F5C"/>
    <w:rsid w:val="00807800"/>
    <w:rsid w:val="00810A8E"/>
    <w:rsid w:val="008121C1"/>
    <w:rsid w:val="008127BA"/>
    <w:rsid w:val="00812A0D"/>
    <w:rsid w:val="00812B08"/>
    <w:rsid w:val="00814786"/>
    <w:rsid w:val="00814D6F"/>
    <w:rsid w:val="00814FD4"/>
    <w:rsid w:val="0081588B"/>
    <w:rsid w:val="008159BD"/>
    <w:rsid w:val="008161D3"/>
    <w:rsid w:val="00816448"/>
    <w:rsid w:val="008165E6"/>
    <w:rsid w:val="00816649"/>
    <w:rsid w:val="00816C0E"/>
    <w:rsid w:val="00816E8B"/>
    <w:rsid w:val="00817510"/>
    <w:rsid w:val="008176A9"/>
    <w:rsid w:val="008177AA"/>
    <w:rsid w:val="00817986"/>
    <w:rsid w:val="008179C8"/>
    <w:rsid w:val="00820232"/>
    <w:rsid w:val="008206F5"/>
    <w:rsid w:val="008208D8"/>
    <w:rsid w:val="00821703"/>
    <w:rsid w:val="00821882"/>
    <w:rsid w:val="00822A62"/>
    <w:rsid w:val="008236A8"/>
    <w:rsid w:val="00823801"/>
    <w:rsid w:val="00823959"/>
    <w:rsid w:val="00823E9A"/>
    <w:rsid w:val="008253B7"/>
    <w:rsid w:val="008255A6"/>
    <w:rsid w:val="0082653F"/>
    <w:rsid w:val="008266B5"/>
    <w:rsid w:val="00826D17"/>
    <w:rsid w:val="008303F2"/>
    <w:rsid w:val="00830B75"/>
    <w:rsid w:val="0083102C"/>
    <w:rsid w:val="00832D70"/>
    <w:rsid w:val="00833B29"/>
    <w:rsid w:val="00834A41"/>
    <w:rsid w:val="008350D8"/>
    <w:rsid w:val="00835214"/>
    <w:rsid w:val="00835EAC"/>
    <w:rsid w:val="008361A4"/>
    <w:rsid w:val="00836CB3"/>
    <w:rsid w:val="0083744E"/>
    <w:rsid w:val="00837A9D"/>
    <w:rsid w:val="008406E4"/>
    <w:rsid w:val="008410E4"/>
    <w:rsid w:val="00841E62"/>
    <w:rsid w:val="008421E5"/>
    <w:rsid w:val="00842633"/>
    <w:rsid w:val="008426C1"/>
    <w:rsid w:val="00842934"/>
    <w:rsid w:val="00842E3C"/>
    <w:rsid w:val="008462C8"/>
    <w:rsid w:val="00846920"/>
    <w:rsid w:val="008500DC"/>
    <w:rsid w:val="00850563"/>
    <w:rsid w:val="00851B50"/>
    <w:rsid w:val="00852502"/>
    <w:rsid w:val="00853C5F"/>
    <w:rsid w:val="00854779"/>
    <w:rsid w:val="0085587D"/>
    <w:rsid w:val="008565AD"/>
    <w:rsid w:val="00861CA7"/>
    <w:rsid w:val="00862AB8"/>
    <w:rsid w:val="00863417"/>
    <w:rsid w:val="00863D38"/>
    <w:rsid w:val="00867A01"/>
    <w:rsid w:val="0087085D"/>
    <w:rsid w:val="00870C79"/>
    <w:rsid w:val="00871B78"/>
    <w:rsid w:val="00871F72"/>
    <w:rsid w:val="00872058"/>
    <w:rsid w:val="008724A1"/>
    <w:rsid w:val="00872545"/>
    <w:rsid w:val="00873718"/>
    <w:rsid w:val="00873A11"/>
    <w:rsid w:val="00875F1D"/>
    <w:rsid w:val="00876D3E"/>
    <w:rsid w:val="00876FD3"/>
    <w:rsid w:val="0088177C"/>
    <w:rsid w:val="008843B6"/>
    <w:rsid w:val="00884BFF"/>
    <w:rsid w:val="008858B6"/>
    <w:rsid w:val="008862D1"/>
    <w:rsid w:val="00886D6D"/>
    <w:rsid w:val="00887A6F"/>
    <w:rsid w:val="00890493"/>
    <w:rsid w:val="008911A0"/>
    <w:rsid w:val="00892875"/>
    <w:rsid w:val="00892F39"/>
    <w:rsid w:val="00893806"/>
    <w:rsid w:val="0089427A"/>
    <w:rsid w:val="00895C35"/>
    <w:rsid w:val="0089625D"/>
    <w:rsid w:val="008962D3"/>
    <w:rsid w:val="0089747C"/>
    <w:rsid w:val="00897BF3"/>
    <w:rsid w:val="00897F16"/>
    <w:rsid w:val="008A11A8"/>
    <w:rsid w:val="008A11AD"/>
    <w:rsid w:val="008A1ED3"/>
    <w:rsid w:val="008A225A"/>
    <w:rsid w:val="008A38BA"/>
    <w:rsid w:val="008A394C"/>
    <w:rsid w:val="008A55AC"/>
    <w:rsid w:val="008A5A45"/>
    <w:rsid w:val="008A5B01"/>
    <w:rsid w:val="008A63FC"/>
    <w:rsid w:val="008A66B5"/>
    <w:rsid w:val="008A753E"/>
    <w:rsid w:val="008A7A0E"/>
    <w:rsid w:val="008B07B7"/>
    <w:rsid w:val="008B1230"/>
    <w:rsid w:val="008B1333"/>
    <w:rsid w:val="008B1889"/>
    <w:rsid w:val="008B282F"/>
    <w:rsid w:val="008B3725"/>
    <w:rsid w:val="008B4B92"/>
    <w:rsid w:val="008B6127"/>
    <w:rsid w:val="008B6ADB"/>
    <w:rsid w:val="008B6B40"/>
    <w:rsid w:val="008C01EC"/>
    <w:rsid w:val="008C053C"/>
    <w:rsid w:val="008C05FC"/>
    <w:rsid w:val="008C06BA"/>
    <w:rsid w:val="008C08E1"/>
    <w:rsid w:val="008C0C2D"/>
    <w:rsid w:val="008C21C2"/>
    <w:rsid w:val="008C37D9"/>
    <w:rsid w:val="008C427A"/>
    <w:rsid w:val="008C4584"/>
    <w:rsid w:val="008C5EB2"/>
    <w:rsid w:val="008C70F5"/>
    <w:rsid w:val="008C7680"/>
    <w:rsid w:val="008D0C8F"/>
    <w:rsid w:val="008D1380"/>
    <w:rsid w:val="008D14B4"/>
    <w:rsid w:val="008D1E06"/>
    <w:rsid w:val="008D2D07"/>
    <w:rsid w:val="008D2DDB"/>
    <w:rsid w:val="008D3FC3"/>
    <w:rsid w:val="008D4366"/>
    <w:rsid w:val="008D5652"/>
    <w:rsid w:val="008D5A90"/>
    <w:rsid w:val="008D66B7"/>
    <w:rsid w:val="008D6B4F"/>
    <w:rsid w:val="008D6B70"/>
    <w:rsid w:val="008D6C38"/>
    <w:rsid w:val="008D72BA"/>
    <w:rsid w:val="008D7F2E"/>
    <w:rsid w:val="008E0EB1"/>
    <w:rsid w:val="008E14D7"/>
    <w:rsid w:val="008E1AD5"/>
    <w:rsid w:val="008E1FB6"/>
    <w:rsid w:val="008E278D"/>
    <w:rsid w:val="008E3668"/>
    <w:rsid w:val="008E3C9A"/>
    <w:rsid w:val="008E434C"/>
    <w:rsid w:val="008E446B"/>
    <w:rsid w:val="008E4B64"/>
    <w:rsid w:val="008E5CED"/>
    <w:rsid w:val="008E5F56"/>
    <w:rsid w:val="008E6765"/>
    <w:rsid w:val="008E6FA8"/>
    <w:rsid w:val="008E73FF"/>
    <w:rsid w:val="008E781B"/>
    <w:rsid w:val="008F00F2"/>
    <w:rsid w:val="008F037F"/>
    <w:rsid w:val="008F1406"/>
    <w:rsid w:val="008F27E4"/>
    <w:rsid w:val="008F2C34"/>
    <w:rsid w:val="008F2CEE"/>
    <w:rsid w:val="008F2F19"/>
    <w:rsid w:val="008F2FB1"/>
    <w:rsid w:val="008F3F98"/>
    <w:rsid w:val="008F4B9F"/>
    <w:rsid w:val="008F506F"/>
    <w:rsid w:val="008F515C"/>
    <w:rsid w:val="008F5AC6"/>
    <w:rsid w:val="008F7134"/>
    <w:rsid w:val="008F74BF"/>
    <w:rsid w:val="008F791D"/>
    <w:rsid w:val="008F7ACA"/>
    <w:rsid w:val="008F7BEF"/>
    <w:rsid w:val="008F7DF3"/>
    <w:rsid w:val="00901A99"/>
    <w:rsid w:val="00903513"/>
    <w:rsid w:val="00904748"/>
    <w:rsid w:val="0090536D"/>
    <w:rsid w:val="009053F0"/>
    <w:rsid w:val="00905B88"/>
    <w:rsid w:val="0090614B"/>
    <w:rsid w:val="00906756"/>
    <w:rsid w:val="0090733F"/>
    <w:rsid w:val="00907DC7"/>
    <w:rsid w:val="00910118"/>
    <w:rsid w:val="00910220"/>
    <w:rsid w:val="009113C3"/>
    <w:rsid w:val="009117D6"/>
    <w:rsid w:val="00911AE3"/>
    <w:rsid w:val="00912550"/>
    <w:rsid w:val="00912967"/>
    <w:rsid w:val="00912B31"/>
    <w:rsid w:val="00912DC2"/>
    <w:rsid w:val="00912EA4"/>
    <w:rsid w:val="009134D1"/>
    <w:rsid w:val="00913955"/>
    <w:rsid w:val="00913A2E"/>
    <w:rsid w:val="0091420D"/>
    <w:rsid w:val="00915173"/>
    <w:rsid w:val="0091618F"/>
    <w:rsid w:val="00920944"/>
    <w:rsid w:val="00920C8D"/>
    <w:rsid w:val="009210D2"/>
    <w:rsid w:val="009218D3"/>
    <w:rsid w:val="009220C5"/>
    <w:rsid w:val="0092229A"/>
    <w:rsid w:val="00923100"/>
    <w:rsid w:val="00923D97"/>
    <w:rsid w:val="0092575D"/>
    <w:rsid w:val="009258E5"/>
    <w:rsid w:val="00925A7B"/>
    <w:rsid w:val="009267F5"/>
    <w:rsid w:val="009303BB"/>
    <w:rsid w:val="009306C4"/>
    <w:rsid w:val="00931B7C"/>
    <w:rsid w:val="00931BD2"/>
    <w:rsid w:val="00932D46"/>
    <w:rsid w:val="00934F9C"/>
    <w:rsid w:val="009354F2"/>
    <w:rsid w:val="009354F9"/>
    <w:rsid w:val="00937AD8"/>
    <w:rsid w:val="009404B7"/>
    <w:rsid w:val="00940727"/>
    <w:rsid w:val="00941990"/>
    <w:rsid w:val="00942E24"/>
    <w:rsid w:val="009431BC"/>
    <w:rsid w:val="00943771"/>
    <w:rsid w:val="0094485E"/>
    <w:rsid w:val="00945204"/>
    <w:rsid w:val="009453B1"/>
    <w:rsid w:val="009474C6"/>
    <w:rsid w:val="009514FC"/>
    <w:rsid w:val="009525A7"/>
    <w:rsid w:val="009527BC"/>
    <w:rsid w:val="00953225"/>
    <w:rsid w:val="00954018"/>
    <w:rsid w:val="00955A06"/>
    <w:rsid w:val="00960991"/>
    <w:rsid w:val="009610FD"/>
    <w:rsid w:val="0096146B"/>
    <w:rsid w:val="009618D8"/>
    <w:rsid w:val="00963771"/>
    <w:rsid w:val="009643FE"/>
    <w:rsid w:val="00964B97"/>
    <w:rsid w:val="00965010"/>
    <w:rsid w:val="0096692D"/>
    <w:rsid w:val="0096777E"/>
    <w:rsid w:val="00967D90"/>
    <w:rsid w:val="00970028"/>
    <w:rsid w:val="00970075"/>
    <w:rsid w:val="0097009D"/>
    <w:rsid w:val="00970DDF"/>
    <w:rsid w:val="00971122"/>
    <w:rsid w:val="0097136D"/>
    <w:rsid w:val="009713D1"/>
    <w:rsid w:val="00971FAE"/>
    <w:rsid w:val="009724C4"/>
    <w:rsid w:val="00972852"/>
    <w:rsid w:val="00972CED"/>
    <w:rsid w:val="009745C9"/>
    <w:rsid w:val="00975562"/>
    <w:rsid w:val="00975918"/>
    <w:rsid w:val="00975959"/>
    <w:rsid w:val="00975E68"/>
    <w:rsid w:val="00976C49"/>
    <w:rsid w:val="009775F4"/>
    <w:rsid w:val="00977D93"/>
    <w:rsid w:val="00980FF9"/>
    <w:rsid w:val="0098129F"/>
    <w:rsid w:val="009824B2"/>
    <w:rsid w:val="009836DB"/>
    <w:rsid w:val="00983D87"/>
    <w:rsid w:val="00984F4C"/>
    <w:rsid w:val="009859A1"/>
    <w:rsid w:val="00985F16"/>
    <w:rsid w:val="00986189"/>
    <w:rsid w:val="009865F5"/>
    <w:rsid w:val="00986B36"/>
    <w:rsid w:val="00987998"/>
    <w:rsid w:val="00987DED"/>
    <w:rsid w:val="0099062E"/>
    <w:rsid w:val="00990C41"/>
    <w:rsid w:val="00992BCA"/>
    <w:rsid w:val="0099495A"/>
    <w:rsid w:val="0099498F"/>
    <w:rsid w:val="0099579A"/>
    <w:rsid w:val="0099595A"/>
    <w:rsid w:val="00996D53"/>
    <w:rsid w:val="00997154"/>
    <w:rsid w:val="00997F0A"/>
    <w:rsid w:val="009A1CA5"/>
    <w:rsid w:val="009A3181"/>
    <w:rsid w:val="009A3511"/>
    <w:rsid w:val="009A3BDA"/>
    <w:rsid w:val="009A4040"/>
    <w:rsid w:val="009A470D"/>
    <w:rsid w:val="009A5D6C"/>
    <w:rsid w:val="009A602E"/>
    <w:rsid w:val="009B11F8"/>
    <w:rsid w:val="009B16DE"/>
    <w:rsid w:val="009B30F3"/>
    <w:rsid w:val="009B3871"/>
    <w:rsid w:val="009B402D"/>
    <w:rsid w:val="009B4C6B"/>
    <w:rsid w:val="009B5D05"/>
    <w:rsid w:val="009B5D93"/>
    <w:rsid w:val="009B613A"/>
    <w:rsid w:val="009B6F8C"/>
    <w:rsid w:val="009B7677"/>
    <w:rsid w:val="009B7861"/>
    <w:rsid w:val="009B7FCF"/>
    <w:rsid w:val="009C0644"/>
    <w:rsid w:val="009C2957"/>
    <w:rsid w:val="009C2CEB"/>
    <w:rsid w:val="009C49CD"/>
    <w:rsid w:val="009C4A9F"/>
    <w:rsid w:val="009C787D"/>
    <w:rsid w:val="009C7E7A"/>
    <w:rsid w:val="009D043F"/>
    <w:rsid w:val="009D06F4"/>
    <w:rsid w:val="009D0ABE"/>
    <w:rsid w:val="009D13F9"/>
    <w:rsid w:val="009D23EC"/>
    <w:rsid w:val="009D3901"/>
    <w:rsid w:val="009D5385"/>
    <w:rsid w:val="009D5AD5"/>
    <w:rsid w:val="009D6471"/>
    <w:rsid w:val="009D6626"/>
    <w:rsid w:val="009D6C56"/>
    <w:rsid w:val="009D7C75"/>
    <w:rsid w:val="009D7D0F"/>
    <w:rsid w:val="009D7F04"/>
    <w:rsid w:val="009E0485"/>
    <w:rsid w:val="009E0F74"/>
    <w:rsid w:val="009E14F6"/>
    <w:rsid w:val="009E1AF5"/>
    <w:rsid w:val="009E3614"/>
    <w:rsid w:val="009E3F9A"/>
    <w:rsid w:val="009E55CC"/>
    <w:rsid w:val="009F2B55"/>
    <w:rsid w:val="009F3A05"/>
    <w:rsid w:val="009F5160"/>
    <w:rsid w:val="009F54C2"/>
    <w:rsid w:val="009F5CFE"/>
    <w:rsid w:val="009F6A3B"/>
    <w:rsid w:val="009F79E8"/>
    <w:rsid w:val="00A01A98"/>
    <w:rsid w:val="00A01D99"/>
    <w:rsid w:val="00A02716"/>
    <w:rsid w:val="00A039A0"/>
    <w:rsid w:val="00A0441B"/>
    <w:rsid w:val="00A0454E"/>
    <w:rsid w:val="00A04CAB"/>
    <w:rsid w:val="00A0525A"/>
    <w:rsid w:val="00A05E88"/>
    <w:rsid w:val="00A1051B"/>
    <w:rsid w:val="00A10A67"/>
    <w:rsid w:val="00A10B20"/>
    <w:rsid w:val="00A110AF"/>
    <w:rsid w:val="00A12A0F"/>
    <w:rsid w:val="00A1326B"/>
    <w:rsid w:val="00A132D5"/>
    <w:rsid w:val="00A1376A"/>
    <w:rsid w:val="00A13B3F"/>
    <w:rsid w:val="00A13BBF"/>
    <w:rsid w:val="00A13C8C"/>
    <w:rsid w:val="00A14B9E"/>
    <w:rsid w:val="00A15498"/>
    <w:rsid w:val="00A154CB"/>
    <w:rsid w:val="00A16293"/>
    <w:rsid w:val="00A1677F"/>
    <w:rsid w:val="00A17954"/>
    <w:rsid w:val="00A17D66"/>
    <w:rsid w:val="00A2036E"/>
    <w:rsid w:val="00A2248A"/>
    <w:rsid w:val="00A23F14"/>
    <w:rsid w:val="00A24A84"/>
    <w:rsid w:val="00A2563B"/>
    <w:rsid w:val="00A25699"/>
    <w:rsid w:val="00A25B86"/>
    <w:rsid w:val="00A262C5"/>
    <w:rsid w:val="00A26E3B"/>
    <w:rsid w:val="00A26EE9"/>
    <w:rsid w:val="00A27383"/>
    <w:rsid w:val="00A27BA8"/>
    <w:rsid w:val="00A27EA0"/>
    <w:rsid w:val="00A305AB"/>
    <w:rsid w:val="00A31682"/>
    <w:rsid w:val="00A326D4"/>
    <w:rsid w:val="00A3296B"/>
    <w:rsid w:val="00A33107"/>
    <w:rsid w:val="00A3371E"/>
    <w:rsid w:val="00A34204"/>
    <w:rsid w:val="00A343E6"/>
    <w:rsid w:val="00A345B1"/>
    <w:rsid w:val="00A3461F"/>
    <w:rsid w:val="00A347A0"/>
    <w:rsid w:val="00A3493D"/>
    <w:rsid w:val="00A34D5C"/>
    <w:rsid w:val="00A3514F"/>
    <w:rsid w:val="00A35738"/>
    <w:rsid w:val="00A3623F"/>
    <w:rsid w:val="00A36319"/>
    <w:rsid w:val="00A366E3"/>
    <w:rsid w:val="00A36A2F"/>
    <w:rsid w:val="00A36F31"/>
    <w:rsid w:val="00A378DD"/>
    <w:rsid w:val="00A37DEC"/>
    <w:rsid w:val="00A40011"/>
    <w:rsid w:val="00A4128D"/>
    <w:rsid w:val="00A41BDF"/>
    <w:rsid w:val="00A41E4C"/>
    <w:rsid w:val="00A421B2"/>
    <w:rsid w:val="00A425AF"/>
    <w:rsid w:val="00A42A38"/>
    <w:rsid w:val="00A42D6B"/>
    <w:rsid w:val="00A432FA"/>
    <w:rsid w:val="00A436AF"/>
    <w:rsid w:val="00A44C82"/>
    <w:rsid w:val="00A456B4"/>
    <w:rsid w:val="00A456CD"/>
    <w:rsid w:val="00A45732"/>
    <w:rsid w:val="00A45E02"/>
    <w:rsid w:val="00A46736"/>
    <w:rsid w:val="00A47106"/>
    <w:rsid w:val="00A50326"/>
    <w:rsid w:val="00A505F2"/>
    <w:rsid w:val="00A507B5"/>
    <w:rsid w:val="00A50F54"/>
    <w:rsid w:val="00A51486"/>
    <w:rsid w:val="00A5157F"/>
    <w:rsid w:val="00A535D6"/>
    <w:rsid w:val="00A53BA6"/>
    <w:rsid w:val="00A54301"/>
    <w:rsid w:val="00A5542C"/>
    <w:rsid w:val="00A558E9"/>
    <w:rsid w:val="00A56E81"/>
    <w:rsid w:val="00A57213"/>
    <w:rsid w:val="00A5785A"/>
    <w:rsid w:val="00A578B3"/>
    <w:rsid w:val="00A5797F"/>
    <w:rsid w:val="00A603A8"/>
    <w:rsid w:val="00A604AC"/>
    <w:rsid w:val="00A60767"/>
    <w:rsid w:val="00A607A6"/>
    <w:rsid w:val="00A62E43"/>
    <w:rsid w:val="00A62FFA"/>
    <w:rsid w:val="00A64CFD"/>
    <w:rsid w:val="00A64E51"/>
    <w:rsid w:val="00A6540C"/>
    <w:rsid w:val="00A65674"/>
    <w:rsid w:val="00A65D2B"/>
    <w:rsid w:val="00A65D71"/>
    <w:rsid w:val="00A66B2B"/>
    <w:rsid w:val="00A66F5A"/>
    <w:rsid w:val="00A67845"/>
    <w:rsid w:val="00A70F29"/>
    <w:rsid w:val="00A7181D"/>
    <w:rsid w:val="00A72310"/>
    <w:rsid w:val="00A72B06"/>
    <w:rsid w:val="00A73815"/>
    <w:rsid w:val="00A73CBE"/>
    <w:rsid w:val="00A74558"/>
    <w:rsid w:val="00A75EDF"/>
    <w:rsid w:val="00A76C0A"/>
    <w:rsid w:val="00A76E39"/>
    <w:rsid w:val="00A7716E"/>
    <w:rsid w:val="00A77739"/>
    <w:rsid w:val="00A77888"/>
    <w:rsid w:val="00A77DE7"/>
    <w:rsid w:val="00A80900"/>
    <w:rsid w:val="00A81042"/>
    <w:rsid w:val="00A810E9"/>
    <w:rsid w:val="00A81455"/>
    <w:rsid w:val="00A81C27"/>
    <w:rsid w:val="00A82347"/>
    <w:rsid w:val="00A824D1"/>
    <w:rsid w:val="00A8327A"/>
    <w:rsid w:val="00A8332E"/>
    <w:rsid w:val="00A83E56"/>
    <w:rsid w:val="00A84C39"/>
    <w:rsid w:val="00A855A9"/>
    <w:rsid w:val="00A8588E"/>
    <w:rsid w:val="00A87E51"/>
    <w:rsid w:val="00A905E6"/>
    <w:rsid w:val="00A911CB"/>
    <w:rsid w:val="00A91A47"/>
    <w:rsid w:val="00A91A72"/>
    <w:rsid w:val="00A91B43"/>
    <w:rsid w:val="00A91C99"/>
    <w:rsid w:val="00A92E7E"/>
    <w:rsid w:val="00A934EE"/>
    <w:rsid w:val="00A94367"/>
    <w:rsid w:val="00A958EB"/>
    <w:rsid w:val="00A96206"/>
    <w:rsid w:val="00AA012A"/>
    <w:rsid w:val="00AA036C"/>
    <w:rsid w:val="00AA03D6"/>
    <w:rsid w:val="00AA1FFA"/>
    <w:rsid w:val="00AA203D"/>
    <w:rsid w:val="00AA3644"/>
    <w:rsid w:val="00AA3A91"/>
    <w:rsid w:val="00AA41EE"/>
    <w:rsid w:val="00AA474F"/>
    <w:rsid w:val="00AA57AC"/>
    <w:rsid w:val="00AA5BBC"/>
    <w:rsid w:val="00AA629A"/>
    <w:rsid w:val="00AA72D8"/>
    <w:rsid w:val="00AA7380"/>
    <w:rsid w:val="00AA7410"/>
    <w:rsid w:val="00AB19F8"/>
    <w:rsid w:val="00AB1A8D"/>
    <w:rsid w:val="00AB2030"/>
    <w:rsid w:val="00AB2111"/>
    <w:rsid w:val="00AB2CC5"/>
    <w:rsid w:val="00AB31D4"/>
    <w:rsid w:val="00AB3F29"/>
    <w:rsid w:val="00AB40CD"/>
    <w:rsid w:val="00AB574E"/>
    <w:rsid w:val="00AB5AAB"/>
    <w:rsid w:val="00AB6487"/>
    <w:rsid w:val="00AB6648"/>
    <w:rsid w:val="00AB6C1C"/>
    <w:rsid w:val="00AC0603"/>
    <w:rsid w:val="00AC100B"/>
    <w:rsid w:val="00AC25E4"/>
    <w:rsid w:val="00AC3BF7"/>
    <w:rsid w:val="00AC3EF3"/>
    <w:rsid w:val="00AC40CA"/>
    <w:rsid w:val="00AC4461"/>
    <w:rsid w:val="00AC4856"/>
    <w:rsid w:val="00AC4B68"/>
    <w:rsid w:val="00AC5AD4"/>
    <w:rsid w:val="00AC6249"/>
    <w:rsid w:val="00AC71C7"/>
    <w:rsid w:val="00AC7520"/>
    <w:rsid w:val="00AC7C18"/>
    <w:rsid w:val="00AD1675"/>
    <w:rsid w:val="00AD17D0"/>
    <w:rsid w:val="00AD1FE8"/>
    <w:rsid w:val="00AD22EF"/>
    <w:rsid w:val="00AD281D"/>
    <w:rsid w:val="00AD4024"/>
    <w:rsid w:val="00AD4773"/>
    <w:rsid w:val="00AD53A9"/>
    <w:rsid w:val="00AD5C99"/>
    <w:rsid w:val="00AD63F4"/>
    <w:rsid w:val="00AD64BA"/>
    <w:rsid w:val="00AD7C45"/>
    <w:rsid w:val="00AE0271"/>
    <w:rsid w:val="00AE0300"/>
    <w:rsid w:val="00AE0551"/>
    <w:rsid w:val="00AE0F9D"/>
    <w:rsid w:val="00AE2458"/>
    <w:rsid w:val="00AE2788"/>
    <w:rsid w:val="00AE4D4E"/>
    <w:rsid w:val="00AE52AC"/>
    <w:rsid w:val="00AE57A3"/>
    <w:rsid w:val="00AE6FB8"/>
    <w:rsid w:val="00AF1264"/>
    <w:rsid w:val="00AF1E18"/>
    <w:rsid w:val="00AF4396"/>
    <w:rsid w:val="00AF484D"/>
    <w:rsid w:val="00AF6139"/>
    <w:rsid w:val="00AF631C"/>
    <w:rsid w:val="00AF6C73"/>
    <w:rsid w:val="00AF7DA5"/>
    <w:rsid w:val="00B02C6C"/>
    <w:rsid w:val="00B02FCC"/>
    <w:rsid w:val="00B0320B"/>
    <w:rsid w:val="00B03350"/>
    <w:rsid w:val="00B03DDA"/>
    <w:rsid w:val="00B0489B"/>
    <w:rsid w:val="00B062C2"/>
    <w:rsid w:val="00B06392"/>
    <w:rsid w:val="00B1170F"/>
    <w:rsid w:val="00B11A2D"/>
    <w:rsid w:val="00B1244A"/>
    <w:rsid w:val="00B12AB8"/>
    <w:rsid w:val="00B12F7E"/>
    <w:rsid w:val="00B135DC"/>
    <w:rsid w:val="00B1486F"/>
    <w:rsid w:val="00B1597D"/>
    <w:rsid w:val="00B15AB0"/>
    <w:rsid w:val="00B15B9D"/>
    <w:rsid w:val="00B16453"/>
    <w:rsid w:val="00B16586"/>
    <w:rsid w:val="00B1662B"/>
    <w:rsid w:val="00B166AC"/>
    <w:rsid w:val="00B16B0F"/>
    <w:rsid w:val="00B1769B"/>
    <w:rsid w:val="00B17730"/>
    <w:rsid w:val="00B17E1C"/>
    <w:rsid w:val="00B20761"/>
    <w:rsid w:val="00B21860"/>
    <w:rsid w:val="00B2242A"/>
    <w:rsid w:val="00B22A5A"/>
    <w:rsid w:val="00B236A6"/>
    <w:rsid w:val="00B24240"/>
    <w:rsid w:val="00B247E1"/>
    <w:rsid w:val="00B24833"/>
    <w:rsid w:val="00B24CEF"/>
    <w:rsid w:val="00B25024"/>
    <w:rsid w:val="00B25349"/>
    <w:rsid w:val="00B253FD"/>
    <w:rsid w:val="00B2634B"/>
    <w:rsid w:val="00B308B7"/>
    <w:rsid w:val="00B309FF"/>
    <w:rsid w:val="00B3231F"/>
    <w:rsid w:val="00B326DB"/>
    <w:rsid w:val="00B327D5"/>
    <w:rsid w:val="00B32908"/>
    <w:rsid w:val="00B32C5F"/>
    <w:rsid w:val="00B32DB0"/>
    <w:rsid w:val="00B33B78"/>
    <w:rsid w:val="00B34E05"/>
    <w:rsid w:val="00B36173"/>
    <w:rsid w:val="00B36709"/>
    <w:rsid w:val="00B36824"/>
    <w:rsid w:val="00B379B8"/>
    <w:rsid w:val="00B37B16"/>
    <w:rsid w:val="00B37C7C"/>
    <w:rsid w:val="00B37FB6"/>
    <w:rsid w:val="00B40667"/>
    <w:rsid w:val="00B41258"/>
    <w:rsid w:val="00B416A7"/>
    <w:rsid w:val="00B41E29"/>
    <w:rsid w:val="00B42A98"/>
    <w:rsid w:val="00B437E1"/>
    <w:rsid w:val="00B44DEC"/>
    <w:rsid w:val="00B459C4"/>
    <w:rsid w:val="00B45BD2"/>
    <w:rsid w:val="00B4730D"/>
    <w:rsid w:val="00B47628"/>
    <w:rsid w:val="00B51661"/>
    <w:rsid w:val="00B51DFB"/>
    <w:rsid w:val="00B5234C"/>
    <w:rsid w:val="00B52899"/>
    <w:rsid w:val="00B53AD9"/>
    <w:rsid w:val="00B54965"/>
    <w:rsid w:val="00B54D9F"/>
    <w:rsid w:val="00B553DF"/>
    <w:rsid w:val="00B55860"/>
    <w:rsid w:val="00B56428"/>
    <w:rsid w:val="00B57E58"/>
    <w:rsid w:val="00B612CB"/>
    <w:rsid w:val="00B6140D"/>
    <w:rsid w:val="00B631E6"/>
    <w:rsid w:val="00B633CB"/>
    <w:rsid w:val="00B6343A"/>
    <w:rsid w:val="00B63BED"/>
    <w:rsid w:val="00B64206"/>
    <w:rsid w:val="00B64700"/>
    <w:rsid w:val="00B6517A"/>
    <w:rsid w:val="00B65D26"/>
    <w:rsid w:val="00B6712E"/>
    <w:rsid w:val="00B672C4"/>
    <w:rsid w:val="00B67690"/>
    <w:rsid w:val="00B703DC"/>
    <w:rsid w:val="00B71B39"/>
    <w:rsid w:val="00B71E53"/>
    <w:rsid w:val="00B72383"/>
    <w:rsid w:val="00B73F4F"/>
    <w:rsid w:val="00B7453D"/>
    <w:rsid w:val="00B74864"/>
    <w:rsid w:val="00B768C1"/>
    <w:rsid w:val="00B80490"/>
    <w:rsid w:val="00B804C3"/>
    <w:rsid w:val="00B806D7"/>
    <w:rsid w:val="00B8078A"/>
    <w:rsid w:val="00B80A48"/>
    <w:rsid w:val="00B80E18"/>
    <w:rsid w:val="00B81116"/>
    <w:rsid w:val="00B8148C"/>
    <w:rsid w:val="00B81E45"/>
    <w:rsid w:val="00B8287A"/>
    <w:rsid w:val="00B82F44"/>
    <w:rsid w:val="00B83721"/>
    <w:rsid w:val="00B84A73"/>
    <w:rsid w:val="00B855A5"/>
    <w:rsid w:val="00B86FA8"/>
    <w:rsid w:val="00B8743D"/>
    <w:rsid w:val="00B8755E"/>
    <w:rsid w:val="00B8790D"/>
    <w:rsid w:val="00B90CF0"/>
    <w:rsid w:val="00B91A97"/>
    <w:rsid w:val="00B922A8"/>
    <w:rsid w:val="00B92540"/>
    <w:rsid w:val="00B92E8B"/>
    <w:rsid w:val="00B9327B"/>
    <w:rsid w:val="00B93C92"/>
    <w:rsid w:val="00B949B8"/>
    <w:rsid w:val="00B94B12"/>
    <w:rsid w:val="00B94BF4"/>
    <w:rsid w:val="00B950D9"/>
    <w:rsid w:val="00B963D5"/>
    <w:rsid w:val="00B96822"/>
    <w:rsid w:val="00B970E4"/>
    <w:rsid w:val="00BA14BF"/>
    <w:rsid w:val="00BA3D56"/>
    <w:rsid w:val="00BA4258"/>
    <w:rsid w:val="00BA51D9"/>
    <w:rsid w:val="00BA531B"/>
    <w:rsid w:val="00BA757F"/>
    <w:rsid w:val="00BA7792"/>
    <w:rsid w:val="00BA77E2"/>
    <w:rsid w:val="00BB01F2"/>
    <w:rsid w:val="00BB0B45"/>
    <w:rsid w:val="00BB0B49"/>
    <w:rsid w:val="00BB0D1C"/>
    <w:rsid w:val="00BB1577"/>
    <w:rsid w:val="00BB2073"/>
    <w:rsid w:val="00BB247F"/>
    <w:rsid w:val="00BB26BD"/>
    <w:rsid w:val="00BB47D4"/>
    <w:rsid w:val="00BB5612"/>
    <w:rsid w:val="00BB6380"/>
    <w:rsid w:val="00BB7BC2"/>
    <w:rsid w:val="00BC0099"/>
    <w:rsid w:val="00BC10E3"/>
    <w:rsid w:val="00BC1301"/>
    <w:rsid w:val="00BC2324"/>
    <w:rsid w:val="00BC3501"/>
    <w:rsid w:val="00BC3518"/>
    <w:rsid w:val="00BC3590"/>
    <w:rsid w:val="00BC3B78"/>
    <w:rsid w:val="00BC4D5A"/>
    <w:rsid w:val="00BC4DB3"/>
    <w:rsid w:val="00BC5BC9"/>
    <w:rsid w:val="00BC761C"/>
    <w:rsid w:val="00BC7773"/>
    <w:rsid w:val="00BD0118"/>
    <w:rsid w:val="00BD1C60"/>
    <w:rsid w:val="00BD1F58"/>
    <w:rsid w:val="00BD3F2A"/>
    <w:rsid w:val="00BD4441"/>
    <w:rsid w:val="00BD4B32"/>
    <w:rsid w:val="00BD5A43"/>
    <w:rsid w:val="00BD68CA"/>
    <w:rsid w:val="00BD771B"/>
    <w:rsid w:val="00BE0CBA"/>
    <w:rsid w:val="00BE0CDF"/>
    <w:rsid w:val="00BE26D1"/>
    <w:rsid w:val="00BE3BAC"/>
    <w:rsid w:val="00BE4AB0"/>
    <w:rsid w:val="00BE5C62"/>
    <w:rsid w:val="00BF0690"/>
    <w:rsid w:val="00BF0A0B"/>
    <w:rsid w:val="00BF0B26"/>
    <w:rsid w:val="00BF162C"/>
    <w:rsid w:val="00BF17C1"/>
    <w:rsid w:val="00BF2CB5"/>
    <w:rsid w:val="00BF30F5"/>
    <w:rsid w:val="00BF322C"/>
    <w:rsid w:val="00BF33D4"/>
    <w:rsid w:val="00BF4217"/>
    <w:rsid w:val="00BF4C37"/>
    <w:rsid w:val="00BF5410"/>
    <w:rsid w:val="00BF54BB"/>
    <w:rsid w:val="00BF6578"/>
    <w:rsid w:val="00BF69FB"/>
    <w:rsid w:val="00BF6D85"/>
    <w:rsid w:val="00BF7758"/>
    <w:rsid w:val="00C0046D"/>
    <w:rsid w:val="00C006C8"/>
    <w:rsid w:val="00C01791"/>
    <w:rsid w:val="00C02582"/>
    <w:rsid w:val="00C03920"/>
    <w:rsid w:val="00C0408A"/>
    <w:rsid w:val="00C046F7"/>
    <w:rsid w:val="00C04FF4"/>
    <w:rsid w:val="00C059FA"/>
    <w:rsid w:val="00C05F68"/>
    <w:rsid w:val="00C064AA"/>
    <w:rsid w:val="00C071FD"/>
    <w:rsid w:val="00C077C0"/>
    <w:rsid w:val="00C07BEB"/>
    <w:rsid w:val="00C10AA6"/>
    <w:rsid w:val="00C10DC7"/>
    <w:rsid w:val="00C114CC"/>
    <w:rsid w:val="00C1199D"/>
    <w:rsid w:val="00C12B20"/>
    <w:rsid w:val="00C12F40"/>
    <w:rsid w:val="00C134D4"/>
    <w:rsid w:val="00C14AF8"/>
    <w:rsid w:val="00C14C15"/>
    <w:rsid w:val="00C160D1"/>
    <w:rsid w:val="00C1753B"/>
    <w:rsid w:val="00C17C22"/>
    <w:rsid w:val="00C20967"/>
    <w:rsid w:val="00C209B5"/>
    <w:rsid w:val="00C220C9"/>
    <w:rsid w:val="00C22DFD"/>
    <w:rsid w:val="00C23495"/>
    <w:rsid w:val="00C23614"/>
    <w:rsid w:val="00C23938"/>
    <w:rsid w:val="00C23C82"/>
    <w:rsid w:val="00C23CE4"/>
    <w:rsid w:val="00C24582"/>
    <w:rsid w:val="00C2502F"/>
    <w:rsid w:val="00C252D4"/>
    <w:rsid w:val="00C259AE"/>
    <w:rsid w:val="00C25DC3"/>
    <w:rsid w:val="00C25DE2"/>
    <w:rsid w:val="00C26095"/>
    <w:rsid w:val="00C275D4"/>
    <w:rsid w:val="00C276A8"/>
    <w:rsid w:val="00C27879"/>
    <w:rsid w:val="00C3026E"/>
    <w:rsid w:val="00C304A0"/>
    <w:rsid w:val="00C3097C"/>
    <w:rsid w:val="00C331B4"/>
    <w:rsid w:val="00C33531"/>
    <w:rsid w:val="00C355A8"/>
    <w:rsid w:val="00C357ED"/>
    <w:rsid w:val="00C35AB6"/>
    <w:rsid w:val="00C35B22"/>
    <w:rsid w:val="00C3646C"/>
    <w:rsid w:val="00C3773D"/>
    <w:rsid w:val="00C3787C"/>
    <w:rsid w:val="00C37BF5"/>
    <w:rsid w:val="00C400AF"/>
    <w:rsid w:val="00C414A7"/>
    <w:rsid w:val="00C42A23"/>
    <w:rsid w:val="00C42D0C"/>
    <w:rsid w:val="00C433ED"/>
    <w:rsid w:val="00C459E8"/>
    <w:rsid w:val="00C463CE"/>
    <w:rsid w:val="00C47AD2"/>
    <w:rsid w:val="00C502D7"/>
    <w:rsid w:val="00C51385"/>
    <w:rsid w:val="00C51D7B"/>
    <w:rsid w:val="00C51EDB"/>
    <w:rsid w:val="00C51FCC"/>
    <w:rsid w:val="00C52CA8"/>
    <w:rsid w:val="00C53165"/>
    <w:rsid w:val="00C537C2"/>
    <w:rsid w:val="00C53AC8"/>
    <w:rsid w:val="00C54EBE"/>
    <w:rsid w:val="00C552F9"/>
    <w:rsid w:val="00C56E31"/>
    <w:rsid w:val="00C56E88"/>
    <w:rsid w:val="00C5705E"/>
    <w:rsid w:val="00C5765A"/>
    <w:rsid w:val="00C60336"/>
    <w:rsid w:val="00C6099C"/>
    <w:rsid w:val="00C61AB2"/>
    <w:rsid w:val="00C6221D"/>
    <w:rsid w:val="00C6327E"/>
    <w:rsid w:val="00C634DE"/>
    <w:rsid w:val="00C645A0"/>
    <w:rsid w:val="00C6600F"/>
    <w:rsid w:val="00C7011D"/>
    <w:rsid w:val="00C70844"/>
    <w:rsid w:val="00C7114E"/>
    <w:rsid w:val="00C713AF"/>
    <w:rsid w:val="00C716A8"/>
    <w:rsid w:val="00C72950"/>
    <w:rsid w:val="00C742AE"/>
    <w:rsid w:val="00C75420"/>
    <w:rsid w:val="00C75B00"/>
    <w:rsid w:val="00C75F2D"/>
    <w:rsid w:val="00C816FC"/>
    <w:rsid w:val="00C820C6"/>
    <w:rsid w:val="00C82469"/>
    <w:rsid w:val="00C82AC0"/>
    <w:rsid w:val="00C82BBA"/>
    <w:rsid w:val="00C8371B"/>
    <w:rsid w:val="00C83D6C"/>
    <w:rsid w:val="00C84251"/>
    <w:rsid w:val="00C84C96"/>
    <w:rsid w:val="00C860F4"/>
    <w:rsid w:val="00C863EA"/>
    <w:rsid w:val="00C86886"/>
    <w:rsid w:val="00C92632"/>
    <w:rsid w:val="00C92672"/>
    <w:rsid w:val="00C949C9"/>
    <w:rsid w:val="00C95202"/>
    <w:rsid w:val="00C95A4C"/>
    <w:rsid w:val="00C95C62"/>
    <w:rsid w:val="00C95E66"/>
    <w:rsid w:val="00C976E2"/>
    <w:rsid w:val="00C97BCD"/>
    <w:rsid w:val="00CA0115"/>
    <w:rsid w:val="00CA015F"/>
    <w:rsid w:val="00CA0221"/>
    <w:rsid w:val="00CA22BC"/>
    <w:rsid w:val="00CA2537"/>
    <w:rsid w:val="00CA2983"/>
    <w:rsid w:val="00CA3589"/>
    <w:rsid w:val="00CA388B"/>
    <w:rsid w:val="00CA4B6A"/>
    <w:rsid w:val="00CA52F7"/>
    <w:rsid w:val="00CA5B11"/>
    <w:rsid w:val="00CB0C95"/>
    <w:rsid w:val="00CB134A"/>
    <w:rsid w:val="00CB1C0E"/>
    <w:rsid w:val="00CB2A83"/>
    <w:rsid w:val="00CB3B00"/>
    <w:rsid w:val="00CB3FDF"/>
    <w:rsid w:val="00CB4167"/>
    <w:rsid w:val="00CB44E9"/>
    <w:rsid w:val="00CB4BB2"/>
    <w:rsid w:val="00CB5ACB"/>
    <w:rsid w:val="00CB5FAB"/>
    <w:rsid w:val="00CB6370"/>
    <w:rsid w:val="00CB6B88"/>
    <w:rsid w:val="00CB6C62"/>
    <w:rsid w:val="00CC08F7"/>
    <w:rsid w:val="00CC0D04"/>
    <w:rsid w:val="00CC1E58"/>
    <w:rsid w:val="00CC2661"/>
    <w:rsid w:val="00CC33C7"/>
    <w:rsid w:val="00CC3445"/>
    <w:rsid w:val="00CC36B3"/>
    <w:rsid w:val="00CC44E1"/>
    <w:rsid w:val="00CC54E7"/>
    <w:rsid w:val="00CC5B8E"/>
    <w:rsid w:val="00CC74D6"/>
    <w:rsid w:val="00CD0143"/>
    <w:rsid w:val="00CD2478"/>
    <w:rsid w:val="00CD2735"/>
    <w:rsid w:val="00CD27BE"/>
    <w:rsid w:val="00CD2A1C"/>
    <w:rsid w:val="00CD2BA7"/>
    <w:rsid w:val="00CD2C3B"/>
    <w:rsid w:val="00CD32D2"/>
    <w:rsid w:val="00CD35FA"/>
    <w:rsid w:val="00CD57A9"/>
    <w:rsid w:val="00CD69AA"/>
    <w:rsid w:val="00CD7B22"/>
    <w:rsid w:val="00CE039B"/>
    <w:rsid w:val="00CE1C9A"/>
    <w:rsid w:val="00CE30C4"/>
    <w:rsid w:val="00CE4465"/>
    <w:rsid w:val="00CE4541"/>
    <w:rsid w:val="00CE4CC9"/>
    <w:rsid w:val="00CE510B"/>
    <w:rsid w:val="00CE670F"/>
    <w:rsid w:val="00CE6D88"/>
    <w:rsid w:val="00CE7C62"/>
    <w:rsid w:val="00CF0F83"/>
    <w:rsid w:val="00CF1EBB"/>
    <w:rsid w:val="00CF53AC"/>
    <w:rsid w:val="00CF5DF8"/>
    <w:rsid w:val="00CF66DB"/>
    <w:rsid w:val="00CF71C3"/>
    <w:rsid w:val="00CF7FC6"/>
    <w:rsid w:val="00D00404"/>
    <w:rsid w:val="00D01508"/>
    <w:rsid w:val="00D01569"/>
    <w:rsid w:val="00D01606"/>
    <w:rsid w:val="00D03CAC"/>
    <w:rsid w:val="00D077FF"/>
    <w:rsid w:val="00D11173"/>
    <w:rsid w:val="00D11A5E"/>
    <w:rsid w:val="00D12364"/>
    <w:rsid w:val="00D12711"/>
    <w:rsid w:val="00D12D4C"/>
    <w:rsid w:val="00D13120"/>
    <w:rsid w:val="00D133E1"/>
    <w:rsid w:val="00D1454A"/>
    <w:rsid w:val="00D14978"/>
    <w:rsid w:val="00D15B21"/>
    <w:rsid w:val="00D16FC6"/>
    <w:rsid w:val="00D1793A"/>
    <w:rsid w:val="00D17F79"/>
    <w:rsid w:val="00D20E82"/>
    <w:rsid w:val="00D2133F"/>
    <w:rsid w:val="00D22996"/>
    <w:rsid w:val="00D22D6D"/>
    <w:rsid w:val="00D22DF2"/>
    <w:rsid w:val="00D242DB"/>
    <w:rsid w:val="00D24C34"/>
    <w:rsid w:val="00D2510F"/>
    <w:rsid w:val="00D2558D"/>
    <w:rsid w:val="00D26059"/>
    <w:rsid w:val="00D26A70"/>
    <w:rsid w:val="00D27034"/>
    <w:rsid w:val="00D2789A"/>
    <w:rsid w:val="00D27A86"/>
    <w:rsid w:val="00D27C3D"/>
    <w:rsid w:val="00D27ECB"/>
    <w:rsid w:val="00D302EB"/>
    <w:rsid w:val="00D3037F"/>
    <w:rsid w:val="00D309AD"/>
    <w:rsid w:val="00D30C1A"/>
    <w:rsid w:val="00D31658"/>
    <w:rsid w:val="00D3227A"/>
    <w:rsid w:val="00D322D2"/>
    <w:rsid w:val="00D32A13"/>
    <w:rsid w:val="00D32C19"/>
    <w:rsid w:val="00D34076"/>
    <w:rsid w:val="00D341A0"/>
    <w:rsid w:val="00D3483E"/>
    <w:rsid w:val="00D34FC9"/>
    <w:rsid w:val="00D35149"/>
    <w:rsid w:val="00D352B7"/>
    <w:rsid w:val="00D35EA9"/>
    <w:rsid w:val="00D3735D"/>
    <w:rsid w:val="00D40060"/>
    <w:rsid w:val="00D40702"/>
    <w:rsid w:val="00D428C5"/>
    <w:rsid w:val="00D42B07"/>
    <w:rsid w:val="00D437BA"/>
    <w:rsid w:val="00D45A6A"/>
    <w:rsid w:val="00D46D7A"/>
    <w:rsid w:val="00D47221"/>
    <w:rsid w:val="00D4722B"/>
    <w:rsid w:val="00D50788"/>
    <w:rsid w:val="00D50ADF"/>
    <w:rsid w:val="00D51071"/>
    <w:rsid w:val="00D51397"/>
    <w:rsid w:val="00D51931"/>
    <w:rsid w:val="00D51BF8"/>
    <w:rsid w:val="00D526CC"/>
    <w:rsid w:val="00D527A8"/>
    <w:rsid w:val="00D53CF4"/>
    <w:rsid w:val="00D54458"/>
    <w:rsid w:val="00D562BF"/>
    <w:rsid w:val="00D57EA8"/>
    <w:rsid w:val="00D60FFC"/>
    <w:rsid w:val="00D6574D"/>
    <w:rsid w:val="00D65B88"/>
    <w:rsid w:val="00D65B9D"/>
    <w:rsid w:val="00D6680C"/>
    <w:rsid w:val="00D66853"/>
    <w:rsid w:val="00D71A1B"/>
    <w:rsid w:val="00D71BE6"/>
    <w:rsid w:val="00D72AC5"/>
    <w:rsid w:val="00D73FF4"/>
    <w:rsid w:val="00D747F1"/>
    <w:rsid w:val="00D74EAF"/>
    <w:rsid w:val="00D7649A"/>
    <w:rsid w:val="00D76D59"/>
    <w:rsid w:val="00D7733B"/>
    <w:rsid w:val="00D773EF"/>
    <w:rsid w:val="00D77AD0"/>
    <w:rsid w:val="00D77C4F"/>
    <w:rsid w:val="00D80B26"/>
    <w:rsid w:val="00D81888"/>
    <w:rsid w:val="00D82CD2"/>
    <w:rsid w:val="00D834C7"/>
    <w:rsid w:val="00D84E52"/>
    <w:rsid w:val="00D85037"/>
    <w:rsid w:val="00D855F6"/>
    <w:rsid w:val="00D8614A"/>
    <w:rsid w:val="00D86B99"/>
    <w:rsid w:val="00D87996"/>
    <w:rsid w:val="00D900F2"/>
    <w:rsid w:val="00D91960"/>
    <w:rsid w:val="00D9234C"/>
    <w:rsid w:val="00D926C4"/>
    <w:rsid w:val="00D92825"/>
    <w:rsid w:val="00D93100"/>
    <w:rsid w:val="00D95BE8"/>
    <w:rsid w:val="00D96185"/>
    <w:rsid w:val="00D96495"/>
    <w:rsid w:val="00D97441"/>
    <w:rsid w:val="00DA00C7"/>
    <w:rsid w:val="00DA0856"/>
    <w:rsid w:val="00DA1667"/>
    <w:rsid w:val="00DA19CA"/>
    <w:rsid w:val="00DA1DA3"/>
    <w:rsid w:val="00DA3161"/>
    <w:rsid w:val="00DA3C12"/>
    <w:rsid w:val="00DA3CA6"/>
    <w:rsid w:val="00DA5EEA"/>
    <w:rsid w:val="00DA612B"/>
    <w:rsid w:val="00DA6E21"/>
    <w:rsid w:val="00DB04B0"/>
    <w:rsid w:val="00DB35EB"/>
    <w:rsid w:val="00DB363D"/>
    <w:rsid w:val="00DB38A6"/>
    <w:rsid w:val="00DB6F23"/>
    <w:rsid w:val="00DB7A5F"/>
    <w:rsid w:val="00DC0DE1"/>
    <w:rsid w:val="00DC1036"/>
    <w:rsid w:val="00DC1327"/>
    <w:rsid w:val="00DC18A8"/>
    <w:rsid w:val="00DC23AC"/>
    <w:rsid w:val="00DC39EE"/>
    <w:rsid w:val="00DC7518"/>
    <w:rsid w:val="00DC7967"/>
    <w:rsid w:val="00DD1E75"/>
    <w:rsid w:val="00DD20B7"/>
    <w:rsid w:val="00DD3664"/>
    <w:rsid w:val="00DD3F55"/>
    <w:rsid w:val="00DD51A0"/>
    <w:rsid w:val="00DD5758"/>
    <w:rsid w:val="00DD5F53"/>
    <w:rsid w:val="00DD6651"/>
    <w:rsid w:val="00DD6F60"/>
    <w:rsid w:val="00DD7874"/>
    <w:rsid w:val="00DD7ED5"/>
    <w:rsid w:val="00DE03A9"/>
    <w:rsid w:val="00DE1E47"/>
    <w:rsid w:val="00DE31EE"/>
    <w:rsid w:val="00DE350A"/>
    <w:rsid w:val="00DE36A4"/>
    <w:rsid w:val="00DE38A2"/>
    <w:rsid w:val="00DE3F48"/>
    <w:rsid w:val="00DE3F65"/>
    <w:rsid w:val="00DE414A"/>
    <w:rsid w:val="00DE53D9"/>
    <w:rsid w:val="00DE561F"/>
    <w:rsid w:val="00DE6E03"/>
    <w:rsid w:val="00DE72DF"/>
    <w:rsid w:val="00DE79EA"/>
    <w:rsid w:val="00DF1661"/>
    <w:rsid w:val="00DF1741"/>
    <w:rsid w:val="00DF1B15"/>
    <w:rsid w:val="00DF2470"/>
    <w:rsid w:val="00DF2578"/>
    <w:rsid w:val="00DF28B7"/>
    <w:rsid w:val="00DF28BD"/>
    <w:rsid w:val="00DF2A10"/>
    <w:rsid w:val="00DF339B"/>
    <w:rsid w:val="00DF73AB"/>
    <w:rsid w:val="00E01C67"/>
    <w:rsid w:val="00E042E7"/>
    <w:rsid w:val="00E04332"/>
    <w:rsid w:val="00E04642"/>
    <w:rsid w:val="00E04BEF"/>
    <w:rsid w:val="00E054F1"/>
    <w:rsid w:val="00E05926"/>
    <w:rsid w:val="00E05A22"/>
    <w:rsid w:val="00E05B85"/>
    <w:rsid w:val="00E069DB"/>
    <w:rsid w:val="00E06B0C"/>
    <w:rsid w:val="00E06DD1"/>
    <w:rsid w:val="00E07AA9"/>
    <w:rsid w:val="00E10579"/>
    <w:rsid w:val="00E10582"/>
    <w:rsid w:val="00E11602"/>
    <w:rsid w:val="00E11957"/>
    <w:rsid w:val="00E12EBB"/>
    <w:rsid w:val="00E13B20"/>
    <w:rsid w:val="00E14096"/>
    <w:rsid w:val="00E16C1A"/>
    <w:rsid w:val="00E173CF"/>
    <w:rsid w:val="00E17C97"/>
    <w:rsid w:val="00E20D7B"/>
    <w:rsid w:val="00E21A1E"/>
    <w:rsid w:val="00E22390"/>
    <w:rsid w:val="00E227B8"/>
    <w:rsid w:val="00E22B13"/>
    <w:rsid w:val="00E232CB"/>
    <w:rsid w:val="00E23869"/>
    <w:rsid w:val="00E241BA"/>
    <w:rsid w:val="00E24652"/>
    <w:rsid w:val="00E24CF8"/>
    <w:rsid w:val="00E24DDC"/>
    <w:rsid w:val="00E25339"/>
    <w:rsid w:val="00E257B3"/>
    <w:rsid w:val="00E25C55"/>
    <w:rsid w:val="00E260A4"/>
    <w:rsid w:val="00E26264"/>
    <w:rsid w:val="00E26769"/>
    <w:rsid w:val="00E26E44"/>
    <w:rsid w:val="00E27354"/>
    <w:rsid w:val="00E2745C"/>
    <w:rsid w:val="00E27474"/>
    <w:rsid w:val="00E31FC3"/>
    <w:rsid w:val="00E32585"/>
    <w:rsid w:val="00E329B6"/>
    <w:rsid w:val="00E32B02"/>
    <w:rsid w:val="00E33396"/>
    <w:rsid w:val="00E33840"/>
    <w:rsid w:val="00E33DA4"/>
    <w:rsid w:val="00E340A0"/>
    <w:rsid w:val="00E34408"/>
    <w:rsid w:val="00E34783"/>
    <w:rsid w:val="00E34B21"/>
    <w:rsid w:val="00E35CAE"/>
    <w:rsid w:val="00E35DFC"/>
    <w:rsid w:val="00E363F9"/>
    <w:rsid w:val="00E36B17"/>
    <w:rsid w:val="00E37254"/>
    <w:rsid w:val="00E377ED"/>
    <w:rsid w:val="00E4001F"/>
    <w:rsid w:val="00E4197D"/>
    <w:rsid w:val="00E41B25"/>
    <w:rsid w:val="00E42AE7"/>
    <w:rsid w:val="00E434B1"/>
    <w:rsid w:val="00E43E82"/>
    <w:rsid w:val="00E44B98"/>
    <w:rsid w:val="00E454B4"/>
    <w:rsid w:val="00E455D1"/>
    <w:rsid w:val="00E47E0C"/>
    <w:rsid w:val="00E502E6"/>
    <w:rsid w:val="00E50E5B"/>
    <w:rsid w:val="00E52402"/>
    <w:rsid w:val="00E527D6"/>
    <w:rsid w:val="00E537D3"/>
    <w:rsid w:val="00E53E76"/>
    <w:rsid w:val="00E54951"/>
    <w:rsid w:val="00E54CB1"/>
    <w:rsid w:val="00E54CFF"/>
    <w:rsid w:val="00E54D32"/>
    <w:rsid w:val="00E56838"/>
    <w:rsid w:val="00E60430"/>
    <w:rsid w:val="00E6100C"/>
    <w:rsid w:val="00E618C2"/>
    <w:rsid w:val="00E61A56"/>
    <w:rsid w:val="00E632DA"/>
    <w:rsid w:val="00E632F5"/>
    <w:rsid w:val="00E63986"/>
    <w:rsid w:val="00E64523"/>
    <w:rsid w:val="00E648C2"/>
    <w:rsid w:val="00E665D1"/>
    <w:rsid w:val="00E6723C"/>
    <w:rsid w:val="00E70911"/>
    <w:rsid w:val="00E71344"/>
    <w:rsid w:val="00E71C95"/>
    <w:rsid w:val="00E72462"/>
    <w:rsid w:val="00E738AD"/>
    <w:rsid w:val="00E73923"/>
    <w:rsid w:val="00E74F3E"/>
    <w:rsid w:val="00E756AD"/>
    <w:rsid w:val="00E75E2B"/>
    <w:rsid w:val="00E76D18"/>
    <w:rsid w:val="00E77129"/>
    <w:rsid w:val="00E772E1"/>
    <w:rsid w:val="00E77512"/>
    <w:rsid w:val="00E81820"/>
    <w:rsid w:val="00E82048"/>
    <w:rsid w:val="00E8276D"/>
    <w:rsid w:val="00E828C6"/>
    <w:rsid w:val="00E83821"/>
    <w:rsid w:val="00E84822"/>
    <w:rsid w:val="00E854D6"/>
    <w:rsid w:val="00E863CD"/>
    <w:rsid w:val="00E87AA5"/>
    <w:rsid w:val="00E9063D"/>
    <w:rsid w:val="00E91A14"/>
    <w:rsid w:val="00E91CD6"/>
    <w:rsid w:val="00E931E7"/>
    <w:rsid w:val="00E93614"/>
    <w:rsid w:val="00E93B2E"/>
    <w:rsid w:val="00E93EC8"/>
    <w:rsid w:val="00E942FB"/>
    <w:rsid w:val="00E95BD2"/>
    <w:rsid w:val="00EA16EB"/>
    <w:rsid w:val="00EA19D0"/>
    <w:rsid w:val="00EA2EA8"/>
    <w:rsid w:val="00EA32C1"/>
    <w:rsid w:val="00EA3FDF"/>
    <w:rsid w:val="00EA62FD"/>
    <w:rsid w:val="00EB102B"/>
    <w:rsid w:val="00EB12DE"/>
    <w:rsid w:val="00EB14B5"/>
    <w:rsid w:val="00EB21A4"/>
    <w:rsid w:val="00EB2996"/>
    <w:rsid w:val="00EB33EF"/>
    <w:rsid w:val="00EB3BB3"/>
    <w:rsid w:val="00EB4C27"/>
    <w:rsid w:val="00EB4D77"/>
    <w:rsid w:val="00EB550A"/>
    <w:rsid w:val="00EB62A6"/>
    <w:rsid w:val="00EB62F9"/>
    <w:rsid w:val="00EB6591"/>
    <w:rsid w:val="00EB6B8E"/>
    <w:rsid w:val="00EB73DB"/>
    <w:rsid w:val="00EB76CA"/>
    <w:rsid w:val="00EB79EE"/>
    <w:rsid w:val="00EC15B4"/>
    <w:rsid w:val="00EC3617"/>
    <w:rsid w:val="00EC3FF8"/>
    <w:rsid w:val="00EC485E"/>
    <w:rsid w:val="00EC48A8"/>
    <w:rsid w:val="00EC5B58"/>
    <w:rsid w:val="00EC6B54"/>
    <w:rsid w:val="00EC7015"/>
    <w:rsid w:val="00ED0956"/>
    <w:rsid w:val="00ED1B1B"/>
    <w:rsid w:val="00ED209B"/>
    <w:rsid w:val="00ED2FBE"/>
    <w:rsid w:val="00ED3A1C"/>
    <w:rsid w:val="00ED3A6D"/>
    <w:rsid w:val="00ED4FDE"/>
    <w:rsid w:val="00ED51F5"/>
    <w:rsid w:val="00ED6F48"/>
    <w:rsid w:val="00ED7204"/>
    <w:rsid w:val="00ED738F"/>
    <w:rsid w:val="00ED7840"/>
    <w:rsid w:val="00ED7A3C"/>
    <w:rsid w:val="00ED7AD0"/>
    <w:rsid w:val="00ED7E5E"/>
    <w:rsid w:val="00ED7EF7"/>
    <w:rsid w:val="00EE00EB"/>
    <w:rsid w:val="00EE06E0"/>
    <w:rsid w:val="00EE07CF"/>
    <w:rsid w:val="00EE1492"/>
    <w:rsid w:val="00EE244A"/>
    <w:rsid w:val="00EE26F3"/>
    <w:rsid w:val="00EE39FE"/>
    <w:rsid w:val="00EE4142"/>
    <w:rsid w:val="00EE48BF"/>
    <w:rsid w:val="00EE4B34"/>
    <w:rsid w:val="00EE4D16"/>
    <w:rsid w:val="00EE4E9A"/>
    <w:rsid w:val="00EE5A52"/>
    <w:rsid w:val="00EE769B"/>
    <w:rsid w:val="00EE7E9F"/>
    <w:rsid w:val="00EF0839"/>
    <w:rsid w:val="00EF1378"/>
    <w:rsid w:val="00EF2333"/>
    <w:rsid w:val="00EF3D17"/>
    <w:rsid w:val="00EF5C3C"/>
    <w:rsid w:val="00EF6EE7"/>
    <w:rsid w:val="00EF7304"/>
    <w:rsid w:val="00EF74F7"/>
    <w:rsid w:val="00EF7C5B"/>
    <w:rsid w:val="00EF7CCE"/>
    <w:rsid w:val="00F001F6"/>
    <w:rsid w:val="00F008FC"/>
    <w:rsid w:val="00F017E7"/>
    <w:rsid w:val="00F02F54"/>
    <w:rsid w:val="00F0333C"/>
    <w:rsid w:val="00F03865"/>
    <w:rsid w:val="00F04BB8"/>
    <w:rsid w:val="00F05648"/>
    <w:rsid w:val="00F0687E"/>
    <w:rsid w:val="00F07530"/>
    <w:rsid w:val="00F07C99"/>
    <w:rsid w:val="00F07D3B"/>
    <w:rsid w:val="00F10516"/>
    <w:rsid w:val="00F10732"/>
    <w:rsid w:val="00F10DE3"/>
    <w:rsid w:val="00F11226"/>
    <w:rsid w:val="00F112CC"/>
    <w:rsid w:val="00F11E6B"/>
    <w:rsid w:val="00F1329C"/>
    <w:rsid w:val="00F13A44"/>
    <w:rsid w:val="00F14505"/>
    <w:rsid w:val="00F1578C"/>
    <w:rsid w:val="00F15851"/>
    <w:rsid w:val="00F16AE3"/>
    <w:rsid w:val="00F16BFC"/>
    <w:rsid w:val="00F21A98"/>
    <w:rsid w:val="00F22B21"/>
    <w:rsid w:val="00F23475"/>
    <w:rsid w:val="00F23A60"/>
    <w:rsid w:val="00F23B8A"/>
    <w:rsid w:val="00F24300"/>
    <w:rsid w:val="00F250CD"/>
    <w:rsid w:val="00F252B7"/>
    <w:rsid w:val="00F255A6"/>
    <w:rsid w:val="00F25809"/>
    <w:rsid w:val="00F25D79"/>
    <w:rsid w:val="00F261E1"/>
    <w:rsid w:val="00F2727C"/>
    <w:rsid w:val="00F279BA"/>
    <w:rsid w:val="00F30299"/>
    <w:rsid w:val="00F305A1"/>
    <w:rsid w:val="00F30AD8"/>
    <w:rsid w:val="00F30F45"/>
    <w:rsid w:val="00F30F69"/>
    <w:rsid w:val="00F31B11"/>
    <w:rsid w:val="00F325B9"/>
    <w:rsid w:val="00F3447A"/>
    <w:rsid w:val="00F3550E"/>
    <w:rsid w:val="00F358D1"/>
    <w:rsid w:val="00F35EDF"/>
    <w:rsid w:val="00F36694"/>
    <w:rsid w:val="00F3674C"/>
    <w:rsid w:val="00F36B8C"/>
    <w:rsid w:val="00F409AE"/>
    <w:rsid w:val="00F40EAE"/>
    <w:rsid w:val="00F417DE"/>
    <w:rsid w:val="00F418EC"/>
    <w:rsid w:val="00F422CD"/>
    <w:rsid w:val="00F42E4B"/>
    <w:rsid w:val="00F43957"/>
    <w:rsid w:val="00F43D54"/>
    <w:rsid w:val="00F45BB6"/>
    <w:rsid w:val="00F471E6"/>
    <w:rsid w:val="00F474E7"/>
    <w:rsid w:val="00F51276"/>
    <w:rsid w:val="00F51A7E"/>
    <w:rsid w:val="00F521CC"/>
    <w:rsid w:val="00F5249B"/>
    <w:rsid w:val="00F53F98"/>
    <w:rsid w:val="00F540BB"/>
    <w:rsid w:val="00F54B1B"/>
    <w:rsid w:val="00F55003"/>
    <w:rsid w:val="00F552B0"/>
    <w:rsid w:val="00F553A1"/>
    <w:rsid w:val="00F56140"/>
    <w:rsid w:val="00F6040F"/>
    <w:rsid w:val="00F608C0"/>
    <w:rsid w:val="00F6202A"/>
    <w:rsid w:val="00F6252F"/>
    <w:rsid w:val="00F62C0F"/>
    <w:rsid w:val="00F62FF4"/>
    <w:rsid w:val="00F63C47"/>
    <w:rsid w:val="00F63D94"/>
    <w:rsid w:val="00F6628A"/>
    <w:rsid w:val="00F66E61"/>
    <w:rsid w:val="00F6780C"/>
    <w:rsid w:val="00F67AA0"/>
    <w:rsid w:val="00F67C70"/>
    <w:rsid w:val="00F70169"/>
    <w:rsid w:val="00F70F6E"/>
    <w:rsid w:val="00F71A9B"/>
    <w:rsid w:val="00F71C54"/>
    <w:rsid w:val="00F72FB2"/>
    <w:rsid w:val="00F7418B"/>
    <w:rsid w:val="00F74F69"/>
    <w:rsid w:val="00F751F4"/>
    <w:rsid w:val="00F753E7"/>
    <w:rsid w:val="00F75621"/>
    <w:rsid w:val="00F76036"/>
    <w:rsid w:val="00F767F8"/>
    <w:rsid w:val="00F76FE2"/>
    <w:rsid w:val="00F80C40"/>
    <w:rsid w:val="00F8264C"/>
    <w:rsid w:val="00F8324E"/>
    <w:rsid w:val="00F83A97"/>
    <w:rsid w:val="00F84AA5"/>
    <w:rsid w:val="00F8514A"/>
    <w:rsid w:val="00F85296"/>
    <w:rsid w:val="00F852C4"/>
    <w:rsid w:val="00F85CF7"/>
    <w:rsid w:val="00F85D2D"/>
    <w:rsid w:val="00F862DC"/>
    <w:rsid w:val="00F8707F"/>
    <w:rsid w:val="00F87CDC"/>
    <w:rsid w:val="00F91B40"/>
    <w:rsid w:val="00F92433"/>
    <w:rsid w:val="00F92639"/>
    <w:rsid w:val="00F9532D"/>
    <w:rsid w:val="00F957CC"/>
    <w:rsid w:val="00F95B1C"/>
    <w:rsid w:val="00F96490"/>
    <w:rsid w:val="00F964F9"/>
    <w:rsid w:val="00F967A0"/>
    <w:rsid w:val="00F96D08"/>
    <w:rsid w:val="00FA024F"/>
    <w:rsid w:val="00FA1B06"/>
    <w:rsid w:val="00FA1B47"/>
    <w:rsid w:val="00FA461E"/>
    <w:rsid w:val="00FA47EA"/>
    <w:rsid w:val="00FA485C"/>
    <w:rsid w:val="00FA4CC9"/>
    <w:rsid w:val="00FA4D60"/>
    <w:rsid w:val="00FA4F87"/>
    <w:rsid w:val="00FA5FD1"/>
    <w:rsid w:val="00FB0635"/>
    <w:rsid w:val="00FB1061"/>
    <w:rsid w:val="00FB22A6"/>
    <w:rsid w:val="00FB2667"/>
    <w:rsid w:val="00FB2866"/>
    <w:rsid w:val="00FB2E3B"/>
    <w:rsid w:val="00FB30DE"/>
    <w:rsid w:val="00FB389E"/>
    <w:rsid w:val="00FB3F2A"/>
    <w:rsid w:val="00FB4102"/>
    <w:rsid w:val="00FB4E5C"/>
    <w:rsid w:val="00FB4FEC"/>
    <w:rsid w:val="00FB5DBF"/>
    <w:rsid w:val="00FB6598"/>
    <w:rsid w:val="00FB6F30"/>
    <w:rsid w:val="00FB7139"/>
    <w:rsid w:val="00FB7262"/>
    <w:rsid w:val="00FB78F8"/>
    <w:rsid w:val="00FB7FE3"/>
    <w:rsid w:val="00FC1742"/>
    <w:rsid w:val="00FC18F4"/>
    <w:rsid w:val="00FC1EAC"/>
    <w:rsid w:val="00FC2052"/>
    <w:rsid w:val="00FC27F7"/>
    <w:rsid w:val="00FC2E52"/>
    <w:rsid w:val="00FC2F2F"/>
    <w:rsid w:val="00FC3398"/>
    <w:rsid w:val="00FC3C1D"/>
    <w:rsid w:val="00FC3C2C"/>
    <w:rsid w:val="00FC4A41"/>
    <w:rsid w:val="00FC4AE2"/>
    <w:rsid w:val="00FC595E"/>
    <w:rsid w:val="00FC5F42"/>
    <w:rsid w:val="00FC64CC"/>
    <w:rsid w:val="00FC7D10"/>
    <w:rsid w:val="00FD1729"/>
    <w:rsid w:val="00FD2884"/>
    <w:rsid w:val="00FD3229"/>
    <w:rsid w:val="00FD335A"/>
    <w:rsid w:val="00FD3E52"/>
    <w:rsid w:val="00FD4929"/>
    <w:rsid w:val="00FD56EC"/>
    <w:rsid w:val="00FD715A"/>
    <w:rsid w:val="00FD7EE7"/>
    <w:rsid w:val="00FE1AB3"/>
    <w:rsid w:val="00FE1BF3"/>
    <w:rsid w:val="00FE24A1"/>
    <w:rsid w:val="00FE2B49"/>
    <w:rsid w:val="00FE3412"/>
    <w:rsid w:val="00FE422B"/>
    <w:rsid w:val="00FE4DE1"/>
    <w:rsid w:val="00FE4E95"/>
    <w:rsid w:val="00FE5B26"/>
    <w:rsid w:val="00FE6116"/>
    <w:rsid w:val="00FE7F9E"/>
    <w:rsid w:val="00FF044F"/>
    <w:rsid w:val="00FF0FFD"/>
    <w:rsid w:val="00FF1346"/>
    <w:rsid w:val="00FF16F1"/>
    <w:rsid w:val="00FF3B94"/>
    <w:rsid w:val="00FF3F72"/>
    <w:rsid w:val="00FF48F6"/>
    <w:rsid w:val="00FF490D"/>
    <w:rsid w:val="00FF4EB6"/>
    <w:rsid w:val="00FF687E"/>
    <w:rsid w:val="00FF6CDA"/>
    <w:rsid w:val="00FF7297"/>
  </w:rsids>
  <m:mathPr>
    <m:mathFont m:val="Cambria Math"/>
    <m:brkBin m:val="before"/>
    <m:brkBinSub m:val="--"/>
    <m:smallFrac m:val="0"/>
    <m:dispDef/>
    <m:lMargin m:val="0"/>
    <m:rMargin m:val="0"/>
    <m:defJc m:val="centerGroup"/>
    <m:wrapIndent m:val="1440"/>
    <m:intLim m:val="subSup"/>
    <m:naryLim m:val="undOvr"/>
  </m:mathPr>
  <w:themeFontLang w:val="sq-A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4587C83-4C97-41DC-A477-2BF8C5B6EB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MS Mincho" w:hAnsiTheme="minorHAnsi" w:cstheme="minorBidi"/>
        <w:sz w:val="22"/>
        <w:szCs w:val="22"/>
        <w:lang w:val="sq-A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7C97"/>
  </w:style>
  <w:style w:type="paragraph" w:styleId="Heading1">
    <w:name w:val="heading 1"/>
    <w:basedOn w:val="Normal"/>
    <w:next w:val="Normal"/>
    <w:link w:val="Heading1Char"/>
    <w:uiPriority w:val="9"/>
    <w:qFormat/>
    <w:rsid w:val="00506686"/>
    <w:pPr>
      <w:keepNext/>
      <w:keepLines/>
      <w:spacing w:before="240" w:after="0"/>
      <w:outlineLvl w:val="0"/>
    </w:pPr>
    <w:rPr>
      <w:rFonts w:ascii="Times New Roman" w:eastAsiaTheme="majorEastAsia" w:hAnsi="Times New Roman" w:cstheme="majorBidi"/>
      <w:b/>
      <w:color w:val="A40000"/>
      <w:sz w:val="28"/>
      <w:szCs w:val="32"/>
    </w:rPr>
  </w:style>
  <w:style w:type="paragraph" w:styleId="Heading2">
    <w:name w:val="heading 2"/>
    <w:basedOn w:val="Normal"/>
    <w:next w:val="Normal"/>
    <w:link w:val="Heading2Char"/>
    <w:uiPriority w:val="9"/>
    <w:unhideWhenUsed/>
    <w:qFormat/>
    <w:rsid w:val="00506686"/>
    <w:pPr>
      <w:keepNext/>
      <w:keepLines/>
      <w:spacing w:before="40" w:after="0"/>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nhideWhenUsed/>
    <w:qFormat/>
    <w:rsid w:val="00470B7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39438E"/>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Normal 1,List Paragraph 1,Akapit z listą BS,Bullets,List Paragraph1,Bullet1,NumberedParas,Dot pt,F5 List Paragraph,List Paragraph Char Char Char,Indicator Text,Numbered Para 1,Bullet 1,Bullet Points"/>
    <w:basedOn w:val="Normal"/>
    <w:link w:val="ListParagraphChar"/>
    <w:uiPriority w:val="34"/>
    <w:qFormat/>
    <w:rsid w:val="00463C40"/>
    <w:pPr>
      <w:ind w:left="720"/>
      <w:contextualSpacing/>
    </w:pPr>
  </w:style>
  <w:style w:type="paragraph" w:styleId="FootnoteText">
    <w:name w:val="footnote text"/>
    <w:aliases w:val="Footnote Text Char Char Char,Footnote Text Char Char,Fußnote,Testo nota a piè di pagina Carattere,Geneva 9,Font: Geneva 9,Boston 10,f,single space,FOOTNOTES,fn,ADB,pod carou,Char Char,Footnote Text1 Char Char,Char,Char Cha,C,Footnote text"/>
    <w:basedOn w:val="Normal"/>
    <w:link w:val="FootnoteTextChar"/>
    <w:uiPriority w:val="99"/>
    <w:unhideWhenUsed/>
    <w:rsid w:val="00F6252F"/>
    <w:pPr>
      <w:spacing w:after="0" w:line="240" w:lineRule="auto"/>
    </w:pPr>
    <w:rPr>
      <w:rFonts w:ascii="Calibri" w:eastAsia="Calibri" w:hAnsi="Calibri" w:cs="Times New Roman"/>
      <w:sz w:val="20"/>
      <w:szCs w:val="20"/>
    </w:rPr>
  </w:style>
  <w:style w:type="character" w:customStyle="1" w:styleId="FootnoteTextChar">
    <w:name w:val="Footnote Text Char"/>
    <w:aliases w:val="Footnote Text Char Char Char Char,Footnote Text Char Char Char1,Fußnote Char,Testo nota a piè di pagina Carattere Char,Geneva 9 Char,Font: Geneva 9 Char,Boston 10 Char,f Char,single space Char,FOOTNOTES Char,fn Char,ADB Char,C Char"/>
    <w:basedOn w:val="DefaultParagraphFont"/>
    <w:link w:val="FootnoteText"/>
    <w:uiPriority w:val="99"/>
    <w:rsid w:val="00F6252F"/>
    <w:rPr>
      <w:rFonts w:ascii="Calibri" w:eastAsia="Calibri" w:hAnsi="Calibri" w:cs="Times New Roman"/>
      <w:sz w:val="20"/>
      <w:szCs w:val="20"/>
    </w:rPr>
  </w:style>
  <w:style w:type="character" w:styleId="FootnoteReference">
    <w:name w:val="footnote reference"/>
    <w:aliases w:val="BVI fnr,16 Point,Superscript 6 Point,ftref,fr,Footnote symbol,Footnote Reference Arial,nota pié di pagina,Footnote reference number,Times 10 Point,Exposant 3 Point,EN Footnote Reference,note TESI,Footnote Reference Char Char Char"/>
    <w:basedOn w:val="DefaultParagraphFont"/>
    <w:uiPriority w:val="99"/>
    <w:unhideWhenUsed/>
    <w:rsid w:val="00F6252F"/>
    <w:rPr>
      <w:vertAlign w:val="superscript"/>
    </w:rPr>
  </w:style>
  <w:style w:type="character" w:styleId="CommentReference">
    <w:name w:val="annotation reference"/>
    <w:basedOn w:val="DefaultParagraphFont"/>
    <w:uiPriority w:val="99"/>
    <w:semiHidden/>
    <w:unhideWhenUsed/>
    <w:rsid w:val="00F6252F"/>
    <w:rPr>
      <w:sz w:val="16"/>
      <w:szCs w:val="16"/>
    </w:rPr>
  </w:style>
  <w:style w:type="paragraph" w:styleId="CommentText">
    <w:name w:val="annotation text"/>
    <w:basedOn w:val="Normal"/>
    <w:link w:val="CommentTextChar"/>
    <w:uiPriority w:val="99"/>
    <w:unhideWhenUsed/>
    <w:rsid w:val="00F6252F"/>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F6252F"/>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F625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252F"/>
    <w:rPr>
      <w:rFonts w:ascii="Segoe UI" w:hAnsi="Segoe UI" w:cs="Segoe UI"/>
      <w:sz w:val="18"/>
      <w:szCs w:val="18"/>
    </w:rPr>
  </w:style>
  <w:style w:type="character" w:customStyle="1" w:styleId="Heading1Char">
    <w:name w:val="Heading 1 Char"/>
    <w:basedOn w:val="DefaultParagraphFont"/>
    <w:link w:val="Heading1"/>
    <w:uiPriority w:val="9"/>
    <w:rsid w:val="00506686"/>
    <w:rPr>
      <w:rFonts w:ascii="Times New Roman" w:eastAsiaTheme="majorEastAsia" w:hAnsi="Times New Roman" w:cstheme="majorBidi"/>
      <w:b/>
      <w:color w:val="A40000"/>
      <w:sz w:val="28"/>
      <w:szCs w:val="32"/>
    </w:rPr>
  </w:style>
  <w:style w:type="character" w:customStyle="1" w:styleId="Heading2Char">
    <w:name w:val="Heading 2 Char"/>
    <w:basedOn w:val="DefaultParagraphFont"/>
    <w:link w:val="Heading2"/>
    <w:uiPriority w:val="9"/>
    <w:rsid w:val="00506686"/>
    <w:rPr>
      <w:rFonts w:ascii="Times New Roman" w:eastAsiaTheme="majorEastAsia" w:hAnsi="Times New Roman" w:cstheme="majorBidi"/>
      <w:b/>
      <w:color w:val="000000" w:themeColor="text1"/>
      <w:sz w:val="24"/>
      <w:szCs w:val="26"/>
    </w:rPr>
  </w:style>
  <w:style w:type="paragraph" w:styleId="TOCHeading">
    <w:name w:val="TOC Heading"/>
    <w:basedOn w:val="Heading1"/>
    <w:next w:val="Normal"/>
    <w:uiPriority w:val="39"/>
    <w:unhideWhenUsed/>
    <w:qFormat/>
    <w:rsid w:val="00506686"/>
    <w:pPr>
      <w:outlineLvl w:val="9"/>
    </w:pPr>
    <w:rPr>
      <w:rFonts w:asciiTheme="majorHAnsi" w:hAnsiTheme="majorHAnsi"/>
      <w:b w:val="0"/>
      <w:color w:val="2E74B5" w:themeColor="accent1" w:themeShade="BF"/>
      <w:sz w:val="32"/>
      <w:lang w:val="en-US"/>
    </w:rPr>
  </w:style>
  <w:style w:type="paragraph" w:styleId="TOC1">
    <w:name w:val="toc 1"/>
    <w:basedOn w:val="Normal"/>
    <w:next w:val="Normal"/>
    <w:autoRedefine/>
    <w:uiPriority w:val="39"/>
    <w:unhideWhenUsed/>
    <w:rsid w:val="00513848"/>
    <w:pPr>
      <w:tabs>
        <w:tab w:val="left" w:pos="567"/>
        <w:tab w:val="right" w:leader="dot" w:pos="9016"/>
      </w:tabs>
      <w:spacing w:after="100"/>
    </w:pPr>
    <w:rPr>
      <w:rFonts w:ascii="Cambria" w:hAnsi="Cambria"/>
      <w:b/>
      <w:noProof/>
    </w:rPr>
  </w:style>
  <w:style w:type="paragraph" w:styleId="TOC2">
    <w:name w:val="toc 2"/>
    <w:basedOn w:val="Normal"/>
    <w:next w:val="Normal"/>
    <w:autoRedefine/>
    <w:uiPriority w:val="39"/>
    <w:unhideWhenUsed/>
    <w:rsid w:val="00506686"/>
    <w:pPr>
      <w:tabs>
        <w:tab w:val="left" w:pos="567"/>
        <w:tab w:val="right" w:leader="dot" w:pos="9016"/>
      </w:tabs>
      <w:spacing w:after="100"/>
    </w:pPr>
  </w:style>
  <w:style w:type="character" w:styleId="Hyperlink">
    <w:name w:val="Hyperlink"/>
    <w:basedOn w:val="DefaultParagraphFont"/>
    <w:uiPriority w:val="99"/>
    <w:unhideWhenUsed/>
    <w:rsid w:val="00506686"/>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F3447A"/>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F3447A"/>
    <w:rPr>
      <w:rFonts w:ascii="Calibri" w:eastAsia="Calibri" w:hAnsi="Calibri" w:cs="Times New Roman"/>
      <w:b/>
      <w:bCs/>
      <w:sz w:val="20"/>
      <w:szCs w:val="20"/>
    </w:rPr>
  </w:style>
  <w:style w:type="paragraph" w:customStyle="1" w:styleId="Default">
    <w:name w:val="Default"/>
    <w:rsid w:val="005C1EC7"/>
    <w:pPr>
      <w:autoSpaceDE w:val="0"/>
      <w:autoSpaceDN w:val="0"/>
      <w:adjustRightInd w:val="0"/>
      <w:spacing w:after="0" w:line="240" w:lineRule="auto"/>
    </w:pPr>
    <w:rPr>
      <w:rFonts w:ascii="Cambria" w:hAnsi="Cambria" w:cs="Cambria"/>
      <w:color w:val="000000"/>
      <w:sz w:val="24"/>
      <w:szCs w:val="24"/>
    </w:rPr>
  </w:style>
  <w:style w:type="paragraph" w:styleId="Header">
    <w:name w:val="header"/>
    <w:basedOn w:val="Normal"/>
    <w:link w:val="HeaderChar"/>
    <w:uiPriority w:val="99"/>
    <w:unhideWhenUsed/>
    <w:rsid w:val="00AD17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17D0"/>
  </w:style>
  <w:style w:type="paragraph" w:styleId="Footer">
    <w:name w:val="footer"/>
    <w:basedOn w:val="Normal"/>
    <w:link w:val="FooterChar"/>
    <w:uiPriority w:val="99"/>
    <w:unhideWhenUsed/>
    <w:rsid w:val="00AD17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17D0"/>
  </w:style>
  <w:style w:type="character" w:customStyle="1" w:styleId="ListParagraphChar">
    <w:name w:val="List Paragraph Char"/>
    <w:aliases w:val="List Paragraph (numbered (a)) Char,Normal 1 Char,List Paragraph 1 Char,Akapit z listą BS Char,Bullets Char,List Paragraph1 Char,Bullet1 Char,NumberedParas Char,Dot pt Char,F5 List Paragraph Char,List Paragraph Char Char Char Char"/>
    <w:link w:val="ListParagraph"/>
    <w:uiPriority w:val="34"/>
    <w:qFormat/>
    <w:locked/>
    <w:rsid w:val="00C04FF4"/>
  </w:style>
  <w:style w:type="character" w:customStyle="1" w:styleId="Heading3Char">
    <w:name w:val="Heading 3 Char"/>
    <w:basedOn w:val="DefaultParagraphFont"/>
    <w:link w:val="Heading3"/>
    <w:uiPriority w:val="9"/>
    <w:semiHidden/>
    <w:rsid w:val="00470B7D"/>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39438E"/>
    <w:rPr>
      <w:rFonts w:asciiTheme="majorHAnsi" w:eastAsiaTheme="majorEastAsia" w:hAnsiTheme="majorHAnsi" w:cstheme="majorBidi"/>
      <w:i/>
      <w:iCs/>
      <w:color w:val="2E74B5" w:themeColor="accent1" w:themeShade="BF"/>
    </w:rPr>
  </w:style>
  <w:style w:type="paragraph" w:styleId="TOC3">
    <w:name w:val="toc 3"/>
    <w:basedOn w:val="Normal"/>
    <w:next w:val="Normal"/>
    <w:autoRedefine/>
    <w:uiPriority w:val="39"/>
    <w:unhideWhenUsed/>
    <w:rsid w:val="003F691F"/>
    <w:pPr>
      <w:spacing w:after="100"/>
      <w:ind w:left="440"/>
    </w:pPr>
  </w:style>
  <w:style w:type="character" w:customStyle="1" w:styleId="fontstyle01">
    <w:name w:val="fontstyle01"/>
    <w:basedOn w:val="DefaultParagraphFont"/>
    <w:rsid w:val="00B253FD"/>
    <w:rPr>
      <w:rFonts w:ascii="FuturaStd-Light" w:hAnsi="FuturaStd-Light" w:hint="default"/>
      <w:b w:val="0"/>
      <w:bCs w:val="0"/>
      <w:i w:val="0"/>
      <w:iCs w:val="0"/>
      <w:color w:val="242021"/>
      <w:sz w:val="22"/>
      <w:szCs w:val="22"/>
    </w:rPr>
  </w:style>
  <w:style w:type="table" w:styleId="TableGrid">
    <w:name w:val="Table Grid"/>
    <w:basedOn w:val="TableNormal"/>
    <w:uiPriority w:val="39"/>
    <w:rsid w:val="0033355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1617">
      <w:bodyDiv w:val="1"/>
      <w:marLeft w:val="0"/>
      <w:marRight w:val="0"/>
      <w:marTop w:val="0"/>
      <w:marBottom w:val="0"/>
      <w:divBdr>
        <w:top w:val="none" w:sz="0" w:space="0" w:color="auto"/>
        <w:left w:val="none" w:sz="0" w:space="0" w:color="auto"/>
        <w:bottom w:val="none" w:sz="0" w:space="0" w:color="auto"/>
        <w:right w:val="none" w:sz="0" w:space="0" w:color="auto"/>
      </w:divBdr>
    </w:div>
    <w:div w:id="743816">
      <w:bodyDiv w:val="1"/>
      <w:marLeft w:val="0"/>
      <w:marRight w:val="0"/>
      <w:marTop w:val="0"/>
      <w:marBottom w:val="0"/>
      <w:divBdr>
        <w:top w:val="none" w:sz="0" w:space="0" w:color="auto"/>
        <w:left w:val="none" w:sz="0" w:space="0" w:color="auto"/>
        <w:bottom w:val="none" w:sz="0" w:space="0" w:color="auto"/>
        <w:right w:val="none" w:sz="0" w:space="0" w:color="auto"/>
      </w:divBdr>
    </w:div>
    <w:div w:id="39059973">
      <w:bodyDiv w:val="1"/>
      <w:marLeft w:val="0"/>
      <w:marRight w:val="0"/>
      <w:marTop w:val="0"/>
      <w:marBottom w:val="0"/>
      <w:divBdr>
        <w:top w:val="none" w:sz="0" w:space="0" w:color="auto"/>
        <w:left w:val="none" w:sz="0" w:space="0" w:color="auto"/>
        <w:bottom w:val="none" w:sz="0" w:space="0" w:color="auto"/>
        <w:right w:val="none" w:sz="0" w:space="0" w:color="auto"/>
      </w:divBdr>
    </w:div>
    <w:div w:id="62876579">
      <w:bodyDiv w:val="1"/>
      <w:marLeft w:val="0"/>
      <w:marRight w:val="0"/>
      <w:marTop w:val="0"/>
      <w:marBottom w:val="0"/>
      <w:divBdr>
        <w:top w:val="none" w:sz="0" w:space="0" w:color="auto"/>
        <w:left w:val="none" w:sz="0" w:space="0" w:color="auto"/>
        <w:bottom w:val="none" w:sz="0" w:space="0" w:color="auto"/>
        <w:right w:val="none" w:sz="0" w:space="0" w:color="auto"/>
      </w:divBdr>
    </w:div>
    <w:div w:id="165286125">
      <w:bodyDiv w:val="1"/>
      <w:marLeft w:val="0"/>
      <w:marRight w:val="0"/>
      <w:marTop w:val="0"/>
      <w:marBottom w:val="0"/>
      <w:divBdr>
        <w:top w:val="none" w:sz="0" w:space="0" w:color="auto"/>
        <w:left w:val="none" w:sz="0" w:space="0" w:color="auto"/>
        <w:bottom w:val="none" w:sz="0" w:space="0" w:color="auto"/>
        <w:right w:val="none" w:sz="0" w:space="0" w:color="auto"/>
      </w:divBdr>
    </w:div>
    <w:div w:id="181746952">
      <w:bodyDiv w:val="1"/>
      <w:marLeft w:val="0"/>
      <w:marRight w:val="0"/>
      <w:marTop w:val="0"/>
      <w:marBottom w:val="0"/>
      <w:divBdr>
        <w:top w:val="none" w:sz="0" w:space="0" w:color="auto"/>
        <w:left w:val="none" w:sz="0" w:space="0" w:color="auto"/>
        <w:bottom w:val="none" w:sz="0" w:space="0" w:color="auto"/>
        <w:right w:val="none" w:sz="0" w:space="0" w:color="auto"/>
      </w:divBdr>
    </w:div>
    <w:div w:id="187262193">
      <w:bodyDiv w:val="1"/>
      <w:marLeft w:val="0"/>
      <w:marRight w:val="0"/>
      <w:marTop w:val="0"/>
      <w:marBottom w:val="0"/>
      <w:divBdr>
        <w:top w:val="none" w:sz="0" w:space="0" w:color="auto"/>
        <w:left w:val="none" w:sz="0" w:space="0" w:color="auto"/>
        <w:bottom w:val="none" w:sz="0" w:space="0" w:color="auto"/>
        <w:right w:val="none" w:sz="0" w:space="0" w:color="auto"/>
      </w:divBdr>
    </w:div>
    <w:div w:id="198705944">
      <w:bodyDiv w:val="1"/>
      <w:marLeft w:val="0"/>
      <w:marRight w:val="0"/>
      <w:marTop w:val="0"/>
      <w:marBottom w:val="0"/>
      <w:divBdr>
        <w:top w:val="none" w:sz="0" w:space="0" w:color="auto"/>
        <w:left w:val="none" w:sz="0" w:space="0" w:color="auto"/>
        <w:bottom w:val="none" w:sz="0" w:space="0" w:color="auto"/>
        <w:right w:val="none" w:sz="0" w:space="0" w:color="auto"/>
      </w:divBdr>
    </w:div>
    <w:div w:id="210657668">
      <w:bodyDiv w:val="1"/>
      <w:marLeft w:val="0"/>
      <w:marRight w:val="0"/>
      <w:marTop w:val="0"/>
      <w:marBottom w:val="0"/>
      <w:divBdr>
        <w:top w:val="none" w:sz="0" w:space="0" w:color="auto"/>
        <w:left w:val="none" w:sz="0" w:space="0" w:color="auto"/>
        <w:bottom w:val="none" w:sz="0" w:space="0" w:color="auto"/>
        <w:right w:val="none" w:sz="0" w:space="0" w:color="auto"/>
      </w:divBdr>
    </w:div>
    <w:div w:id="232473286">
      <w:bodyDiv w:val="1"/>
      <w:marLeft w:val="0"/>
      <w:marRight w:val="0"/>
      <w:marTop w:val="0"/>
      <w:marBottom w:val="0"/>
      <w:divBdr>
        <w:top w:val="none" w:sz="0" w:space="0" w:color="auto"/>
        <w:left w:val="none" w:sz="0" w:space="0" w:color="auto"/>
        <w:bottom w:val="none" w:sz="0" w:space="0" w:color="auto"/>
        <w:right w:val="none" w:sz="0" w:space="0" w:color="auto"/>
      </w:divBdr>
    </w:div>
    <w:div w:id="239800735">
      <w:bodyDiv w:val="1"/>
      <w:marLeft w:val="0"/>
      <w:marRight w:val="0"/>
      <w:marTop w:val="0"/>
      <w:marBottom w:val="0"/>
      <w:divBdr>
        <w:top w:val="none" w:sz="0" w:space="0" w:color="auto"/>
        <w:left w:val="none" w:sz="0" w:space="0" w:color="auto"/>
        <w:bottom w:val="none" w:sz="0" w:space="0" w:color="auto"/>
        <w:right w:val="none" w:sz="0" w:space="0" w:color="auto"/>
      </w:divBdr>
    </w:div>
    <w:div w:id="279647071">
      <w:bodyDiv w:val="1"/>
      <w:marLeft w:val="0"/>
      <w:marRight w:val="0"/>
      <w:marTop w:val="0"/>
      <w:marBottom w:val="0"/>
      <w:divBdr>
        <w:top w:val="none" w:sz="0" w:space="0" w:color="auto"/>
        <w:left w:val="none" w:sz="0" w:space="0" w:color="auto"/>
        <w:bottom w:val="none" w:sz="0" w:space="0" w:color="auto"/>
        <w:right w:val="none" w:sz="0" w:space="0" w:color="auto"/>
      </w:divBdr>
    </w:div>
    <w:div w:id="281615869">
      <w:bodyDiv w:val="1"/>
      <w:marLeft w:val="0"/>
      <w:marRight w:val="0"/>
      <w:marTop w:val="0"/>
      <w:marBottom w:val="0"/>
      <w:divBdr>
        <w:top w:val="none" w:sz="0" w:space="0" w:color="auto"/>
        <w:left w:val="none" w:sz="0" w:space="0" w:color="auto"/>
        <w:bottom w:val="none" w:sz="0" w:space="0" w:color="auto"/>
        <w:right w:val="none" w:sz="0" w:space="0" w:color="auto"/>
      </w:divBdr>
    </w:div>
    <w:div w:id="318583238">
      <w:bodyDiv w:val="1"/>
      <w:marLeft w:val="0"/>
      <w:marRight w:val="0"/>
      <w:marTop w:val="0"/>
      <w:marBottom w:val="0"/>
      <w:divBdr>
        <w:top w:val="none" w:sz="0" w:space="0" w:color="auto"/>
        <w:left w:val="none" w:sz="0" w:space="0" w:color="auto"/>
        <w:bottom w:val="none" w:sz="0" w:space="0" w:color="auto"/>
        <w:right w:val="none" w:sz="0" w:space="0" w:color="auto"/>
      </w:divBdr>
    </w:div>
    <w:div w:id="363025378">
      <w:bodyDiv w:val="1"/>
      <w:marLeft w:val="0"/>
      <w:marRight w:val="0"/>
      <w:marTop w:val="0"/>
      <w:marBottom w:val="0"/>
      <w:divBdr>
        <w:top w:val="none" w:sz="0" w:space="0" w:color="auto"/>
        <w:left w:val="none" w:sz="0" w:space="0" w:color="auto"/>
        <w:bottom w:val="none" w:sz="0" w:space="0" w:color="auto"/>
        <w:right w:val="none" w:sz="0" w:space="0" w:color="auto"/>
      </w:divBdr>
    </w:div>
    <w:div w:id="364914427">
      <w:bodyDiv w:val="1"/>
      <w:marLeft w:val="0"/>
      <w:marRight w:val="0"/>
      <w:marTop w:val="0"/>
      <w:marBottom w:val="0"/>
      <w:divBdr>
        <w:top w:val="none" w:sz="0" w:space="0" w:color="auto"/>
        <w:left w:val="none" w:sz="0" w:space="0" w:color="auto"/>
        <w:bottom w:val="none" w:sz="0" w:space="0" w:color="auto"/>
        <w:right w:val="none" w:sz="0" w:space="0" w:color="auto"/>
      </w:divBdr>
    </w:div>
    <w:div w:id="367145886">
      <w:bodyDiv w:val="1"/>
      <w:marLeft w:val="0"/>
      <w:marRight w:val="0"/>
      <w:marTop w:val="0"/>
      <w:marBottom w:val="0"/>
      <w:divBdr>
        <w:top w:val="none" w:sz="0" w:space="0" w:color="auto"/>
        <w:left w:val="none" w:sz="0" w:space="0" w:color="auto"/>
        <w:bottom w:val="none" w:sz="0" w:space="0" w:color="auto"/>
        <w:right w:val="none" w:sz="0" w:space="0" w:color="auto"/>
      </w:divBdr>
    </w:div>
    <w:div w:id="401294812">
      <w:bodyDiv w:val="1"/>
      <w:marLeft w:val="0"/>
      <w:marRight w:val="0"/>
      <w:marTop w:val="0"/>
      <w:marBottom w:val="0"/>
      <w:divBdr>
        <w:top w:val="none" w:sz="0" w:space="0" w:color="auto"/>
        <w:left w:val="none" w:sz="0" w:space="0" w:color="auto"/>
        <w:bottom w:val="none" w:sz="0" w:space="0" w:color="auto"/>
        <w:right w:val="none" w:sz="0" w:space="0" w:color="auto"/>
      </w:divBdr>
    </w:div>
    <w:div w:id="514539717">
      <w:bodyDiv w:val="1"/>
      <w:marLeft w:val="0"/>
      <w:marRight w:val="0"/>
      <w:marTop w:val="0"/>
      <w:marBottom w:val="0"/>
      <w:divBdr>
        <w:top w:val="none" w:sz="0" w:space="0" w:color="auto"/>
        <w:left w:val="none" w:sz="0" w:space="0" w:color="auto"/>
        <w:bottom w:val="none" w:sz="0" w:space="0" w:color="auto"/>
        <w:right w:val="none" w:sz="0" w:space="0" w:color="auto"/>
      </w:divBdr>
    </w:div>
    <w:div w:id="554663735">
      <w:bodyDiv w:val="1"/>
      <w:marLeft w:val="0"/>
      <w:marRight w:val="0"/>
      <w:marTop w:val="0"/>
      <w:marBottom w:val="0"/>
      <w:divBdr>
        <w:top w:val="none" w:sz="0" w:space="0" w:color="auto"/>
        <w:left w:val="none" w:sz="0" w:space="0" w:color="auto"/>
        <w:bottom w:val="none" w:sz="0" w:space="0" w:color="auto"/>
        <w:right w:val="none" w:sz="0" w:space="0" w:color="auto"/>
      </w:divBdr>
    </w:div>
    <w:div w:id="566452619">
      <w:bodyDiv w:val="1"/>
      <w:marLeft w:val="0"/>
      <w:marRight w:val="0"/>
      <w:marTop w:val="0"/>
      <w:marBottom w:val="0"/>
      <w:divBdr>
        <w:top w:val="none" w:sz="0" w:space="0" w:color="auto"/>
        <w:left w:val="none" w:sz="0" w:space="0" w:color="auto"/>
        <w:bottom w:val="none" w:sz="0" w:space="0" w:color="auto"/>
        <w:right w:val="none" w:sz="0" w:space="0" w:color="auto"/>
      </w:divBdr>
    </w:div>
    <w:div w:id="573785974">
      <w:bodyDiv w:val="1"/>
      <w:marLeft w:val="0"/>
      <w:marRight w:val="0"/>
      <w:marTop w:val="0"/>
      <w:marBottom w:val="0"/>
      <w:divBdr>
        <w:top w:val="none" w:sz="0" w:space="0" w:color="auto"/>
        <w:left w:val="none" w:sz="0" w:space="0" w:color="auto"/>
        <w:bottom w:val="none" w:sz="0" w:space="0" w:color="auto"/>
        <w:right w:val="none" w:sz="0" w:space="0" w:color="auto"/>
      </w:divBdr>
    </w:div>
    <w:div w:id="574710511">
      <w:bodyDiv w:val="1"/>
      <w:marLeft w:val="0"/>
      <w:marRight w:val="0"/>
      <w:marTop w:val="0"/>
      <w:marBottom w:val="0"/>
      <w:divBdr>
        <w:top w:val="none" w:sz="0" w:space="0" w:color="auto"/>
        <w:left w:val="none" w:sz="0" w:space="0" w:color="auto"/>
        <w:bottom w:val="none" w:sz="0" w:space="0" w:color="auto"/>
        <w:right w:val="none" w:sz="0" w:space="0" w:color="auto"/>
      </w:divBdr>
    </w:div>
    <w:div w:id="579289160">
      <w:bodyDiv w:val="1"/>
      <w:marLeft w:val="0"/>
      <w:marRight w:val="0"/>
      <w:marTop w:val="0"/>
      <w:marBottom w:val="0"/>
      <w:divBdr>
        <w:top w:val="none" w:sz="0" w:space="0" w:color="auto"/>
        <w:left w:val="none" w:sz="0" w:space="0" w:color="auto"/>
        <w:bottom w:val="none" w:sz="0" w:space="0" w:color="auto"/>
        <w:right w:val="none" w:sz="0" w:space="0" w:color="auto"/>
      </w:divBdr>
    </w:div>
    <w:div w:id="627322301">
      <w:bodyDiv w:val="1"/>
      <w:marLeft w:val="0"/>
      <w:marRight w:val="0"/>
      <w:marTop w:val="0"/>
      <w:marBottom w:val="0"/>
      <w:divBdr>
        <w:top w:val="none" w:sz="0" w:space="0" w:color="auto"/>
        <w:left w:val="none" w:sz="0" w:space="0" w:color="auto"/>
        <w:bottom w:val="none" w:sz="0" w:space="0" w:color="auto"/>
        <w:right w:val="none" w:sz="0" w:space="0" w:color="auto"/>
      </w:divBdr>
    </w:div>
    <w:div w:id="644167144">
      <w:bodyDiv w:val="1"/>
      <w:marLeft w:val="0"/>
      <w:marRight w:val="0"/>
      <w:marTop w:val="0"/>
      <w:marBottom w:val="0"/>
      <w:divBdr>
        <w:top w:val="none" w:sz="0" w:space="0" w:color="auto"/>
        <w:left w:val="none" w:sz="0" w:space="0" w:color="auto"/>
        <w:bottom w:val="none" w:sz="0" w:space="0" w:color="auto"/>
        <w:right w:val="none" w:sz="0" w:space="0" w:color="auto"/>
      </w:divBdr>
    </w:div>
    <w:div w:id="759569865">
      <w:bodyDiv w:val="1"/>
      <w:marLeft w:val="0"/>
      <w:marRight w:val="0"/>
      <w:marTop w:val="0"/>
      <w:marBottom w:val="0"/>
      <w:divBdr>
        <w:top w:val="none" w:sz="0" w:space="0" w:color="auto"/>
        <w:left w:val="none" w:sz="0" w:space="0" w:color="auto"/>
        <w:bottom w:val="none" w:sz="0" w:space="0" w:color="auto"/>
        <w:right w:val="none" w:sz="0" w:space="0" w:color="auto"/>
      </w:divBdr>
    </w:div>
    <w:div w:id="780995289">
      <w:bodyDiv w:val="1"/>
      <w:marLeft w:val="0"/>
      <w:marRight w:val="0"/>
      <w:marTop w:val="0"/>
      <w:marBottom w:val="0"/>
      <w:divBdr>
        <w:top w:val="none" w:sz="0" w:space="0" w:color="auto"/>
        <w:left w:val="none" w:sz="0" w:space="0" w:color="auto"/>
        <w:bottom w:val="none" w:sz="0" w:space="0" w:color="auto"/>
        <w:right w:val="none" w:sz="0" w:space="0" w:color="auto"/>
      </w:divBdr>
    </w:div>
    <w:div w:id="788940687">
      <w:bodyDiv w:val="1"/>
      <w:marLeft w:val="0"/>
      <w:marRight w:val="0"/>
      <w:marTop w:val="0"/>
      <w:marBottom w:val="0"/>
      <w:divBdr>
        <w:top w:val="none" w:sz="0" w:space="0" w:color="auto"/>
        <w:left w:val="none" w:sz="0" w:space="0" w:color="auto"/>
        <w:bottom w:val="none" w:sz="0" w:space="0" w:color="auto"/>
        <w:right w:val="none" w:sz="0" w:space="0" w:color="auto"/>
      </w:divBdr>
    </w:div>
    <w:div w:id="796723155">
      <w:bodyDiv w:val="1"/>
      <w:marLeft w:val="0"/>
      <w:marRight w:val="0"/>
      <w:marTop w:val="0"/>
      <w:marBottom w:val="0"/>
      <w:divBdr>
        <w:top w:val="none" w:sz="0" w:space="0" w:color="auto"/>
        <w:left w:val="none" w:sz="0" w:space="0" w:color="auto"/>
        <w:bottom w:val="none" w:sz="0" w:space="0" w:color="auto"/>
        <w:right w:val="none" w:sz="0" w:space="0" w:color="auto"/>
      </w:divBdr>
    </w:div>
    <w:div w:id="821239987">
      <w:bodyDiv w:val="1"/>
      <w:marLeft w:val="0"/>
      <w:marRight w:val="0"/>
      <w:marTop w:val="0"/>
      <w:marBottom w:val="0"/>
      <w:divBdr>
        <w:top w:val="none" w:sz="0" w:space="0" w:color="auto"/>
        <w:left w:val="none" w:sz="0" w:space="0" w:color="auto"/>
        <w:bottom w:val="none" w:sz="0" w:space="0" w:color="auto"/>
        <w:right w:val="none" w:sz="0" w:space="0" w:color="auto"/>
      </w:divBdr>
    </w:div>
    <w:div w:id="902519592">
      <w:bodyDiv w:val="1"/>
      <w:marLeft w:val="0"/>
      <w:marRight w:val="0"/>
      <w:marTop w:val="0"/>
      <w:marBottom w:val="0"/>
      <w:divBdr>
        <w:top w:val="none" w:sz="0" w:space="0" w:color="auto"/>
        <w:left w:val="none" w:sz="0" w:space="0" w:color="auto"/>
        <w:bottom w:val="none" w:sz="0" w:space="0" w:color="auto"/>
        <w:right w:val="none" w:sz="0" w:space="0" w:color="auto"/>
      </w:divBdr>
    </w:div>
    <w:div w:id="922952644">
      <w:bodyDiv w:val="1"/>
      <w:marLeft w:val="0"/>
      <w:marRight w:val="0"/>
      <w:marTop w:val="0"/>
      <w:marBottom w:val="0"/>
      <w:divBdr>
        <w:top w:val="none" w:sz="0" w:space="0" w:color="auto"/>
        <w:left w:val="none" w:sz="0" w:space="0" w:color="auto"/>
        <w:bottom w:val="none" w:sz="0" w:space="0" w:color="auto"/>
        <w:right w:val="none" w:sz="0" w:space="0" w:color="auto"/>
      </w:divBdr>
    </w:div>
    <w:div w:id="938098867">
      <w:bodyDiv w:val="1"/>
      <w:marLeft w:val="0"/>
      <w:marRight w:val="0"/>
      <w:marTop w:val="0"/>
      <w:marBottom w:val="0"/>
      <w:divBdr>
        <w:top w:val="none" w:sz="0" w:space="0" w:color="auto"/>
        <w:left w:val="none" w:sz="0" w:space="0" w:color="auto"/>
        <w:bottom w:val="none" w:sz="0" w:space="0" w:color="auto"/>
        <w:right w:val="none" w:sz="0" w:space="0" w:color="auto"/>
      </w:divBdr>
    </w:div>
    <w:div w:id="1009523012">
      <w:bodyDiv w:val="1"/>
      <w:marLeft w:val="0"/>
      <w:marRight w:val="0"/>
      <w:marTop w:val="0"/>
      <w:marBottom w:val="0"/>
      <w:divBdr>
        <w:top w:val="none" w:sz="0" w:space="0" w:color="auto"/>
        <w:left w:val="none" w:sz="0" w:space="0" w:color="auto"/>
        <w:bottom w:val="none" w:sz="0" w:space="0" w:color="auto"/>
        <w:right w:val="none" w:sz="0" w:space="0" w:color="auto"/>
      </w:divBdr>
    </w:div>
    <w:div w:id="1086726636">
      <w:bodyDiv w:val="1"/>
      <w:marLeft w:val="0"/>
      <w:marRight w:val="0"/>
      <w:marTop w:val="0"/>
      <w:marBottom w:val="0"/>
      <w:divBdr>
        <w:top w:val="none" w:sz="0" w:space="0" w:color="auto"/>
        <w:left w:val="none" w:sz="0" w:space="0" w:color="auto"/>
        <w:bottom w:val="none" w:sz="0" w:space="0" w:color="auto"/>
        <w:right w:val="none" w:sz="0" w:space="0" w:color="auto"/>
      </w:divBdr>
    </w:div>
    <w:div w:id="1196774503">
      <w:bodyDiv w:val="1"/>
      <w:marLeft w:val="0"/>
      <w:marRight w:val="0"/>
      <w:marTop w:val="0"/>
      <w:marBottom w:val="0"/>
      <w:divBdr>
        <w:top w:val="none" w:sz="0" w:space="0" w:color="auto"/>
        <w:left w:val="none" w:sz="0" w:space="0" w:color="auto"/>
        <w:bottom w:val="none" w:sz="0" w:space="0" w:color="auto"/>
        <w:right w:val="none" w:sz="0" w:space="0" w:color="auto"/>
      </w:divBdr>
    </w:div>
    <w:div w:id="1237128714">
      <w:bodyDiv w:val="1"/>
      <w:marLeft w:val="0"/>
      <w:marRight w:val="0"/>
      <w:marTop w:val="0"/>
      <w:marBottom w:val="0"/>
      <w:divBdr>
        <w:top w:val="none" w:sz="0" w:space="0" w:color="auto"/>
        <w:left w:val="none" w:sz="0" w:space="0" w:color="auto"/>
        <w:bottom w:val="none" w:sz="0" w:space="0" w:color="auto"/>
        <w:right w:val="none" w:sz="0" w:space="0" w:color="auto"/>
      </w:divBdr>
    </w:div>
    <w:div w:id="1247955249">
      <w:bodyDiv w:val="1"/>
      <w:marLeft w:val="0"/>
      <w:marRight w:val="0"/>
      <w:marTop w:val="0"/>
      <w:marBottom w:val="0"/>
      <w:divBdr>
        <w:top w:val="none" w:sz="0" w:space="0" w:color="auto"/>
        <w:left w:val="none" w:sz="0" w:space="0" w:color="auto"/>
        <w:bottom w:val="none" w:sz="0" w:space="0" w:color="auto"/>
        <w:right w:val="none" w:sz="0" w:space="0" w:color="auto"/>
      </w:divBdr>
    </w:div>
    <w:div w:id="1257861567">
      <w:bodyDiv w:val="1"/>
      <w:marLeft w:val="0"/>
      <w:marRight w:val="0"/>
      <w:marTop w:val="0"/>
      <w:marBottom w:val="0"/>
      <w:divBdr>
        <w:top w:val="none" w:sz="0" w:space="0" w:color="auto"/>
        <w:left w:val="none" w:sz="0" w:space="0" w:color="auto"/>
        <w:bottom w:val="none" w:sz="0" w:space="0" w:color="auto"/>
        <w:right w:val="none" w:sz="0" w:space="0" w:color="auto"/>
      </w:divBdr>
    </w:div>
    <w:div w:id="1268121756">
      <w:bodyDiv w:val="1"/>
      <w:marLeft w:val="0"/>
      <w:marRight w:val="0"/>
      <w:marTop w:val="0"/>
      <w:marBottom w:val="0"/>
      <w:divBdr>
        <w:top w:val="none" w:sz="0" w:space="0" w:color="auto"/>
        <w:left w:val="none" w:sz="0" w:space="0" w:color="auto"/>
        <w:bottom w:val="none" w:sz="0" w:space="0" w:color="auto"/>
        <w:right w:val="none" w:sz="0" w:space="0" w:color="auto"/>
      </w:divBdr>
    </w:div>
    <w:div w:id="1370453782">
      <w:bodyDiv w:val="1"/>
      <w:marLeft w:val="0"/>
      <w:marRight w:val="0"/>
      <w:marTop w:val="0"/>
      <w:marBottom w:val="0"/>
      <w:divBdr>
        <w:top w:val="none" w:sz="0" w:space="0" w:color="auto"/>
        <w:left w:val="none" w:sz="0" w:space="0" w:color="auto"/>
        <w:bottom w:val="none" w:sz="0" w:space="0" w:color="auto"/>
        <w:right w:val="none" w:sz="0" w:space="0" w:color="auto"/>
      </w:divBdr>
    </w:div>
    <w:div w:id="1440756116">
      <w:bodyDiv w:val="1"/>
      <w:marLeft w:val="0"/>
      <w:marRight w:val="0"/>
      <w:marTop w:val="0"/>
      <w:marBottom w:val="0"/>
      <w:divBdr>
        <w:top w:val="none" w:sz="0" w:space="0" w:color="auto"/>
        <w:left w:val="none" w:sz="0" w:space="0" w:color="auto"/>
        <w:bottom w:val="none" w:sz="0" w:space="0" w:color="auto"/>
        <w:right w:val="none" w:sz="0" w:space="0" w:color="auto"/>
      </w:divBdr>
    </w:div>
    <w:div w:id="1468543564">
      <w:bodyDiv w:val="1"/>
      <w:marLeft w:val="0"/>
      <w:marRight w:val="0"/>
      <w:marTop w:val="0"/>
      <w:marBottom w:val="0"/>
      <w:divBdr>
        <w:top w:val="none" w:sz="0" w:space="0" w:color="auto"/>
        <w:left w:val="none" w:sz="0" w:space="0" w:color="auto"/>
        <w:bottom w:val="none" w:sz="0" w:space="0" w:color="auto"/>
        <w:right w:val="none" w:sz="0" w:space="0" w:color="auto"/>
      </w:divBdr>
    </w:div>
    <w:div w:id="1506478418">
      <w:bodyDiv w:val="1"/>
      <w:marLeft w:val="0"/>
      <w:marRight w:val="0"/>
      <w:marTop w:val="0"/>
      <w:marBottom w:val="0"/>
      <w:divBdr>
        <w:top w:val="none" w:sz="0" w:space="0" w:color="auto"/>
        <w:left w:val="none" w:sz="0" w:space="0" w:color="auto"/>
        <w:bottom w:val="none" w:sz="0" w:space="0" w:color="auto"/>
        <w:right w:val="none" w:sz="0" w:space="0" w:color="auto"/>
      </w:divBdr>
    </w:div>
    <w:div w:id="1527476001">
      <w:bodyDiv w:val="1"/>
      <w:marLeft w:val="0"/>
      <w:marRight w:val="0"/>
      <w:marTop w:val="0"/>
      <w:marBottom w:val="0"/>
      <w:divBdr>
        <w:top w:val="none" w:sz="0" w:space="0" w:color="auto"/>
        <w:left w:val="none" w:sz="0" w:space="0" w:color="auto"/>
        <w:bottom w:val="none" w:sz="0" w:space="0" w:color="auto"/>
        <w:right w:val="none" w:sz="0" w:space="0" w:color="auto"/>
      </w:divBdr>
    </w:div>
    <w:div w:id="1582638840">
      <w:bodyDiv w:val="1"/>
      <w:marLeft w:val="0"/>
      <w:marRight w:val="0"/>
      <w:marTop w:val="0"/>
      <w:marBottom w:val="0"/>
      <w:divBdr>
        <w:top w:val="none" w:sz="0" w:space="0" w:color="auto"/>
        <w:left w:val="none" w:sz="0" w:space="0" w:color="auto"/>
        <w:bottom w:val="none" w:sz="0" w:space="0" w:color="auto"/>
        <w:right w:val="none" w:sz="0" w:space="0" w:color="auto"/>
      </w:divBdr>
    </w:div>
    <w:div w:id="1653757185">
      <w:bodyDiv w:val="1"/>
      <w:marLeft w:val="0"/>
      <w:marRight w:val="0"/>
      <w:marTop w:val="0"/>
      <w:marBottom w:val="0"/>
      <w:divBdr>
        <w:top w:val="none" w:sz="0" w:space="0" w:color="auto"/>
        <w:left w:val="none" w:sz="0" w:space="0" w:color="auto"/>
        <w:bottom w:val="none" w:sz="0" w:space="0" w:color="auto"/>
        <w:right w:val="none" w:sz="0" w:space="0" w:color="auto"/>
      </w:divBdr>
    </w:div>
    <w:div w:id="1665821463">
      <w:bodyDiv w:val="1"/>
      <w:marLeft w:val="0"/>
      <w:marRight w:val="0"/>
      <w:marTop w:val="0"/>
      <w:marBottom w:val="0"/>
      <w:divBdr>
        <w:top w:val="none" w:sz="0" w:space="0" w:color="auto"/>
        <w:left w:val="none" w:sz="0" w:space="0" w:color="auto"/>
        <w:bottom w:val="none" w:sz="0" w:space="0" w:color="auto"/>
        <w:right w:val="none" w:sz="0" w:space="0" w:color="auto"/>
      </w:divBdr>
    </w:div>
    <w:div w:id="1737048229">
      <w:bodyDiv w:val="1"/>
      <w:marLeft w:val="0"/>
      <w:marRight w:val="0"/>
      <w:marTop w:val="0"/>
      <w:marBottom w:val="0"/>
      <w:divBdr>
        <w:top w:val="none" w:sz="0" w:space="0" w:color="auto"/>
        <w:left w:val="none" w:sz="0" w:space="0" w:color="auto"/>
        <w:bottom w:val="none" w:sz="0" w:space="0" w:color="auto"/>
        <w:right w:val="none" w:sz="0" w:space="0" w:color="auto"/>
      </w:divBdr>
    </w:div>
    <w:div w:id="1753818427">
      <w:bodyDiv w:val="1"/>
      <w:marLeft w:val="0"/>
      <w:marRight w:val="0"/>
      <w:marTop w:val="0"/>
      <w:marBottom w:val="0"/>
      <w:divBdr>
        <w:top w:val="none" w:sz="0" w:space="0" w:color="auto"/>
        <w:left w:val="none" w:sz="0" w:space="0" w:color="auto"/>
        <w:bottom w:val="none" w:sz="0" w:space="0" w:color="auto"/>
        <w:right w:val="none" w:sz="0" w:space="0" w:color="auto"/>
      </w:divBdr>
    </w:div>
    <w:div w:id="1805847183">
      <w:bodyDiv w:val="1"/>
      <w:marLeft w:val="0"/>
      <w:marRight w:val="0"/>
      <w:marTop w:val="0"/>
      <w:marBottom w:val="0"/>
      <w:divBdr>
        <w:top w:val="none" w:sz="0" w:space="0" w:color="auto"/>
        <w:left w:val="none" w:sz="0" w:space="0" w:color="auto"/>
        <w:bottom w:val="none" w:sz="0" w:space="0" w:color="auto"/>
        <w:right w:val="none" w:sz="0" w:space="0" w:color="auto"/>
      </w:divBdr>
    </w:div>
    <w:div w:id="1815027369">
      <w:bodyDiv w:val="1"/>
      <w:marLeft w:val="0"/>
      <w:marRight w:val="0"/>
      <w:marTop w:val="0"/>
      <w:marBottom w:val="0"/>
      <w:divBdr>
        <w:top w:val="none" w:sz="0" w:space="0" w:color="auto"/>
        <w:left w:val="none" w:sz="0" w:space="0" w:color="auto"/>
        <w:bottom w:val="none" w:sz="0" w:space="0" w:color="auto"/>
        <w:right w:val="none" w:sz="0" w:space="0" w:color="auto"/>
      </w:divBdr>
    </w:div>
    <w:div w:id="1832064776">
      <w:bodyDiv w:val="1"/>
      <w:marLeft w:val="0"/>
      <w:marRight w:val="0"/>
      <w:marTop w:val="0"/>
      <w:marBottom w:val="0"/>
      <w:divBdr>
        <w:top w:val="none" w:sz="0" w:space="0" w:color="auto"/>
        <w:left w:val="none" w:sz="0" w:space="0" w:color="auto"/>
        <w:bottom w:val="none" w:sz="0" w:space="0" w:color="auto"/>
        <w:right w:val="none" w:sz="0" w:space="0" w:color="auto"/>
      </w:divBdr>
    </w:div>
    <w:div w:id="1898932020">
      <w:bodyDiv w:val="1"/>
      <w:marLeft w:val="0"/>
      <w:marRight w:val="0"/>
      <w:marTop w:val="0"/>
      <w:marBottom w:val="0"/>
      <w:divBdr>
        <w:top w:val="none" w:sz="0" w:space="0" w:color="auto"/>
        <w:left w:val="none" w:sz="0" w:space="0" w:color="auto"/>
        <w:bottom w:val="none" w:sz="0" w:space="0" w:color="auto"/>
        <w:right w:val="none" w:sz="0" w:space="0" w:color="auto"/>
      </w:divBdr>
    </w:div>
    <w:div w:id="1922370554">
      <w:bodyDiv w:val="1"/>
      <w:marLeft w:val="0"/>
      <w:marRight w:val="0"/>
      <w:marTop w:val="0"/>
      <w:marBottom w:val="0"/>
      <w:divBdr>
        <w:top w:val="none" w:sz="0" w:space="0" w:color="auto"/>
        <w:left w:val="none" w:sz="0" w:space="0" w:color="auto"/>
        <w:bottom w:val="none" w:sz="0" w:space="0" w:color="auto"/>
        <w:right w:val="none" w:sz="0" w:space="0" w:color="auto"/>
      </w:divBdr>
    </w:div>
    <w:div w:id="1952516523">
      <w:bodyDiv w:val="1"/>
      <w:marLeft w:val="0"/>
      <w:marRight w:val="0"/>
      <w:marTop w:val="0"/>
      <w:marBottom w:val="0"/>
      <w:divBdr>
        <w:top w:val="none" w:sz="0" w:space="0" w:color="auto"/>
        <w:left w:val="none" w:sz="0" w:space="0" w:color="auto"/>
        <w:bottom w:val="none" w:sz="0" w:space="0" w:color="auto"/>
        <w:right w:val="none" w:sz="0" w:space="0" w:color="auto"/>
      </w:divBdr>
    </w:div>
    <w:div w:id="1963657289">
      <w:bodyDiv w:val="1"/>
      <w:marLeft w:val="0"/>
      <w:marRight w:val="0"/>
      <w:marTop w:val="0"/>
      <w:marBottom w:val="0"/>
      <w:divBdr>
        <w:top w:val="none" w:sz="0" w:space="0" w:color="auto"/>
        <w:left w:val="none" w:sz="0" w:space="0" w:color="auto"/>
        <w:bottom w:val="none" w:sz="0" w:space="0" w:color="auto"/>
        <w:right w:val="none" w:sz="0" w:space="0" w:color="auto"/>
      </w:divBdr>
    </w:div>
    <w:div w:id="1989282877">
      <w:bodyDiv w:val="1"/>
      <w:marLeft w:val="0"/>
      <w:marRight w:val="0"/>
      <w:marTop w:val="0"/>
      <w:marBottom w:val="0"/>
      <w:divBdr>
        <w:top w:val="none" w:sz="0" w:space="0" w:color="auto"/>
        <w:left w:val="none" w:sz="0" w:space="0" w:color="auto"/>
        <w:bottom w:val="none" w:sz="0" w:space="0" w:color="auto"/>
        <w:right w:val="none" w:sz="0" w:space="0" w:color="auto"/>
      </w:divBdr>
    </w:div>
    <w:div w:id="2011834744">
      <w:bodyDiv w:val="1"/>
      <w:marLeft w:val="0"/>
      <w:marRight w:val="0"/>
      <w:marTop w:val="0"/>
      <w:marBottom w:val="0"/>
      <w:divBdr>
        <w:top w:val="none" w:sz="0" w:space="0" w:color="auto"/>
        <w:left w:val="none" w:sz="0" w:space="0" w:color="auto"/>
        <w:bottom w:val="none" w:sz="0" w:space="0" w:color="auto"/>
        <w:right w:val="none" w:sz="0" w:space="0" w:color="auto"/>
      </w:divBdr>
    </w:div>
    <w:div w:id="2012826947">
      <w:bodyDiv w:val="1"/>
      <w:marLeft w:val="0"/>
      <w:marRight w:val="0"/>
      <w:marTop w:val="0"/>
      <w:marBottom w:val="0"/>
      <w:divBdr>
        <w:top w:val="none" w:sz="0" w:space="0" w:color="auto"/>
        <w:left w:val="none" w:sz="0" w:space="0" w:color="auto"/>
        <w:bottom w:val="none" w:sz="0" w:space="0" w:color="auto"/>
        <w:right w:val="none" w:sz="0" w:space="0" w:color="auto"/>
      </w:divBdr>
    </w:div>
    <w:div w:id="2014258654">
      <w:bodyDiv w:val="1"/>
      <w:marLeft w:val="0"/>
      <w:marRight w:val="0"/>
      <w:marTop w:val="0"/>
      <w:marBottom w:val="0"/>
      <w:divBdr>
        <w:top w:val="none" w:sz="0" w:space="0" w:color="auto"/>
        <w:left w:val="none" w:sz="0" w:space="0" w:color="auto"/>
        <w:bottom w:val="none" w:sz="0" w:space="0" w:color="auto"/>
        <w:right w:val="none" w:sz="0" w:space="0" w:color="auto"/>
      </w:divBdr>
    </w:div>
    <w:div w:id="2076776193">
      <w:bodyDiv w:val="1"/>
      <w:marLeft w:val="0"/>
      <w:marRight w:val="0"/>
      <w:marTop w:val="0"/>
      <w:marBottom w:val="0"/>
      <w:divBdr>
        <w:top w:val="none" w:sz="0" w:space="0" w:color="auto"/>
        <w:left w:val="none" w:sz="0" w:space="0" w:color="auto"/>
        <w:bottom w:val="none" w:sz="0" w:space="0" w:color="auto"/>
        <w:right w:val="none" w:sz="0" w:space="0" w:color="auto"/>
      </w:divBdr>
    </w:div>
    <w:div w:id="2087262844">
      <w:bodyDiv w:val="1"/>
      <w:marLeft w:val="0"/>
      <w:marRight w:val="0"/>
      <w:marTop w:val="0"/>
      <w:marBottom w:val="0"/>
      <w:divBdr>
        <w:top w:val="none" w:sz="0" w:space="0" w:color="auto"/>
        <w:left w:val="none" w:sz="0" w:space="0" w:color="auto"/>
        <w:bottom w:val="none" w:sz="0" w:space="0" w:color="auto"/>
        <w:right w:val="none" w:sz="0" w:space="0" w:color="auto"/>
      </w:divBdr>
    </w:div>
    <w:div w:id="2097624992">
      <w:bodyDiv w:val="1"/>
      <w:marLeft w:val="0"/>
      <w:marRight w:val="0"/>
      <w:marTop w:val="0"/>
      <w:marBottom w:val="0"/>
      <w:divBdr>
        <w:top w:val="none" w:sz="0" w:space="0" w:color="auto"/>
        <w:left w:val="none" w:sz="0" w:space="0" w:color="auto"/>
        <w:bottom w:val="none" w:sz="0" w:space="0" w:color="auto"/>
        <w:right w:val="none" w:sz="0" w:space="0" w:color="auto"/>
      </w:divBdr>
    </w:div>
    <w:div w:id="2102674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chart" Target="charts/chart17.xml"/><Relationship Id="rId39" Type="http://schemas.openxmlformats.org/officeDocument/2006/relationships/image" Target="media/image4.emf"/><Relationship Id="rId21" Type="http://schemas.openxmlformats.org/officeDocument/2006/relationships/chart" Target="charts/chart12.xml"/><Relationship Id="rId34" Type="http://schemas.openxmlformats.org/officeDocument/2006/relationships/chart" Target="charts/chart25.xml"/><Relationship Id="rId42" Type="http://schemas.openxmlformats.org/officeDocument/2006/relationships/chart" Target="charts/chart28.xml"/><Relationship Id="rId47" Type="http://schemas.openxmlformats.org/officeDocument/2006/relationships/image" Target="media/image7.emf"/><Relationship Id="rId50" Type="http://schemas.openxmlformats.org/officeDocument/2006/relationships/footer" Target="footer1.xml"/><Relationship Id="rId68" Type="http://schemas.microsoft.com/office/2018/08/relationships/commentsExtensible" Target="commentsExtensi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20.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3.xml"/><Relationship Id="rId37" Type="http://schemas.openxmlformats.org/officeDocument/2006/relationships/image" Target="media/image2.emf"/><Relationship Id="rId40" Type="http://schemas.openxmlformats.org/officeDocument/2006/relationships/image" Target="media/image5.emf"/><Relationship Id="rId45" Type="http://schemas.openxmlformats.org/officeDocument/2006/relationships/chart" Target="charts/chart31.xml"/><Relationship Id="rId5" Type="http://schemas.openxmlformats.org/officeDocument/2006/relationships/webSettings" Target="webSettings.xml"/><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chart" Target="charts/chart22.xml"/><Relationship Id="rId44" Type="http://schemas.openxmlformats.org/officeDocument/2006/relationships/chart" Target="charts/chart30.xm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cid:image001.jpg@01D4C9C9.A12AE760" TargetMode="Externa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chart" Target="charts/chart26.xml"/><Relationship Id="rId43" Type="http://schemas.openxmlformats.org/officeDocument/2006/relationships/chart" Target="charts/chart29.xml"/><Relationship Id="rId48" Type="http://schemas.openxmlformats.org/officeDocument/2006/relationships/image" Target="media/image8.emf"/><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image" Target="media/image3.emf"/><Relationship Id="rId46" Type="http://schemas.openxmlformats.org/officeDocument/2006/relationships/chart" Target="charts/chart32.xml"/><Relationship Id="rId67" Type="http://schemas.microsoft.com/office/2016/09/relationships/commentsIds" Target="commentsIds.xml"/><Relationship Id="rId20" Type="http://schemas.openxmlformats.org/officeDocument/2006/relationships/chart" Target="charts/chart11.xml"/><Relationship Id="rId41"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7.xml"/><Relationship Id="rId49"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sidiola.basho\Desktop\Dokumenta\Buletini\Grafiket%20per%20analizen%20e%209m%202021_dhjetor%202021.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sidiola.basho\Desktop\Dokumenta\Buletini\Grafiket%20per%20analizen%20e%209m%202021_dhjetor%202021.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9.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sidiola.basho\Desktop\Dokumenta\Buletini\Grafiket%20per%20analizen%20e%209m%202021_dhjetor%202021.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0.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1.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3.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4.xlsx"/></Relationships>
</file>

<file path=word/charts/_rels/chart2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5.xlsx"/><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16.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17.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18.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19.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0.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C:\Users\sidiola.basho\Desktop\Dokumenta\Buletini\Grafiket%20per%20analizen%20e%209m%202021_dhjetor%202021.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C:\Users\sidiola.basho\Desktop\Dokumenta\Buletini\Grafiket%20per%20analizen%20e%209m%202021_dhjetor%202021.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oleObject" Target="file:///C:\Users\erla.kadiu\Desktop\Strategjia%202022\Excel\Draft%20Grafiket%20per%20analizen%20SAMB%202022-2024_mars%202022.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C:\Users\erla.kadiu\Desktop\Strategjia%202022\Excel\Draft%20Grafiket%20per%20analizen%20SAMB%202022-2024_mars%202022.xlsx" TargetMode="External"/></Relationships>
</file>

<file path=word/charts/_rels/chart32.xml.rels><?xml version="1.0" encoding="UTF-8" standalone="yes"?>
<Relationships xmlns="http://schemas.openxmlformats.org/package/2006/relationships"><Relationship Id="rId3" Type="http://schemas.openxmlformats.org/officeDocument/2006/relationships/oleObject" Target="file:///C:\Users\sidiola.basho\Desktop\Dokumenta\Buletini\Grafiket%20per%20analizen%20e%209m%202021_dhjetor%202021.xlsx" TargetMode="External"/><Relationship Id="rId2" Type="http://schemas.microsoft.com/office/2011/relationships/chartColorStyle" Target="colors31.xml"/><Relationship Id="rId1" Type="http://schemas.microsoft.com/office/2011/relationships/chartStyle" Target="style31.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sidiola.basho\Desktop\Dokumenta\Buletini\Grafiket%20per%20analizen%20e%209m%202021_dhjetor%202021.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sidiola.basho\Desktop\Dokumenta\Buletini\Grafiket%20per%20analizen%20e%209m%202021_dhjetor%202021.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sidiola.basho\Desktop\Dokumenta\Buletini\Grafiket%20per%20analizen%20e%209m%202021_dhjetor%202021.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sidiola.basho\Desktop\Dokumenta\Buletini\Grafiket%20per%20analizen%20e%209m%202021_dhjetor%202021.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42134446245405"/>
          <c:y val="4.8198956119078276E-2"/>
          <c:w val="0.82553602802751791"/>
          <c:h val="0.73910567558006246"/>
        </c:manualLayout>
      </c:layout>
      <c:barChart>
        <c:barDir val="col"/>
        <c:grouping val="clustered"/>
        <c:varyColors val="0"/>
        <c:ser>
          <c:idx val="0"/>
          <c:order val="0"/>
          <c:tx>
            <c:strRef>
              <c:f>'Stoku i Borxhit'!$A$26</c:f>
              <c:strCache>
                <c:ptCount val="1"/>
                <c:pt idx="0">
                  <c:v>Borxhi Shtetëror</c:v>
                </c:pt>
              </c:strCache>
            </c:strRef>
          </c:tx>
          <c:spPr>
            <a:solidFill>
              <a:srgbClr val="C00000"/>
            </a:solidFill>
            <a:ln>
              <a:noFill/>
            </a:ln>
            <a:effectLst/>
          </c:spPr>
          <c:invertIfNegative val="0"/>
          <c:dLbls>
            <c:dLbl>
              <c:idx val="0"/>
              <c:layout>
                <c:manualLayout>
                  <c:x val="-3.5650623885918001E-3"/>
                  <c:y val="0.40584174126523159"/>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DF3-4C4B-9F95-E56CF7F22321}"/>
                </c:ext>
                <c:ext xmlns:c15="http://schemas.microsoft.com/office/drawing/2012/chart" uri="{CE6537A1-D6FC-4f65-9D91-7224C49458BB}"/>
              </c:extLst>
            </c:dLbl>
            <c:dLbl>
              <c:idx val="1"/>
              <c:layout>
                <c:manualLayout>
                  <c:x val="0"/>
                  <c:y val="0.4250355777771124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DF3-4C4B-9F95-E56CF7F22321}"/>
                </c:ext>
                <c:ext xmlns:c15="http://schemas.microsoft.com/office/drawing/2012/chart" uri="{CE6537A1-D6FC-4f65-9D91-7224C49458BB}"/>
              </c:extLst>
            </c:dLbl>
            <c:dLbl>
              <c:idx val="2"/>
              <c:layout>
                <c:manualLayout>
                  <c:x val="-1.7825311942959001E-3"/>
                  <c:y val="0.433486023372553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DF3-4C4B-9F95-E56CF7F22321}"/>
                </c:ext>
                <c:ext xmlns:c15="http://schemas.microsoft.com/office/drawing/2012/chart" uri="{CE6537A1-D6FC-4f65-9D91-7224C49458BB}"/>
              </c:extLst>
            </c:dLbl>
            <c:dLbl>
              <c:idx val="3"/>
              <c:layout>
                <c:manualLayout>
                  <c:x val="-1.7825311942959001E-3"/>
                  <c:y val="0.40756025268704521"/>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DF3-4C4B-9F95-E56CF7F22321}"/>
                </c:ext>
                <c:ext xmlns:c15="http://schemas.microsoft.com/office/drawing/2012/chart" uri="{CE6537A1-D6FC-4f65-9D91-7224C49458BB}"/>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'Stoku i Borxhit'!$B$25:$G$25</c15:sqref>
                  </c15:fullRef>
                </c:ext>
              </c:extLst>
              <c:f>'Stoku i Borxhit'!$C$25:$G$25</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'Stoku i Borxhit'!$B$26:$G$26</c15:sqref>
                  </c15:fullRef>
                </c:ext>
              </c:extLst>
              <c:f>'Stoku i Borxhit'!$C$26:$G$26</c:f>
              <c:numCache>
                <c:formatCode>_(* #,##0.0_);_(* \(#,##0.0\);_(* "-"??_);_(@_)</c:formatCode>
                <c:ptCount val="5"/>
                <c:pt idx="0">
                  <c:v>1037.4566964684852</c:v>
                </c:pt>
                <c:pt idx="1">
                  <c:v>1061.8967513634955</c:v>
                </c:pt>
                <c:pt idx="2">
                  <c:v>1070.1914054458098</c:v>
                </c:pt>
                <c:pt idx="3">
                  <c:v>1175.225527028218</c:v>
                </c:pt>
                <c:pt idx="4">
                  <c:v>1327.764990697297</c:v>
                </c:pt>
              </c:numCache>
            </c:numRef>
          </c:val>
          <c:extLst xmlns:c16r2="http://schemas.microsoft.com/office/drawing/2015/06/chart">
            <c:ext xmlns:c16="http://schemas.microsoft.com/office/drawing/2014/chart" uri="{C3380CC4-5D6E-409C-BE32-E72D297353CC}">
              <c16:uniqueId val="{00000005-FDF3-4C4B-9F95-E56CF7F22321}"/>
            </c:ext>
          </c:extLst>
        </c:ser>
        <c:ser>
          <c:idx val="1"/>
          <c:order val="1"/>
          <c:tx>
            <c:strRef>
              <c:f>'Stoku i Borxhit'!$A$27</c:f>
              <c:strCache>
                <c:ptCount val="1"/>
                <c:pt idx="0">
                  <c:v>Borxhi i Garantuar</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'Stoku i Borxhit'!$B$25:$G$25</c15:sqref>
                  </c15:fullRef>
                </c:ext>
              </c:extLst>
              <c:f>'Stoku i Borxhit'!$C$25:$G$25</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'Stoku i Borxhit'!$B$27:$G$27</c15:sqref>
                  </c15:fullRef>
                </c:ext>
              </c:extLst>
              <c:f>'Stoku i Borxhit'!$C$27:$G$27</c:f>
              <c:numCache>
                <c:formatCode>_(* #,##0.0_);_(* \(#,##0.0\);_(* "-"??_);_(@_)</c:formatCode>
                <c:ptCount val="5"/>
                <c:pt idx="0">
                  <c:v>49.885175518906451</c:v>
                </c:pt>
                <c:pt idx="1">
                  <c:v>44.672074609123086</c:v>
                </c:pt>
                <c:pt idx="2">
                  <c:v>41.852794389665405</c:v>
                </c:pt>
                <c:pt idx="3">
                  <c:v>48.812704815169255</c:v>
                </c:pt>
                <c:pt idx="4">
                  <c:v>54.896090187555956</c:v>
                </c:pt>
              </c:numCache>
            </c:numRef>
          </c:val>
          <c:extLst xmlns:c16r2="http://schemas.microsoft.com/office/drawing/2015/06/chart">
            <c:ext xmlns:c16="http://schemas.microsoft.com/office/drawing/2014/chart" uri="{C3380CC4-5D6E-409C-BE32-E72D297353CC}">
              <c16:uniqueId val="{00000006-FDF3-4C4B-9F95-E56CF7F22321}"/>
            </c:ext>
          </c:extLst>
        </c:ser>
        <c:ser>
          <c:idx val="2"/>
          <c:order val="2"/>
          <c:tx>
            <c:strRef>
              <c:f>'Stoku i Borxhit'!$A$28</c:f>
              <c:strCache>
                <c:ptCount val="1"/>
                <c:pt idx="0">
                  <c:v>Borxhi i Pushtetit Lokal</c:v>
                </c:pt>
              </c:strCache>
            </c:strRef>
          </c:tx>
          <c:spPr>
            <a:solidFill>
              <a:srgbClr val="7030A0"/>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'Stoku i Borxhit'!$B$25:$G$25</c15:sqref>
                  </c15:fullRef>
                </c:ext>
              </c:extLst>
              <c:f>'Stoku i Borxhit'!$C$25:$G$25</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'Stoku i Borxhit'!$B$28:$G$28</c15:sqref>
                  </c15:fullRef>
                </c:ext>
              </c:extLst>
              <c:f>'Stoku i Borxhit'!$C$28:$G$28</c:f>
              <c:numCache>
                <c:formatCode>_(* #,##0.0_);_(* \(#,##0.0\);_(* "-"??_);_(@_)</c:formatCode>
                <c:ptCount val="5"/>
                <c:pt idx="0">
                  <c:v>0.82699999999999996</c:v>
                </c:pt>
                <c:pt idx="1">
                  <c:v>0.71568031431814005</c:v>
                </c:pt>
                <c:pt idx="2">
                  <c:v>0.58154912913567702</c:v>
                </c:pt>
                <c:pt idx="3">
                  <c:v>0.43212510779567692</c:v>
                </c:pt>
                <c:pt idx="4">
                  <c:v>0.31487680477723468</c:v>
                </c:pt>
              </c:numCache>
            </c:numRef>
          </c:val>
          <c:extLst xmlns:c16r2="http://schemas.microsoft.com/office/drawing/2015/06/chart">
            <c:ext xmlns:c16="http://schemas.microsoft.com/office/drawing/2014/chart" uri="{C3380CC4-5D6E-409C-BE32-E72D297353CC}">
              <c16:uniqueId val="{00000007-FDF3-4C4B-9F95-E56CF7F22321}"/>
            </c:ext>
          </c:extLst>
        </c:ser>
        <c:dLbls>
          <c:showLegendKey val="0"/>
          <c:showVal val="0"/>
          <c:showCatName val="0"/>
          <c:showSerName val="0"/>
          <c:showPercent val="0"/>
          <c:showBubbleSize val="0"/>
        </c:dLbls>
        <c:gapWidth val="148"/>
        <c:axId val="1860681200"/>
        <c:axId val="1860677392"/>
      </c:barChart>
      <c:lineChart>
        <c:grouping val="standard"/>
        <c:varyColors val="0"/>
        <c:ser>
          <c:idx val="3"/>
          <c:order val="3"/>
          <c:tx>
            <c:strRef>
              <c:f>'Stoku i Borxhit'!$A$29</c:f>
              <c:strCache>
                <c:ptCount val="1"/>
                <c:pt idx="0">
                  <c:v>Borxhi Publik/PBB</c:v>
                </c:pt>
              </c:strCache>
            </c:strRef>
          </c:tx>
          <c:spPr>
            <a:ln w="22225"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2.5324402942782837E-2"/>
                  <c:y val="-4.42137744872929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DF3-4C4B-9F95-E56CF7F22321}"/>
                </c:ext>
                <c:ext xmlns:c15="http://schemas.microsoft.com/office/drawing/2012/chart" uri="{CE6537A1-D6FC-4f65-9D91-7224C49458BB}"/>
              </c:extLst>
            </c:dLbl>
            <c:dLbl>
              <c:idx val="1"/>
              <c:layout>
                <c:manualLayout>
                  <c:x val="-3.0556454415800804E-2"/>
                  <c:y val="-5.17948947704438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DF3-4C4B-9F95-E56CF7F22321}"/>
                </c:ext>
                <c:ext xmlns:c15="http://schemas.microsoft.com/office/drawing/2012/chart" uri="{CE6537A1-D6FC-4f65-9D91-7224C49458BB}"/>
              </c:extLst>
            </c:dLbl>
            <c:dLbl>
              <c:idx val="2"/>
              <c:layout>
                <c:manualLayout>
                  <c:x val="-3.1414223906943137E-2"/>
                  <c:y val="-7.24359046157637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DF3-4C4B-9F95-E56CF7F22321}"/>
                </c:ext>
                <c:ext xmlns:c15="http://schemas.microsoft.com/office/drawing/2012/chart" uri="{CE6537A1-D6FC-4f65-9D91-7224C49458BB}"/>
              </c:extLst>
            </c:dLbl>
            <c:dLbl>
              <c:idx val="3"/>
              <c:layout>
                <c:manualLayout>
                  <c:x val="-3.1870331277083594E-2"/>
                  <c:y val="-5.45950426182502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DF3-4C4B-9F95-E56CF7F22321}"/>
                </c:ext>
                <c:ext xmlns:c15="http://schemas.microsoft.com/office/drawing/2012/chart" uri="{CE6537A1-D6FC-4f65-9D91-7224C49458BB}"/>
              </c:extLst>
            </c:dLbl>
            <c:dLbl>
              <c:idx val="4"/>
              <c:layout>
                <c:manualLayout>
                  <c:x val="-2.1743857360295715E-2"/>
                  <c:y val="-4.2674253200568987E-2"/>
                </c:manualLayout>
              </c:layout>
              <c:showLegendKey val="0"/>
              <c:showVal val="1"/>
              <c:showCatName val="0"/>
              <c:showSerName val="0"/>
              <c:showPercent val="0"/>
              <c:showBubbleSize val="0"/>
              <c:extLst>
                <c:ext xmlns:c15="http://schemas.microsoft.com/office/drawing/2012/chart" uri="{CE6537A1-D6FC-4f65-9D91-7224C49458BB}"/>
              </c:extLst>
            </c:dLbl>
            <c:dLbl>
              <c:idx val="139"/>
              <c:layout>
                <c:manualLayout>
                  <c:x val="-7.5011720581340839E-3"/>
                  <c:y val="-4.948454679428455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DF3-4C4B-9F95-E56CF7F22321}"/>
                </c:ext>
                <c:ext xmlns:c15="http://schemas.microsoft.com/office/drawing/2012/chart" uri="{CE6537A1-D6FC-4f65-9D91-7224C49458BB}"/>
              </c:extLst>
            </c:dLbl>
            <c:dLbl>
              <c:idx val="141"/>
              <c:layout>
                <c:manualLayout>
                  <c:x val="-1.6877637130801686E-2"/>
                  <c:y val="-7.14776787028555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DF3-4C4B-9F95-E56CF7F2232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extLst>
                <c:ext xmlns:c15="http://schemas.microsoft.com/office/drawing/2012/chart" uri="{02D57815-91ED-43cb-92C2-25804820EDAC}">
                  <c15:fullRef>
                    <c15:sqref>'Stoku i Borxhit'!$B$25:$G$25</c15:sqref>
                  </c15:fullRef>
                </c:ext>
              </c:extLst>
              <c:f>'Stoku i Borxhit'!$C$25:$G$25</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'Stoku i Borxhit'!$B$29:$G$29</c15:sqref>
                  </c15:fullRef>
                </c:ext>
              </c:extLst>
              <c:f>'Stoku i Borxhit'!$C$29:$G$29</c:f>
              <c:numCache>
                <c:formatCode>0.0%</c:formatCode>
                <c:ptCount val="5"/>
                <c:pt idx="0">
                  <c:v>0.70175219223537144</c:v>
                </c:pt>
                <c:pt idx="1">
                  <c:v>0.67652256110243891</c:v>
                </c:pt>
                <c:pt idx="2">
                  <c:v>0.65761793020321535</c:v>
                </c:pt>
                <c:pt idx="3">
                  <c:v>0.74477676954983441</c:v>
                </c:pt>
                <c:pt idx="4">
                  <c:v>0.73162492206955054</c:v>
                </c:pt>
              </c:numCache>
            </c:numRef>
          </c:val>
          <c:smooth val="1"/>
          <c:extLst xmlns:c16r2="http://schemas.microsoft.com/office/drawing/2015/06/chart">
            <c:ext xmlns:c16="http://schemas.microsoft.com/office/drawing/2014/chart" uri="{C3380CC4-5D6E-409C-BE32-E72D297353CC}">
              <c16:uniqueId val="{0000000F-FDF3-4C4B-9F95-E56CF7F22321}"/>
            </c:ext>
          </c:extLst>
        </c:ser>
        <c:dLbls>
          <c:showLegendKey val="0"/>
          <c:showVal val="0"/>
          <c:showCatName val="0"/>
          <c:showSerName val="0"/>
          <c:showPercent val="0"/>
          <c:showBubbleSize val="0"/>
        </c:dLbls>
        <c:marker val="1"/>
        <c:smooth val="0"/>
        <c:axId val="1860683920"/>
        <c:axId val="1860677936"/>
      </c:lineChart>
      <c:catAx>
        <c:axId val="18606812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60677392"/>
        <c:crosses val="autoZero"/>
        <c:auto val="1"/>
        <c:lblAlgn val="ctr"/>
        <c:lblOffset val="100"/>
        <c:noMultiLvlLbl val="0"/>
      </c:catAx>
      <c:valAx>
        <c:axId val="1860677392"/>
        <c:scaling>
          <c:orientation val="minMax"/>
          <c:max val="12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1.4580415442271117E-2"/>
              <c:y val="0.2168791050056251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60681200"/>
        <c:crosses val="autoZero"/>
        <c:crossBetween val="between"/>
        <c:majorUnit val="300"/>
      </c:valAx>
      <c:valAx>
        <c:axId val="1860677936"/>
        <c:scaling>
          <c:orientation val="minMax"/>
          <c:max val="0.85000000000000009"/>
          <c:min val="0.5"/>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60683920"/>
        <c:crosses val="max"/>
        <c:crossBetween val="between"/>
        <c:majorUnit val="0.1"/>
      </c:valAx>
      <c:catAx>
        <c:axId val="1860683920"/>
        <c:scaling>
          <c:orientation val="minMax"/>
        </c:scaling>
        <c:delete val="1"/>
        <c:axPos val="b"/>
        <c:numFmt formatCode="General" sourceLinked="1"/>
        <c:majorTickMark val="none"/>
        <c:minorTickMark val="none"/>
        <c:tickLblPos val="nextTo"/>
        <c:crossAx val="1860677936"/>
        <c:crosses val="autoZero"/>
        <c:auto val="1"/>
        <c:lblAlgn val="ctr"/>
        <c:lblOffset val="100"/>
        <c:noMultiLvlLbl val="0"/>
      </c:catAx>
      <c:spPr>
        <a:noFill/>
        <a:ln>
          <a:noFill/>
        </a:ln>
        <a:effectLst/>
      </c:spPr>
    </c:plotArea>
    <c:legend>
      <c:legendPos val="b"/>
      <c:layout>
        <c:manualLayout>
          <c:xMode val="edge"/>
          <c:yMode val="edge"/>
          <c:x val="8.4927786433112953E-2"/>
          <c:y val="0.89923894494176826"/>
          <c:w val="0.87502990278707826"/>
          <c:h val="8.55519295829466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a:solidFill>
                  <a:sysClr val="windowText" lastClr="000000"/>
                </a:solidFill>
              </a:rPr>
              <a:t>Borxhi i Brendshëm </a:t>
            </a:r>
          </a:p>
        </c:rich>
      </c:tx>
      <c:layout>
        <c:manualLayout>
          <c:xMode val="edge"/>
          <c:yMode val="edge"/>
          <c:x val="0.32554257095158595"/>
          <c:y val="1.1731581417175035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161653354481769"/>
          <c:y val="0.1239506347979375"/>
          <c:w val="0.61563133744972531"/>
          <c:h val="0.80350005545081515"/>
        </c:manualLayout>
      </c:layout>
      <c:pieChart>
        <c:varyColors val="1"/>
        <c:dLbls>
          <c:showLegendKey val="0"/>
          <c:showVal val="0"/>
          <c:showCatName val="0"/>
          <c:showSerName val="0"/>
          <c:showPercent val="0"/>
          <c:showBubbleSize val="0"/>
          <c:showLeaderLines val="0"/>
        </c:dLbls>
        <c:firstSliceAng val="34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a:solidFill>
                  <a:sysClr val="windowText" lastClr="000000"/>
                </a:solidFill>
              </a:rPr>
              <a:t>Borxhi</a:t>
            </a:r>
            <a:r>
              <a:rPr lang="en-US" sz="900" baseline="0">
                <a:solidFill>
                  <a:sysClr val="windowText" lastClr="000000"/>
                </a:solidFill>
              </a:rPr>
              <a:t> Shtetëror </a:t>
            </a:r>
          </a:p>
        </c:rich>
      </c:tx>
      <c:layout>
        <c:manualLayout>
          <c:xMode val="edge"/>
          <c:yMode val="edge"/>
          <c:x val="0.24291053674575858"/>
          <c:y val="5.4436581382689168E-3"/>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0845670557596811"/>
          <c:y val="0.18228410751867774"/>
          <c:w val="0.68585948332443436"/>
          <c:h val="0.69650019931504203"/>
        </c:manualLayout>
      </c:layout>
      <c:pieChart>
        <c:varyColors val="1"/>
        <c:dLbls>
          <c:showLegendKey val="0"/>
          <c:showVal val="0"/>
          <c:showCatName val="0"/>
          <c:showSerName val="0"/>
          <c:showPercent val="0"/>
          <c:showBubbleSize val="0"/>
          <c:showLeaderLines val="0"/>
        </c:dLbls>
        <c:firstSliceAng val="0"/>
      </c:pieChart>
      <c:spPr>
        <a:noFill/>
        <a:ln>
          <a:noFill/>
        </a:ln>
        <a:effectLst/>
      </c:spPr>
    </c:plotArea>
    <c:legend>
      <c:legendPos val="b"/>
      <c:layout>
        <c:manualLayout>
          <c:xMode val="edge"/>
          <c:yMode val="edge"/>
          <c:x val="9.9358640207497545E-2"/>
          <c:y val="0.89872609826874517"/>
          <c:w val="0.66554570960761572"/>
          <c:h val="7.8125546806649182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000">
                <a:solidFill>
                  <a:sysClr val="windowText" lastClr="000000"/>
                </a:solidFill>
              </a:rPr>
              <a:t>Borxhi i Brendshëm </a:t>
            </a:r>
          </a:p>
        </c:rich>
      </c:tx>
      <c:layout>
        <c:manualLayout>
          <c:xMode val="edge"/>
          <c:yMode val="edge"/>
          <c:x val="0.30745162301744583"/>
          <c:y val="7.1856670090151764E-3"/>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4217656489407643"/>
          <c:y val="0.20045372589295907"/>
          <c:w val="0.55423109043187779"/>
          <c:h val="0.79954649111484011"/>
        </c:manualLayout>
      </c:layout>
      <c:pieChart>
        <c:varyColors val="1"/>
        <c:dLbls>
          <c:showLegendKey val="0"/>
          <c:showVal val="0"/>
          <c:showCatName val="0"/>
          <c:showSerName val="0"/>
          <c:showPercent val="0"/>
          <c:showBubbleSize val="0"/>
          <c:showLeaderLines val="0"/>
        </c:dLbls>
        <c:firstSliceAng val="34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r>
              <a:rPr lang="en-US" sz="800">
                <a:solidFill>
                  <a:sysClr val="windowText" lastClr="000000"/>
                </a:solidFill>
              </a:rPr>
              <a:t>Borxhi i Jashtëm</a:t>
            </a:r>
            <a:endParaRPr lang="en-US" sz="800" baseline="0">
              <a:solidFill>
                <a:sysClr val="windowText" lastClr="000000"/>
              </a:solidFill>
            </a:endParaRPr>
          </a:p>
        </c:rich>
      </c:tx>
      <c:layout>
        <c:manualLayout>
          <c:xMode val="edge"/>
          <c:yMode val="edge"/>
          <c:x val="0.29277616763702585"/>
          <c:y val="0"/>
        </c:manualLayout>
      </c:layout>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3760847076525857"/>
          <c:y val="0.15966125031060202"/>
          <c:w val="0.43179785751536764"/>
          <c:h val="0.82294014851868302"/>
        </c:manualLayout>
      </c:layout>
      <c:pieChart>
        <c:varyColors val="1"/>
        <c:ser>
          <c:idx val="0"/>
          <c:order val="0"/>
          <c:dPt>
            <c:idx val="0"/>
            <c:bubble3D val="0"/>
            <c:spPr>
              <a:solidFill>
                <a:srgbClr val="C0000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08C3-40F8-9A70-C9A1C39FEE84}"/>
              </c:ext>
            </c:extLst>
          </c:dPt>
          <c:dPt>
            <c:idx val="1"/>
            <c:bubble3D val="0"/>
            <c:spPr>
              <a:solidFill>
                <a:schemeClr val="accent3"/>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08C3-40F8-9A70-C9A1C39FEE84}"/>
              </c:ext>
            </c:extLst>
          </c:dPt>
          <c:dPt>
            <c:idx val="2"/>
            <c:bubble3D val="0"/>
            <c:spPr>
              <a:solidFill>
                <a:srgbClr val="7030A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08C3-40F8-9A70-C9A1C39FEE84}"/>
              </c:ext>
            </c:extLst>
          </c:dPt>
          <c:dPt>
            <c:idx val="3"/>
            <c:bubble3D val="0"/>
            <c:spPr>
              <a:solidFill>
                <a:schemeClr val="accent6"/>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08C3-40F8-9A70-C9A1C39FEE84}"/>
              </c:ext>
            </c:extLst>
          </c:dPt>
          <c:dLbls>
            <c:dLbl>
              <c:idx val="0"/>
              <c:layout>
                <c:manualLayout>
                  <c:x val="-0.16488183698808104"/>
                  <c:y val="-0.1092191774801645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8C3-40F8-9A70-C9A1C39FEE84}"/>
                </c:ext>
                <c:ext xmlns:c15="http://schemas.microsoft.com/office/drawing/2012/chart" uri="{CE6537A1-D6FC-4f65-9D91-7224C49458BB}"/>
              </c:extLst>
            </c:dLbl>
            <c:dLbl>
              <c:idx val="1"/>
              <c:layout>
                <c:manualLayout>
                  <c:x val="0.13837278890627272"/>
                  <c:y val="0.101736519872418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8C3-40F8-9A70-C9A1C39FEE84}"/>
                </c:ext>
                <c:ext xmlns:c15="http://schemas.microsoft.com/office/drawing/2012/chart" uri="{CE6537A1-D6FC-4f65-9D91-7224C49458BB}"/>
              </c:extLst>
            </c:dLbl>
            <c:dLbl>
              <c:idx val="2"/>
              <c:layout>
                <c:manualLayout>
                  <c:x val="5.0913932989646651E-2"/>
                  <c:y val="9.63913137345157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8C3-40F8-9A70-C9A1C39FEE84}"/>
                </c:ext>
                <c:ext xmlns:c15="http://schemas.microsoft.com/office/drawing/2012/chart" uri="{CE6537A1-D6FC-4f65-9D91-7224C49458BB}"/>
              </c:extLst>
            </c:dLbl>
            <c:dLbl>
              <c:idx val="3"/>
              <c:layout>
                <c:manualLayout>
                  <c:x val="8.9109748903536845E-2"/>
                  <c:y val="0.1399220338016465"/>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'B.Shteteror sipas Monedhes '!$A$42:$A$45</c:f>
              <c:strCache>
                <c:ptCount val="4"/>
                <c:pt idx="0">
                  <c:v>EUR</c:v>
                </c:pt>
                <c:pt idx="1">
                  <c:v>USD</c:v>
                </c:pt>
                <c:pt idx="2">
                  <c:v>JPY</c:v>
                </c:pt>
                <c:pt idx="3">
                  <c:v>Të tjera</c:v>
                </c:pt>
              </c:strCache>
            </c:strRef>
          </c:cat>
          <c:val>
            <c:numRef>
              <c:f>'B.Shteteror sipas Monedhes '!$O$42:$O$45</c:f>
              <c:numCache>
                <c:formatCode>0.0%</c:formatCode>
                <c:ptCount val="4"/>
                <c:pt idx="0">
                  <c:v>0.7394399699248605</c:v>
                </c:pt>
                <c:pt idx="1">
                  <c:v>0.17899207269812201</c:v>
                </c:pt>
                <c:pt idx="2">
                  <c:v>2.5012541767801374E-2</c:v>
                </c:pt>
                <c:pt idx="3">
                  <c:v>5.6555415609216023E-2</c:v>
                </c:pt>
              </c:numCache>
            </c:numRef>
          </c:val>
          <c:extLst xmlns:c16r2="http://schemas.microsoft.com/office/drawing/2015/06/chart">
            <c:ext xmlns:c16="http://schemas.microsoft.com/office/drawing/2014/chart" uri="{C3380CC4-5D6E-409C-BE32-E72D297353CC}">
              <c16:uniqueId val="{00000008-08C3-40F8-9A70-C9A1C39FEE8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a:solidFill>
                  <a:sysClr val="windowText" lastClr="000000"/>
                </a:solidFill>
              </a:rPr>
              <a:t>Borxhi i Jashtëm</a:t>
            </a:r>
            <a:endParaRPr lang="en-US" sz="1200" baseline="0">
              <a:solidFill>
                <a:sysClr val="windowText" lastClr="000000"/>
              </a:solidFill>
            </a:endParaRPr>
          </a:p>
        </c:rich>
      </c:tx>
      <c:layout>
        <c:manualLayout>
          <c:xMode val="edge"/>
          <c:yMode val="edge"/>
          <c:x val="0.28126664023112224"/>
          <c:y val="5.6377718282761335E-2"/>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786986159104211"/>
          <c:y val="0.18035454038176149"/>
          <c:w val="0.64727921599728078"/>
          <c:h val="0.76086081229194058"/>
        </c:manualLayout>
      </c:layout>
      <c:pieChart>
        <c:varyColors val="1"/>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r>
              <a:rPr lang="en-US" sz="800">
                <a:solidFill>
                  <a:sysClr val="windowText" lastClr="000000"/>
                </a:solidFill>
              </a:rPr>
              <a:t>Borxhi i Jashtëm</a:t>
            </a:r>
            <a:endParaRPr lang="en-US" sz="800" baseline="0">
              <a:solidFill>
                <a:sysClr val="windowText" lastClr="000000"/>
              </a:solidFill>
            </a:endParaRPr>
          </a:p>
        </c:rich>
      </c:tx>
      <c:layout>
        <c:manualLayout>
          <c:xMode val="edge"/>
          <c:yMode val="edge"/>
          <c:x val="0.25568020415358528"/>
          <c:y val="3.5896319411686452E-2"/>
        </c:manualLayout>
      </c:layout>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4277597653234519"/>
          <c:y val="0.17902451918840764"/>
          <c:w val="0.69337340295149674"/>
          <c:h val="0.83254512540771108"/>
        </c:manualLayout>
      </c:layout>
      <c:pieChart>
        <c:varyColors val="1"/>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'Garancite '!$A$30</c:f>
              <c:strCache>
                <c:ptCount val="1"/>
                <c:pt idx="0">
                  <c:v>Garanci të brendshme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'Garancite '!$B$26:$H$26</c:f>
              <c:strCache>
                <c:ptCount val="5"/>
                <c:pt idx="0">
                  <c:v>2017</c:v>
                </c:pt>
                <c:pt idx="1">
                  <c:v>2018</c:v>
                </c:pt>
                <c:pt idx="2">
                  <c:v>2019</c:v>
                </c:pt>
                <c:pt idx="3">
                  <c:v>2020</c:v>
                </c:pt>
                <c:pt idx="4">
                  <c:v>2021</c:v>
                </c:pt>
              </c:strCache>
              <c:extLst/>
            </c:strRef>
          </c:cat>
          <c:val>
            <c:numRef>
              <c:f>'Garancite '!$B$30:$H$30</c:f>
              <c:numCache>
                <c:formatCode>0.0%</c:formatCode>
                <c:ptCount val="5"/>
                <c:pt idx="0">
                  <c:v>0.60372585014932323</c:v>
                </c:pt>
                <c:pt idx="1">
                  <c:v>0.34065539673485801</c:v>
                </c:pt>
                <c:pt idx="2">
                  <c:v>0.36208871464582637</c:v>
                </c:pt>
                <c:pt idx="3">
                  <c:v>0.27240236825029696</c:v>
                </c:pt>
                <c:pt idx="4">
                  <c:v>0.42579821992556333</c:v>
                </c:pt>
              </c:numCache>
              <c:extLst/>
            </c:numRef>
          </c:val>
          <c:extLst xmlns:c16r2="http://schemas.microsoft.com/office/drawing/2015/06/chart">
            <c:ext xmlns:c16="http://schemas.microsoft.com/office/drawing/2014/chart" uri="{C3380CC4-5D6E-409C-BE32-E72D297353CC}">
              <c16:uniqueId val="{00000000-2066-41E1-93DF-4684F21D1817}"/>
            </c:ext>
          </c:extLst>
        </c:ser>
        <c:ser>
          <c:idx val="1"/>
          <c:order val="1"/>
          <c:tx>
            <c:strRef>
              <c:f>'Garancite '!$A$31</c:f>
              <c:strCache>
                <c:ptCount val="1"/>
                <c:pt idx="0">
                  <c:v>Garanci të huaja</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'Garancite '!$B$26:$H$26</c:f>
              <c:strCache>
                <c:ptCount val="5"/>
                <c:pt idx="0">
                  <c:v>2017</c:v>
                </c:pt>
                <c:pt idx="1">
                  <c:v>2018</c:v>
                </c:pt>
                <c:pt idx="2">
                  <c:v>2019</c:v>
                </c:pt>
                <c:pt idx="3">
                  <c:v>2020</c:v>
                </c:pt>
                <c:pt idx="4">
                  <c:v>2021</c:v>
                </c:pt>
              </c:strCache>
              <c:extLst/>
            </c:strRef>
          </c:cat>
          <c:val>
            <c:numRef>
              <c:f>'Garancite '!$B$31:$H$31</c:f>
              <c:numCache>
                <c:formatCode>0.0%</c:formatCode>
                <c:ptCount val="5"/>
                <c:pt idx="0">
                  <c:v>0.39627414985067683</c:v>
                </c:pt>
                <c:pt idx="1">
                  <c:v>0.65934460326514188</c:v>
                </c:pt>
                <c:pt idx="2">
                  <c:v>0.63791128535417363</c:v>
                </c:pt>
                <c:pt idx="3">
                  <c:v>0.72759763174970293</c:v>
                </c:pt>
                <c:pt idx="4">
                  <c:v>0.57420178007443667</c:v>
                </c:pt>
              </c:numCache>
              <c:extLst/>
            </c:numRef>
          </c:val>
          <c:extLst xmlns:c16r2="http://schemas.microsoft.com/office/drawing/2015/06/chart">
            <c:ext xmlns:c16="http://schemas.microsoft.com/office/drawing/2014/chart" uri="{C3380CC4-5D6E-409C-BE32-E72D297353CC}">
              <c16:uniqueId val="{00000001-2066-41E1-93DF-4684F21D1817}"/>
            </c:ext>
          </c:extLst>
        </c:ser>
        <c:dLbls>
          <c:showLegendKey val="0"/>
          <c:showVal val="0"/>
          <c:showCatName val="0"/>
          <c:showSerName val="0"/>
          <c:showPercent val="0"/>
          <c:showBubbleSize val="0"/>
        </c:dLbls>
        <c:gapWidth val="150"/>
        <c:overlap val="100"/>
        <c:axId val="1880382208"/>
        <c:axId val="1880382752"/>
      </c:barChart>
      <c:catAx>
        <c:axId val="18803822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80382752"/>
        <c:crosses val="autoZero"/>
        <c:auto val="1"/>
        <c:lblAlgn val="ctr"/>
        <c:lblOffset val="100"/>
        <c:noMultiLvlLbl val="0"/>
      </c:catAx>
      <c:valAx>
        <c:axId val="1880382752"/>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80382208"/>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994171048518101E-2"/>
          <c:y val="5.8632907397306012E-2"/>
          <c:w val="0.90843540716496307"/>
          <c:h val="0.74472983980450724"/>
        </c:manualLayout>
      </c:layout>
      <c:barChart>
        <c:barDir val="col"/>
        <c:grouping val="percentStacked"/>
        <c:varyColors val="0"/>
        <c:ser>
          <c:idx val="0"/>
          <c:order val="0"/>
          <c:tx>
            <c:strRef>
              <c:f>'Garancite '!$A$17</c:f>
              <c:strCache>
                <c:ptCount val="1"/>
                <c:pt idx="0">
                  <c:v>Energjia</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'Garancite '!$B$16:$G$16</c15:sqref>
                  </c15:fullRef>
                </c:ext>
              </c:extLst>
              <c:f>'Garancite '!$C$16:$G$16</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'Garancite '!$B$17:$G$17</c15:sqref>
                  </c15:fullRef>
                </c:ext>
              </c:extLst>
              <c:f>'Garancite '!$C$17:$G$17</c:f>
              <c:numCache>
                <c:formatCode>0.0%</c:formatCode>
                <c:ptCount val="5"/>
                <c:pt idx="0">
                  <c:v>0.83114701626977761</c:v>
                </c:pt>
                <c:pt idx="1">
                  <c:v>0.84032379084761044</c:v>
                </c:pt>
                <c:pt idx="2">
                  <c:v>0.83189498470392853</c:v>
                </c:pt>
                <c:pt idx="3">
                  <c:v>0.67205241462345777</c:v>
                </c:pt>
                <c:pt idx="4">
                  <c:v>0.71356891079508245</c:v>
                </c:pt>
              </c:numCache>
            </c:numRef>
          </c:val>
          <c:extLst xmlns:c16r2="http://schemas.microsoft.com/office/drawing/2015/06/chart">
            <c:ext xmlns:c16="http://schemas.microsoft.com/office/drawing/2014/chart" uri="{C3380CC4-5D6E-409C-BE32-E72D297353CC}">
              <c16:uniqueId val="{00000000-A2B6-4B02-8EF6-D99BD2913BBB}"/>
            </c:ext>
          </c:extLst>
        </c:ser>
        <c:ser>
          <c:idx val="2"/>
          <c:order val="2"/>
          <c:tx>
            <c:strRef>
              <c:f>'Garancite '!$A$18</c:f>
              <c:strCache>
                <c:ptCount val="1"/>
                <c:pt idx="0">
                  <c:v>Ujesjellës Kanalizime</c:v>
                </c:pt>
              </c:strCache>
            </c:strRef>
          </c:tx>
          <c:spPr>
            <a:solidFill>
              <a:schemeClr val="bg1">
                <a:lumMod val="65000"/>
              </a:schemeClr>
            </a:solidFill>
            <a:ln>
              <a:noFill/>
            </a:ln>
            <a:effectLst/>
          </c:spPr>
          <c:invertIfNegative val="0"/>
          <c:dLbls>
            <c:dLbl>
              <c:idx val="4"/>
              <c:layout>
                <c:manualLayout>
                  <c:x val="-1.3655954457630375E-16"/>
                  <c:y val="1.324503771707000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'Garancite '!$B$16:$G$16</c15:sqref>
                  </c15:fullRef>
                </c:ext>
              </c:extLst>
              <c:f>'Garancite '!$C$16:$G$16</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'Garancite '!$B$18:$G$18</c15:sqref>
                  </c15:fullRef>
                </c:ext>
              </c:extLst>
              <c:f>'Garancite '!$C$18:$G$18</c:f>
              <c:numCache>
                <c:formatCode>0.0%</c:formatCode>
                <c:ptCount val="5"/>
                <c:pt idx="0">
                  <c:v>7.5931517744006236E-2</c:v>
                </c:pt>
                <c:pt idx="1">
                  <c:v>7.7570636400784584E-2</c:v>
                </c:pt>
                <c:pt idx="2">
                  <c:v>9.755049456664068E-2</c:v>
                </c:pt>
                <c:pt idx="3">
                  <c:v>8.9667988460799139E-2</c:v>
                </c:pt>
                <c:pt idx="4">
                  <c:v>7.8566869605387751E-2</c:v>
                </c:pt>
              </c:numCache>
            </c:numRef>
          </c:val>
          <c:extLst xmlns:c16r2="http://schemas.microsoft.com/office/drawing/2015/06/chart">
            <c:ext xmlns:c16="http://schemas.microsoft.com/office/drawing/2014/chart" uri="{C3380CC4-5D6E-409C-BE32-E72D297353CC}">
              <c16:uniqueId val="{00000006-A2B6-4B02-8EF6-D99BD2913BBB}"/>
            </c:ext>
          </c:extLst>
        </c:ser>
        <c:ser>
          <c:idx val="3"/>
          <c:order val="3"/>
          <c:tx>
            <c:strRef>
              <c:f>'Garancite '!$A$19</c:f>
              <c:strCache>
                <c:ptCount val="1"/>
                <c:pt idx="0">
                  <c:v>Transporti</c:v>
                </c:pt>
              </c:strCache>
            </c:strRef>
          </c:tx>
          <c:spPr>
            <a:solidFill>
              <a:schemeClr val="accent4">
                <a:lumMod val="75000"/>
              </a:schemeClr>
            </a:solidFill>
            <a:ln>
              <a:noFill/>
            </a:ln>
            <a:effectLst/>
          </c:spPr>
          <c:invertIfNegative val="0"/>
          <c:dLbls>
            <c:dLbl>
              <c:idx val="4"/>
              <c:layout>
                <c:manualLayout>
                  <c:x val="-3.7243942397404304E-3"/>
                  <c:y val="4.415012572356667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'Garancite '!$B$16:$G$16</c15:sqref>
                  </c15:fullRef>
                </c:ext>
              </c:extLst>
              <c:f>'Garancite '!$C$16:$G$16</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'Garancite '!$B$19:$G$19</c15:sqref>
                  </c15:fullRef>
                </c:ext>
              </c:extLst>
              <c:f>'Garancite '!$C$19:$G$19</c:f>
              <c:numCache>
                <c:formatCode>0.0%</c:formatCode>
                <c:ptCount val="5"/>
                <c:pt idx="0">
                  <c:v>2.6838656233575644E-2</c:v>
                </c:pt>
                <c:pt idx="1">
                  <c:v>2.1887568039031149E-2</c:v>
                </c:pt>
                <c:pt idx="2">
                  <c:v>1.6298815291693174E-2</c:v>
                </c:pt>
                <c:pt idx="3">
                  <c:v>1.0216971336163354E-2</c:v>
                </c:pt>
                <c:pt idx="4">
                  <c:v>5.4145203456392749E-3</c:v>
                </c:pt>
              </c:numCache>
            </c:numRef>
          </c:val>
          <c:extLst xmlns:c16r2="http://schemas.microsoft.com/office/drawing/2015/06/chart">
            <c:ext xmlns:c16="http://schemas.microsoft.com/office/drawing/2014/chart" uri="{C3380CC4-5D6E-409C-BE32-E72D297353CC}">
              <c16:uniqueId val="{00000007-A2B6-4B02-8EF6-D99BD2913BBB}"/>
            </c:ext>
          </c:extLst>
        </c:ser>
        <c:ser>
          <c:idx val="4"/>
          <c:order val="4"/>
          <c:tx>
            <c:strRef>
              <c:f>'Garancite '!$A$21</c:f>
              <c:strCache>
                <c:ptCount val="1"/>
                <c:pt idx="0">
                  <c:v>Të Tjera</c:v>
                </c:pt>
              </c:strCache>
            </c:strRef>
          </c:tx>
          <c:spPr>
            <a:solidFill>
              <a:schemeClr val="accent6">
                <a:lumMod val="75000"/>
              </a:schemeClr>
            </a:solidFill>
            <a:ln>
              <a:noFill/>
            </a:ln>
            <a:effectLst/>
          </c:spPr>
          <c:invertIfNegative val="0"/>
          <c:dLbls>
            <c:dLbl>
              <c:idx val="1"/>
              <c:layout>
                <c:manualLayout>
                  <c:x val="-6.8567064415364431E-17"/>
                  <c:y val="1.3348801619233333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2B6-4B02-8EF6-D99BD2913BBB}"/>
                </c:ext>
                <c:ext xmlns:c15="http://schemas.microsoft.com/office/drawing/2012/chart" uri="{CE6537A1-D6FC-4f65-9D91-7224C49458BB}"/>
              </c:extLst>
            </c:dLbl>
            <c:dLbl>
              <c:idx val="2"/>
              <c:layout>
                <c:manualLayout>
                  <c:x val="-1.3713412883072886E-16"/>
                  <c:y val="-2.6789754728934745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2B6-4B02-8EF6-D99BD2913BBB}"/>
                </c:ext>
                <c:ext xmlns:c15="http://schemas.microsoft.com/office/drawing/2012/chart" uri="{CE6537A1-D6FC-4f65-9D91-7224C49458BB}"/>
              </c:extLst>
            </c:dLbl>
            <c:dLbl>
              <c:idx val="3"/>
              <c:layout>
                <c:manualLayout>
                  <c:x val="0"/>
                  <c:y val="1.8923966792551227E-4"/>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2B6-4B02-8EF6-D99BD2913BBB}"/>
                </c:ext>
                <c:ext xmlns:c15="http://schemas.microsoft.com/office/drawing/2012/chart" uri="{CE6537A1-D6FC-4f65-9D91-7224C49458BB}"/>
              </c:extLst>
            </c:dLbl>
            <c:dLbl>
              <c:idx val="4"/>
              <c:layout>
                <c:manualLayout>
                  <c:x val="-5.5865913596107823E-3"/>
                  <c:y val="-1.9345403120197151E-2"/>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'Garancite '!$B$16:$G$16</c15:sqref>
                  </c15:fullRef>
                </c:ext>
              </c:extLst>
              <c:f>'Garancite '!$C$16:$G$16</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'Garancite '!$B$21:$G$21</c15:sqref>
                  </c15:fullRef>
                </c:ext>
              </c:extLst>
              <c:f>'Garancite '!$C$21:$G$21</c:f>
              <c:numCache>
                <c:formatCode>0.0%</c:formatCode>
                <c:ptCount val="5"/>
                <c:pt idx="0">
                  <c:v>6.6082809752640415E-2</c:v>
                </c:pt>
                <c:pt idx="1">
                  <c:v>6.0218004712573756E-2</c:v>
                </c:pt>
                <c:pt idx="2">
                  <c:v>5.4255705437737597E-2</c:v>
                </c:pt>
                <c:pt idx="3">
                  <c:v>4.1622852736406465E-2</c:v>
                </c:pt>
                <c:pt idx="4">
                  <c:v>2.8696852177734534E-2</c:v>
                </c:pt>
              </c:numCache>
            </c:numRef>
          </c:val>
          <c:extLst xmlns:c16r2="http://schemas.microsoft.com/office/drawing/2015/06/chart">
            <c:ext xmlns:c16="http://schemas.microsoft.com/office/drawing/2014/chart" uri="{C3380CC4-5D6E-409C-BE32-E72D297353CC}">
              <c16:uniqueId val="{0000000B-A2B6-4B02-8EF6-D99BD2913BBB}"/>
            </c:ext>
          </c:extLst>
        </c:ser>
        <c:ser>
          <c:idx val="5"/>
          <c:order val="5"/>
          <c:tx>
            <c:strRef>
              <c:f>'Garancite '!$A$20</c:f>
              <c:strCache>
                <c:ptCount val="1"/>
                <c:pt idx="0">
                  <c:v>Garancitë për Biznesin për Covid</c:v>
                </c:pt>
              </c:strCache>
            </c:strRef>
          </c:tx>
          <c:spPr>
            <a:solidFill>
              <a:schemeClr val="accent3">
                <a:lumMod val="60000"/>
                <a:lumOff val="40000"/>
              </a:schemeClr>
            </a:solidFill>
            <a:ln>
              <a:noFill/>
            </a:ln>
            <a:effectLst/>
          </c:spPr>
          <c:invertIfNegative val="0"/>
          <c:dPt>
            <c:idx val="3"/>
            <c:invertIfNegative val="0"/>
            <c:bubble3D val="0"/>
            <c:spPr>
              <a:solidFill>
                <a:schemeClr val="accent3">
                  <a:lumMod val="60000"/>
                  <a:lumOff val="40000"/>
                </a:schemeClr>
              </a:solidFill>
              <a:ln>
                <a:noFill/>
              </a:ln>
              <a:effectLst/>
            </c:spPr>
          </c:dPt>
          <c:dLbls>
            <c:dLbl>
              <c:idx val="3"/>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2B6-4B02-8EF6-D99BD2913BBB}"/>
                </c:ext>
                <c:ext xmlns:c15="http://schemas.microsoft.com/office/drawing/2012/chart" uri="{CE6537A1-D6FC-4f65-9D91-7224C49458BB}"/>
              </c:extLst>
            </c:dLbl>
            <c:dLbl>
              <c:idx val="4"/>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'Garancite '!$B$16:$G$16</c15:sqref>
                  </c15:fullRef>
                </c:ext>
              </c:extLst>
              <c:f>'Garancite '!$C$16:$G$16</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'Garancite '!$B$20:$G$20</c15:sqref>
                  </c15:fullRef>
                </c:ext>
              </c:extLst>
              <c:f>'Garancite '!$C$20:$G$20</c:f>
              <c:numCache>
                <c:formatCode>0.0%</c:formatCode>
                <c:ptCount val="5"/>
                <c:pt idx="3">
                  <c:v>0.18643977284317337</c:v>
                </c:pt>
                <c:pt idx="4">
                  <c:v>0.17375284707615607</c:v>
                </c:pt>
              </c:numCache>
            </c:numRef>
          </c:val>
          <c:extLst xmlns:c16r2="http://schemas.microsoft.com/office/drawing/2015/06/chart">
            <c:ext xmlns:c16="http://schemas.microsoft.com/office/drawing/2014/chart" uri="{C3380CC4-5D6E-409C-BE32-E72D297353CC}">
              <c16:uniqueId val="{0000000E-A2B6-4B02-8EF6-D99BD2913BBB}"/>
            </c:ext>
          </c:extLst>
        </c:ser>
        <c:dLbls>
          <c:showLegendKey val="0"/>
          <c:showVal val="0"/>
          <c:showCatName val="0"/>
          <c:showSerName val="0"/>
          <c:showPercent val="0"/>
          <c:showBubbleSize val="0"/>
        </c:dLbls>
        <c:gapWidth val="150"/>
        <c:overlap val="100"/>
        <c:axId val="1919848592"/>
        <c:axId val="1919849136"/>
        <c:extLst>
          <c:ext xmlns:c15="http://schemas.microsoft.com/office/drawing/2012/chart" uri="{02D57815-91ED-43cb-92C2-25804820EDAC}">
            <c15:filteredBarSeries>
              <c15:ser>
                <c:idx val="1"/>
                <c:order val="1"/>
                <c:tx>
                  <c:strRef>
                    <c:extLst>
                      <c:ext uri="{02D57815-91ED-43cb-92C2-25804820EDAC}">
                        <c15:formulaRef>
                          <c15:sqref>'Garancite '!#REF!</c15:sqref>
                        </c15:formulaRef>
                      </c:ext>
                    </c:extLst>
                    <c:strCache>
                      <c:ptCount val="1"/>
                      <c:pt idx="0">
                        <c:v>#REF!</c:v>
                      </c:pt>
                    </c:strCache>
                  </c:strRef>
                </c:tx>
                <c:spPr>
                  <a:solidFill>
                    <a:schemeClr val="accent1"/>
                  </a:solidFill>
                  <a:ln>
                    <a:noFill/>
                  </a:ln>
                  <a:effectLst/>
                </c:spPr>
                <c:invertIfNegative val="0"/>
                <c:dLbls>
                  <c:dLbl>
                    <c:idx val="1"/>
                    <c:layout>
                      <c:manualLayout>
                        <c:x val="0"/>
                        <c:y val="4.179728317659352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2B6-4B02-8EF6-D99BD2913BBB}"/>
                      </c:ext>
                      <c:ext uri="{CE6537A1-D6FC-4f65-9D91-7224C49458BB}"/>
                    </c:extLst>
                  </c:dLbl>
                  <c:dLbl>
                    <c:idx val="2"/>
                    <c:layout>
                      <c:manualLayout>
                        <c:x val="0"/>
                        <c:y val="1.25391849529780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2B6-4B02-8EF6-D99BD2913BBB}"/>
                      </c:ext>
                      <c:ext uri="{CE6537A1-D6FC-4f65-9D91-7224C49458BB}"/>
                    </c:extLst>
                  </c:dLbl>
                  <c:dLbl>
                    <c:idx val="3"/>
                    <c:layout>
                      <c:manualLayout>
                        <c:x val="-1.3713412883072886E-16"/>
                        <c:y val="8.359456635318705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2B6-4B02-8EF6-D99BD2913BBB}"/>
                      </c:ext>
                      <c:ext uri="{CE6537A1-D6FC-4f65-9D91-7224C49458BB}"/>
                    </c:extLst>
                  </c:dLbl>
                  <c:dLbl>
                    <c:idx val="4"/>
                    <c:layout>
                      <c:manualLayout>
                        <c:x val="1.8700324502165069E-3"/>
                        <c:y val="1.25391849529780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2B6-4B02-8EF6-D99BD2913BBB}"/>
                      </c:ext>
                      <c:ex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ullRef>
                          <c15:sqref>'Garancite '!$B$16:$G$16</c15:sqref>
                        </c15:fullRef>
                        <c15:formulaRef>
                          <c15:sqref>'Garancite '!$C$16:$G$16</c15:sqref>
                        </c15:formulaRef>
                      </c:ext>
                    </c:extLst>
                    <c:numCache>
                      <c:formatCode>General</c:formatCode>
                      <c:ptCount val="5"/>
                      <c:pt idx="0">
                        <c:v>2016</c:v>
                      </c:pt>
                      <c:pt idx="1">
                        <c:v>2017</c:v>
                      </c:pt>
                      <c:pt idx="2">
                        <c:v>2018</c:v>
                      </c:pt>
                      <c:pt idx="3">
                        <c:v>2019</c:v>
                      </c:pt>
                      <c:pt idx="4">
                        <c:v>2020</c:v>
                      </c:pt>
                      <c:pt idx="5">
                        <c:v>2021</c:v>
                      </c:pt>
                    </c:numCache>
                  </c:numRef>
                </c:cat>
                <c:val>
                  <c:numRef>
                    <c:extLst>
                      <c:ext uri="{02D57815-91ED-43cb-92C2-25804820EDAC}">
                        <c15:fullRef>
                          <c15:sqref>'Garancite '!#REF!</c15:sqref>
                        </c15:fullRef>
                        <c15:formulaRef>
                          <c15:sqref>'Garancite '!#REF!</c15:sqref>
                        </c15:formulaRef>
                      </c:ext>
                    </c:extLst>
                  </c:numRef>
                </c:val>
                <c:extLst xmlns:c16r2="http://schemas.microsoft.com/office/drawing/2015/06/chart">
                  <c:ext xmlns:c16="http://schemas.microsoft.com/office/drawing/2014/chart" uri="{C3380CC4-5D6E-409C-BE32-E72D297353CC}">
                    <c16:uniqueId val="{00000005-A2B6-4B02-8EF6-D99BD2913BBB}"/>
                  </c:ext>
                </c:extLst>
              </c15:ser>
            </c15:filteredBarSeries>
          </c:ext>
        </c:extLst>
      </c:barChart>
      <c:catAx>
        <c:axId val="191984859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19849136"/>
        <c:crosses val="autoZero"/>
        <c:auto val="1"/>
        <c:lblAlgn val="ctr"/>
        <c:lblOffset val="100"/>
        <c:noMultiLvlLbl val="0"/>
      </c:catAx>
      <c:valAx>
        <c:axId val="1919849136"/>
        <c:scaling>
          <c:orientation val="minMax"/>
          <c:max val="1"/>
          <c:min val="0.5"/>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19848592"/>
        <c:crosses val="autoZero"/>
        <c:crossBetween val="between"/>
        <c:majorUnit val="0.1"/>
      </c:valAx>
      <c:spPr>
        <a:noFill/>
        <a:ln>
          <a:noFill/>
        </a:ln>
        <a:effectLst/>
      </c:spPr>
    </c:plotArea>
    <c:legend>
      <c:legendPos val="b"/>
      <c:layout>
        <c:manualLayout>
          <c:xMode val="edge"/>
          <c:yMode val="edge"/>
          <c:x val="4.9999912762954263E-2"/>
          <c:y val="0.90329445209033676"/>
          <c:w val="0.9"/>
          <c:h val="9.670554790966315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ysClr val="windowText" lastClr="000000"/>
                </a:solidFill>
                <a:latin typeface="+mn-lt"/>
                <a:ea typeface="+mn-ea"/>
                <a:cs typeface="+mn-cs"/>
              </a:defRPr>
            </a:pPr>
            <a:r>
              <a:rPr lang="en-US" sz="900">
                <a:solidFill>
                  <a:sysClr val="windowText" lastClr="000000"/>
                </a:solidFill>
              </a:rPr>
              <a:t>Emetime/Të Ardhura Tatimore</a:t>
            </a:r>
          </a:p>
        </c:rich>
      </c:tx>
      <c:overlay val="0"/>
      <c:spPr>
        <a:noFill/>
        <a:ln>
          <a:noFill/>
        </a:ln>
        <a:effectLst/>
      </c:spPr>
      <c:txPr>
        <a:bodyPr rot="0" spcFirstLastPara="1" vertOverflow="ellipsis" vert="horz" wrap="square" anchor="ctr" anchorCtr="1"/>
        <a:lstStyle/>
        <a:p>
          <a:pPr>
            <a:defRPr sz="9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3165134493353409"/>
          <c:y val="0.21874365951343974"/>
          <c:w val="0.77574024995158342"/>
          <c:h val="0.54071002331909357"/>
        </c:manualLayout>
      </c:layout>
      <c:barChart>
        <c:barDir val="col"/>
        <c:grouping val="stacked"/>
        <c:varyColors val="0"/>
        <c:ser>
          <c:idx val="0"/>
          <c:order val="0"/>
          <c:tx>
            <c:strRef>
              <c:f>'Huamarrja e Brendshme'!$A$5</c:f>
              <c:strCache>
                <c:ptCount val="1"/>
                <c:pt idx="0">
                  <c:v>Emetime të titujve shtetërorë</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'Huamarrja e Brendshme'!$B$2:$G$2</c15:sqref>
                  </c15:fullRef>
                </c:ext>
              </c:extLst>
              <c:f>'Huamarrja e Brendshme'!$C$2:$G$2</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'Huamarrja e Brendshme'!$B$5:$G$5</c15:sqref>
                  </c15:fullRef>
                </c:ext>
              </c:extLst>
              <c:f>'Huamarrja e Brendshme'!$C$5:$G$5</c:f>
              <c:numCache>
                <c:formatCode>_(* #,##0.0_);_(* \(#,##0.0\);_(* "-"??_);_(@_)</c:formatCode>
                <c:ptCount val="5"/>
                <c:pt idx="0">
                  <c:v>322.98814272017</c:v>
                </c:pt>
                <c:pt idx="1">
                  <c:v>302.97028800759</c:v>
                </c:pt>
                <c:pt idx="2">
                  <c:v>301.19120821613001</c:v>
                </c:pt>
                <c:pt idx="3">
                  <c:v>349.69098915282001</c:v>
                </c:pt>
                <c:pt idx="4">
                  <c:v>345.12019847028006</c:v>
                </c:pt>
              </c:numCache>
            </c:numRef>
          </c:val>
        </c:ser>
        <c:dLbls>
          <c:showLegendKey val="0"/>
          <c:showVal val="0"/>
          <c:showCatName val="0"/>
          <c:showSerName val="0"/>
          <c:showPercent val="0"/>
          <c:showBubbleSize val="0"/>
        </c:dLbls>
        <c:gapWidth val="150"/>
        <c:overlap val="100"/>
        <c:axId val="1919851312"/>
        <c:axId val="1919851856"/>
      </c:barChart>
      <c:lineChart>
        <c:grouping val="standard"/>
        <c:varyColors val="0"/>
        <c:ser>
          <c:idx val="1"/>
          <c:order val="1"/>
          <c:tx>
            <c:strRef>
              <c:f>'Huamarrja e Brendshme'!$A$9</c:f>
              <c:strCache>
                <c:ptCount val="1"/>
                <c:pt idx="0">
                  <c:v>Emetime/Të Ardhura Tatimore</c:v>
                </c:pt>
              </c:strCache>
            </c:strRef>
          </c:tx>
          <c:spPr>
            <a:ln w="28575" cap="rnd">
              <a:solidFill>
                <a:schemeClr val="bg1">
                  <a:lumMod val="50000"/>
                </a:schemeClr>
              </a:solidFill>
              <a:round/>
            </a:ln>
            <a:effectLst/>
          </c:spPr>
          <c:marker>
            <c:symbol val="circle"/>
            <c:size val="5"/>
            <c:spPr>
              <a:solidFill>
                <a:schemeClr val="bg1">
                  <a:lumMod val="50000"/>
                </a:schemeClr>
              </a:solidFill>
              <a:ln w="9525">
                <a:noFill/>
              </a:ln>
              <a:effectLst/>
            </c:spPr>
          </c:marker>
          <c:dLbls>
            <c:dLbl>
              <c:idx val="1"/>
              <c:layout>
                <c:manualLayout>
                  <c:x val="-4.170733366948675E-2"/>
                  <c:y val="-5.2894597141118035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4.3923154631153045E-2"/>
                  <c:y val="-5.9954251218068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3.2844049822821721E-2"/>
                  <c:y val="-3.8775288987217611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'Huamarrja e Brendshme'!$B$2:$G$2</c15:sqref>
                  </c15:fullRef>
                </c:ext>
              </c:extLst>
              <c:f>'Huamarrja e Brendshme'!$C$2:$G$2</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'Huamarrja e Brendshme'!$B$9:$G$9</c15:sqref>
                  </c15:fullRef>
                </c:ext>
              </c:extLst>
              <c:f>'Huamarrja e Brendshme'!$C$9:$G$9</c:f>
              <c:numCache>
                <c:formatCode>0.0%</c:formatCode>
                <c:ptCount val="5"/>
                <c:pt idx="0">
                  <c:v>0.81024727677976838</c:v>
                </c:pt>
                <c:pt idx="1">
                  <c:v>0.72250470158831415</c:v>
                </c:pt>
                <c:pt idx="2">
                  <c:v>0.70657265992615303</c:v>
                </c:pt>
                <c:pt idx="3">
                  <c:v>0.87717101759506932</c:v>
                </c:pt>
                <c:pt idx="4">
                  <c:v>0.72563409995200312</c:v>
                </c:pt>
              </c:numCache>
            </c:numRef>
          </c:val>
          <c:smooth val="0"/>
        </c:ser>
        <c:dLbls>
          <c:showLegendKey val="0"/>
          <c:showVal val="0"/>
          <c:showCatName val="0"/>
          <c:showSerName val="0"/>
          <c:showPercent val="0"/>
          <c:showBubbleSize val="0"/>
        </c:dLbls>
        <c:marker val="1"/>
        <c:smooth val="0"/>
        <c:axId val="1576516192"/>
        <c:axId val="1919849680"/>
      </c:lineChart>
      <c:catAx>
        <c:axId val="19198513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19851856"/>
        <c:crosses val="autoZero"/>
        <c:auto val="1"/>
        <c:lblAlgn val="ctr"/>
        <c:lblOffset val="100"/>
        <c:noMultiLvlLbl val="0"/>
      </c:catAx>
      <c:valAx>
        <c:axId val="1919851856"/>
        <c:scaling>
          <c:orientation val="minMax"/>
          <c:max val="350"/>
          <c:min val="25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2.0313669521644383E-2"/>
              <c:y val="0.22939539899552794"/>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_(* #,##0.0_);_(* \(#,##0.0\);_(* &quot;-&quot;??_);_(@_)"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19851312"/>
        <c:crosses val="autoZero"/>
        <c:crossBetween val="between"/>
        <c:majorUnit val="50"/>
      </c:valAx>
      <c:valAx>
        <c:axId val="1919849680"/>
        <c:scaling>
          <c:orientation val="minMax"/>
        </c:scaling>
        <c:delete val="0"/>
        <c:axPos val="r"/>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76516192"/>
        <c:crosses val="max"/>
        <c:crossBetween val="between"/>
        <c:majorUnit val="0.25"/>
      </c:valAx>
      <c:catAx>
        <c:axId val="1576516192"/>
        <c:scaling>
          <c:orientation val="minMax"/>
        </c:scaling>
        <c:delete val="1"/>
        <c:axPos val="b"/>
        <c:numFmt formatCode="General" sourceLinked="1"/>
        <c:majorTickMark val="out"/>
        <c:minorTickMark val="none"/>
        <c:tickLblPos val="nextTo"/>
        <c:crossAx val="1919849680"/>
        <c:crosses val="autoZero"/>
        <c:auto val="1"/>
        <c:lblAlgn val="ctr"/>
        <c:lblOffset val="100"/>
        <c:noMultiLvlLbl val="0"/>
      </c:catAx>
      <c:spPr>
        <a:noFill/>
        <a:ln w="25400">
          <a:noFill/>
        </a:ln>
        <a:effectLst/>
      </c:spPr>
    </c:plotArea>
    <c:legend>
      <c:legendPos val="b"/>
      <c:layout>
        <c:manualLayout>
          <c:xMode val="edge"/>
          <c:yMode val="edge"/>
          <c:x val="0.14205942238607275"/>
          <c:y val="0.89603075582193603"/>
          <c:w val="0.71588115522785445"/>
          <c:h val="7.677457190424441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15911853300216"/>
          <c:y val="4.1666666666666664E-2"/>
          <c:w val="0.82454972598843934"/>
          <c:h val="0.73577136191309422"/>
        </c:manualLayout>
      </c:layout>
      <c:barChart>
        <c:barDir val="col"/>
        <c:grouping val="clustered"/>
        <c:varyColors val="0"/>
        <c:ser>
          <c:idx val="0"/>
          <c:order val="0"/>
          <c:tx>
            <c:strRef>
              <c:f>'Sherbimi i Borxhit'!$A$21</c:f>
              <c:strCache>
                <c:ptCount val="1"/>
                <c:pt idx="0">
                  <c:v>Borxhi Shtetëror</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'Sherbimi i Borxhit'!$B$20:$G$20</c15:sqref>
                  </c15:fullRef>
                </c:ext>
              </c:extLst>
              <c:f>'Sherbimi i Borxhit'!$C$20:$G$20</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'Sherbimi i Borxhit'!$B$21:$G$21</c15:sqref>
                  </c15:fullRef>
                </c:ext>
              </c:extLst>
              <c:f>'Sherbimi i Borxhit'!$C$21:$G$21</c:f>
              <c:numCache>
                <c:formatCode>_-* #,##0.0_L_e_k_-;\-* #,##0.0_L_e_k_-;_-* "-"??_L_e_k_-;_-@_-</c:formatCode>
                <c:ptCount val="5"/>
                <c:pt idx="0">
                  <c:v>1037.4566964684852</c:v>
                </c:pt>
                <c:pt idx="1">
                  <c:v>1061.8967513634955</c:v>
                </c:pt>
                <c:pt idx="2">
                  <c:v>1070.1914054458098</c:v>
                </c:pt>
                <c:pt idx="3">
                  <c:v>1175.225527028218</c:v>
                </c:pt>
                <c:pt idx="4">
                  <c:v>1327.764990697297</c:v>
                </c:pt>
              </c:numCache>
            </c:numRef>
          </c:val>
          <c:extLst xmlns:c16r2="http://schemas.microsoft.com/office/drawing/2015/06/chart">
            <c:ext xmlns:c16="http://schemas.microsoft.com/office/drawing/2014/chart" uri="{C3380CC4-5D6E-409C-BE32-E72D297353CC}">
              <c16:uniqueId val="{00000000-E514-4A69-9FB4-95F8C978EAE1}"/>
            </c:ext>
          </c:extLst>
        </c:ser>
        <c:ser>
          <c:idx val="1"/>
          <c:order val="1"/>
          <c:tx>
            <c:strRef>
              <c:f>'Sherbimi i Borxhit'!$A$22</c:f>
              <c:strCache>
                <c:ptCount val="1"/>
                <c:pt idx="0">
                  <c:v>Interesa</c:v>
                </c:pt>
              </c:strCache>
            </c:strRef>
          </c:tx>
          <c:spPr>
            <a:solidFill>
              <a:srgbClr val="C00000"/>
            </a:solidFill>
            <a:ln>
              <a:noFill/>
            </a:ln>
            <a:effectLst/>
          </c:spPr>
          <c:invertIfNegative val="0"/>
          <c:dLbls>
            <c:dLbl>
              <c:idx val="0"/>
              <c:layout>
                <c:manualLayout>
                  <c:x val="0"/>
                  <c:y val="2.0481307500867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514-4A69-9FB4-95F8C978EAE1}"/>
                </c:ext>
                <c:ext xmlns:c15="http://schemas.microsoft.com/office/drawing/2012/chart" uri="{CE6537A1-D6FC-4f65-9D91-7224C49458BB}"/>
              </c:extLst>
            </c:dLbl>
            <c:dLbl>
              <c:idx val="1"/>
              <c:layout>
                <c:manualLayout>
                  <c:x val="0"/>
                  <c:y val="2.0481307500867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514-4A69-9FB4-95F8C978EAE1}"/>
                </c:ext>
                <c:ext xmlns:c15="http://schemas.microsoft.com/office/drawing/2012/chart" uri="{CE6537A1-D6FC-4f65-9D91-7224C49458BB}"/>
              </c:extLst>
            </c:dLbl>
            <c:dLbl>
              <c:idx val="2"/>
              <c:layout>
                <c:manualLayout>
                  <c:x val="-1.2437809727170277E-3"/>
                  <c:y val="2.4577569001041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514-4A69-9FB4-95F8C978EAE1}"/>
                </c:ext>
                <c:ext xmlns:c15="http://schemas.microsoft.com/office/drawing/2012/chart" uri="{CE6537A1-D6FC-4f65-9D91-7224C49458BB}"/>
              </c:extLst>
            </c:dLbl>
            <c:dLbl>
              <c:idx val="3"/>
              <c:layout>
                <c:manualLayout>
                  <c:x val="0"/>
                  <c:y val="2.048130750086763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514-4A69-9FB4-95F8C978EAE1}"/>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'Sherbimi i Borxhit'!$B$20:$G$20</c15:sqref>
                  </c15:fullRef>
                </c:ext>
              </c:extLst>
              <c:f>'Sherbimi i Borxhit'!$C$20:$G$20</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'Sherbimi i Borxhit'!$B$22:$G$22</c15:sqref>
                  </c15:fullRef>
                </c:ext>
              </c:extLst>
              <c:f>'Sherbimi i Borxhit'!$C$22:$G$22</c:f>
              <c:numCache>
                <c:formatCode>_-* #,##0.00_L_e_k_-;\-* #,##0.00_L_e_k_-;_-* "-"??_L_e_k_-;_-@_-</c:formatCode>
                <c:ptCount val="5"/>
                <c:pt idx="0">
                  <c:v>31.903782</c:v>
                </c:pt>
                <c:pt idx="1">
                  <c:v>36.513370000000002</c:v>
                </c:pt>
                <c:pt idx="2">
                  <c:v>35.142821032270191</c:v>
                </c:pt>
                <c:pt idx="3">
                  <c:v>34.393398750231739</c:v>
                </c:pt>
                <c:pt idx="4">
                  <c:v>35.822296277729997</c:v>
                </c:pt>
              </c:numCache>
            </c:numRef>
          </c:val>
          <c:extLst xmlns:c16r2="http://schemas.microsoft.com/office/drawing/2015/06/chart">
            <c:ext xmlns:c16="http://schemas.microsoft.com/office/drawing/2014/chart" uri="{C3380CC4-5D6E-409C-BE32-E72D297353CC}">
              <c16:uniqueId val="{00000006-E514-4A69-9FB4-95F8C978EAE1}"/>
            </c:ext>
          </c:extLst>
        </c:ser>
        <c:dLbls>
          <c:showLegendKey val="0"/>
          <c:showVal val="0"/>
          <c:showCatName val="0"/>
          <c:showSerName val="0"/>
          <c:showPercent val="0"/>
          <c:showBubbleSize val="0"/>
        </c:dLbls>
        <c:gapWidth val="219"/>
        <c:overlap val="-27"/>
        <c:axId val="1576519456"/>
        <c:axId val="1576517824"/>
      </c:barChart>
      <c:lineChart>
        <c:grouping val="standard"/>
        <c:varyColors val="0"/>
        <c:ser>
          <c:idx val="2"/>
          <c:order val="2"/>
          <c:tx>
            <c:strRef>
              <c:f>'Sherbimi i Borxhit'!$A$23</c:f>
              <c:strCache>
                <c:ptCount val="1"/>
                <c:pt idx="0">
                  <c:v>Interesa/PBB</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1.6076407717670774E-2"/>
                  <c:y val="-4.45589390747222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514-4A69-9FB4-95F8C978EAE1}"/>
                </c:ext>
                <c:ext xmlns:c15="http://schemas.microsoft.com/office/drawing/2012/chart" uri="{CE6537A1-D6FC-4f65-9D91-7224C49458BB}"/>
              </c:extLst>
            </c:dLbl>
            <c:dLbl>
              <c:idx val="1"/>
              <c:layout>
                <c:manualLayout>
                  <c:x val="-2.3285911294986514E-2"/>
                  <c:y val="-5.29497409530555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514-4A69-9FB4-95F8C978EAE1}"/>
                </c:ext>
                <c:ext xmlns:c15="http://schemas.microsoft.com/office/drawing/2012/chart" uri="{CE6537A1-D6FC-4f65-9D91-7224C49458BB}"/>
              </c:extLst>
            </c:dLbl>
            <c:dLbl>
              <c:idx val="2"/>
              <c:layout>
                <c:manualLayout>
                  <c:x val="-2.0427388605458084E-2"/>
                  <c:y val="-5.73144393540420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514-4A69-9FB4-95F8C978EAE1}"/>
                </c:ext>
                <c:ext xmlns:c15="http://schemas.microsoft.com/office/drawing/2012/chart" uri="{CE6537A1-D6FC-4f65-9D91-7224C49458BB}"/>
              </c:extLst>
            </c:dLbl>
            <c:dLbl>
              <c:idx val="3"/>
              <c:layout>
                <c:manualLayout>
                  <c:x val="-1.4925371672604333E-2"/>
                  <c:y val="-7.05111747303886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514-4A69-9FB4-95F8C978EAE1}"/>
                </c:ext>
                <c:ext xmlns:c15="http://schemas.microsoft.com/office/drawing/2012/chart" uri="{CE6537A1-D6FC-4f65-9D91-7224C49458BB}"/>
              </c:extLst>
            </c:dLbl>
            <c:dLbl>
              <c:idx val="4"/>
              <c:layout>
                <c:manualLayout>
                  <c:x val="-1.7726567693330378E-2"/>
                  <c:y val="-6.054490413723517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extLst>
                <c:ext xmlns:c15="http://schemas.microsoft.com/office/drawing/2012/chart" uri="{02D57815-91ED-43cb-92C2-25804820EDAC}">
                  <c15:fullRef>
                    <c15:sqref>'Sherbimi i Borxhit'!$B$20:$G$20</c15:sqref>
                  </c15:fullRef>
                </c:ext>
              </c:extLst>
              <c:f>'Sherbimi i Borxhit'!$C$20:$G$20</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'Sherbimi i Borxhit'!$B$23:$G$23</c15:sqref>
                  </c15:fullRef>
                </c:ext>
              </c:extLst>
              <c:f>'Sherbimi i Borxhit'!$C$23:$G$23</c:f>
              <c:numCache>
                <c:formatCode>0.00%</c:formatCode>
                <c:ptCount val="5"/>
                <c:pt idx="0">
                  <c:v>2.0574517003238438E-2</c:v>
                </c:pt>
                <c:pt idx="1">
                  <c:v>2.2308736775984266E-2</c:v>
                </c:pt>
                <c:pt idx="2">
                  <c:v>2.0771174296335945E-2</c:v>
                </c:pt>
                <c:pt idx="3">
                  <c:v>2.0919575600917686E-2</c:v>
                </c:pt>
                <c:pt idx="4">
                  <c:v>1.895079136621362E-2</c:v>
                </c:pt>
              </c:numCache>
            </c:numRef>
          </c:val>
          <c:smooth val="1"/>
          <c:extLst xmlns:c16r2="http://schemas.microsoft.com/office/drawing/2015/06/chart">
            <c:ext xmlns:c16="http://schemas.microsoft.com/office/drawing/2014/chart" uri="{C3380CC4-5D6E-409C-BE32-E72D297353CC}">
              <c16:uniqueId val="{0000000C-E514-4A69-9FB4-95F8C978EAE1}"/>
            </c:ext>
          </c:extLst>
        </c:ser>
        <c:ser>
          <c:idx val="3"/>
          <c:order val="3"/>
          <c:tx>
            <c:strRef>
              <c:f>'Sherbimi i Borxhit'!$A$24</c:f>
              <c:strCache>
                <c:ptCount val="1"/>
                <c:pt idx="0">
                  <c:v>Interesa/Të Ardhura Tatimore</c:v>
                </c:pt>
              </c:strCache>
            </c:strRef>
          </c:tx>
          <c:spPr>
            <a:ln w="28575" cap="rnd">
              <a:solidFill>
                <a:srgbClr val="C00000"/>
              </a:solidFill>
              <a:round/>
            </a:ln>
            <a:effectLst/>
          </c:spPr>
          <c:marker>
            <c:symbol val="diamond"/>
            <c:size val="5"/>
            <c:spPr>
              <a:solidFill>
                <a:srgbClr val="C00000"/>
              </a:solidFill>
              <a:ln w="9525">
                <a:noFill/>
              </a:ln>
              <a:effectLst/>
            </c:spPr>
          </c:marker>
          <c:dLbls>
            <c:dLbl>
              <c:idx val="0"/>
              <c:layout>
                <c:manualLayout>
                  <c:x val="-1.7292999576027999E-2"/>
                  <c:y val="-6.29374366878173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E514-4A69-9FB4-95F8C978EAE1}"/>
                </c:ext>
                <c:ext xmlns:c15="http://schemas.microsoft.com/office/drawing/2012/chart" uri="{CE6537A1-D6FC-4f65-9D91-7224C49458BB}"/>
              </c:extLst>
            </c:dLbl>
            <c:dLbl>
              <c:idx val="1"/>
              <c:layout>
                <c:manualLayout>
                  <c:x val="0"/>
                  <c:y val="-5.16431924882629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E514-4A69-9FB4-95F8C978EAE1}"/>
                </c:ext>
                <c:ext xmlns:c15="http://schemas.microsoft.com/office/drawing/2012/chart" uri="{CE6537A1-D6FC-4f65-9D91-7224C49458BB}"/>
              </c:extLst>
            </c:dLbl>
            <c:dLbl>
              <c:idx val="2"/>
              <c:layout>
                <c:manualLayout>
                  <c:x val="-5.9969996113755373E-3"/>
                  <c:y val="-5.63380281690140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E514-4A69-9FB4-95F8C978EAE1}"/>
                </c:ext>
                <c:ext xmlns:c15="http://schemas.microsoft.com/office/drawing/2012/chart" uri="{CE6537A1-D6FC-4f65-9D91-7224C49458BB}"/>
              </c:extLst>
            </c:dLbl>
            <c:dLbl>
              <c:idx val="3"/>
              <c:layout>
                <c:manualLayout>
                  <c:x val="-7.9959994818340485E-3"/>
                  <c:y val="-5.63380281690141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E514-4A69-9FB4-95F8C978EAE1}"/>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extLst>
                <c:ext xmlns:c15="http://schemas.microsoft.com/office/drawing/2012/chart" uri="{02D57815-91ED-43cb-92C2-25804820EDAC}">
                  <c15:fullRef>
                    <c15:sqref>'Sherbimi i Borxhit'!$B$20:$G$20</c15:sqref>
                  </c15:fullRef>
                </c:ext>
              </c:extLst>
              <c:f>'Sherbimi i Borxhit'!$C$20:$G$20</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'Sherbimi i Borxhit'!$B$24:$G$24</c15:sqref>
                  </c15:fullRef>
                </c:ext>
              </c:extLst>
              <c:f>'Sherbimi i Borxhit'!$C$24:$G$24</c:f>
              <c:numCache>
                <c:formatCode>0.00%</c:formatCode>
                <c:ptCount val="5"/>
                <c:pt idx="0">
                  <c:v>8.0033750671990575E-2</c:v>
                </c:pt>
                <c:pt idx="1">
                  <c:v>8.7074814066166129E-2</c:v>
                </c:pt>
                <c:pt idx="2">
                  <c:v>8.2442501164448345E-2</c:v>
                </c:pt>
                <c:pt idx="3">
                  <c:v>8.6273005356479235E-2</c:v>
                </c:pt>
                <c:pt idx="4">
                  <c:v>7.5687757781217418E-2</c:v>
                </c:pt>
              </c:numCache>
            </c:numRef>
          </c:val>
          <c:smooth val="1"/>
          <c:extLst xmlns:c16r2="http://schemas.microsoft.com/office/drawing/2015/06/chart">
            <c:ext xmlns:c16="http://schemas.microsoft.com/office/drawing/2014/chart" uri="{C3380CC4-5D6E-409C-BE32-E72D297353CC}">
              <c16:uniqueId val="{00000012-E514-4A69-9FB4-95F8C978EAE1}"/>
            </c:ext>
          </c:extLst>
        </c:ser>
        <c:dLbls>
          <c:showLegendKey val="0"/>
          <c:showVal val="0"/>
          <c:showCatName val="0"/>
          <c:showSerName val="0"/>
          <c:showPercent val="0"/>
          <c:showBubbleSize val="0"/>
        </c:dLbls>
        <c:marker val="1"/>
        <c:smooth val="0"/>
        <c:axId val="1576517280"/>
        <c:axId val="1576516736"/>
      </c:lineChart>
      <c:catAx>
        <c:axId val="15765194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76517824"/>
        <c:crosses val="autoZero"/>
        <c:auto val="1"/>
        <c:lblAlgn val="ctr"/>
        <c:lblOffset val="100"/>
        <c:noMultiLvlLbl val="0"/>
      </c:catAx>
      <c:valAx>
        <c:axId val="1576517824"/>
        <c:scaling>
          <c:orientation val="minMax"/>
          <c:max val="150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1.4067671521117469E-2"/>
              <c:y val="0.15640321155176051"/>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76519456"/>
        <c:crosses val="autoZero"/>
        <c:crossBetween val="between"/>
        <c:majorUnit val="250"/>
      </c:valAx>
      <c:valAx>
        <c:axId val="1576516736"/>
        <c:scaling>
          <c:orientation val="minMax"/>
          <c:max val="0.12000000000000001"/>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76517280"/>
        <c:crosses val="max"/>
        <c:crossBetween val="between"/>
        <c:majorUnit val="3.0000000000000006E-2"/>
      </c:valAx>
      <c:catAx>
        <c:axId val="1576517280"/>
        <c:scaling>
          <c:orientation val="minMax"/>
        </c:scaling>
        <c:delete val="1"/>
        <c:axPos val="b"/>
        <c:numFmt formatCode="General" sourceLinked="1"/>
        <c:majorTickMark val="none"/>
        <c:minorTickMark val="none"/>
        <c:tickLblPos val="nextTo"/>
        <c:crossAx val="1576516736"/>
        <c:crosses val="autoZero"/>
        <c:auto val="1"/>
        <c:lblAlgn val="ctr"/>
        <c:lblOffset val="100"/>
        <c:noMultiLvlLbl val="0"/>
      </c:catAx>
      <c:spPr>
        <a:noFill/>
        <a:ln>
          <a:noFill/>
        </a:ln>
        <a:effectLst/>
      </c:spPr>
    </c:plotArea>
    <c:legend>
      <c:legendPos val="b"/>
      <c:layout>
        <c:manualLayout>
          <c:xMode val="edge"/>
          <c:yMode val="edge"/>
          <c:x val="0.12903213987238965"/>
          <c:y val="0.91454163587775528"/>
          <c:w val="0.82487738024613511"/>
          <c:h val="7.922590662082733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782713415803E-2"/>
          <c:y val="6.4081028337287113E-2"/>
          <c:w val="0.93283994610162779"/>
          <c:h val="0.65868766404199475"/>
        </c:manualLayout>
      </c:layout>
      <c:barChart>
        <c:barDir val="col"/>
        <c:grouping val="clustered"/>
        <c:varyColors val="0"/>
        <c:ser>
          <c:idx val="0"/>
          <c:order val="0"/>
          <c:tx>
            <c:strRef>
              <c:f>'Kompozimi '!$A$15</c:f>
              <c:strCache>
                <c:ptCount val="1"/>
                <c:pt idx="0">
                  <c:v>Instrumente të tregtueshme</c:v>
                </c:pt>
              </c:strCache>
            </c:strRef>
          </c:tx>
          <c:spPr>
            <a:solidFill>
              <a:schemeClr val="accent1"/>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'!$B$14:$G$14</c15:sqref>
                  </c15:fullRef>
                </c:ext>
              </c:extLst>
              <c:f>'Kompozimi '!$C$14:$G$14</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'Kompozimi '!$B$15:$G$15</c15:sqref>
                  </c15:fullRef>
                </c:ext>
              </c:extLst>
              <c:f>'Kompozimi '!$C$15:$G$15</c:f>
              <c:numCache>
                <c:formatCode>0.0%</c:formatCode>
                <c:ptCount val="5"/>
                <c:pt idx="0">
                  <c:v>0.55760301840782067</c:v>
                </c:pt>
                <c:pt idx="1">
                  <c:v>0.59393725096082528</c:v>
                </c:pt>
                <c:pt idx="2">
                  <c:v>0.60529165257516837</c:v>
                </c:pt>
                <c:pt idx="3">
                  <c:v>0.63133104435117737</c:v>
                </c:pt>
                <c:pt idx="4">
                  <c:v>0.64805818069590904</c:v>
                </c:pt>
              </c:numCache>
            </c:numRef>
          </c:val>
          <c:extLst xmlns:c16r2="http://schemas.microsoft.com/office/drawing/2015/06/chart">
            <c:ext xmlns:c16="http://schemas.microsoft.com/office/drawing/2014/chart" uri="{C3380CC4-5D6E-409C-BE32-E72D297353CC}">
              <c16:uniqueId val="{00000000-FCF0-4C62-87B5-6EDA0D3CB8A5}"/>
            </c:ext>
          </c:extLst>
        </c:ser>
        <c:ser>
          <c:idx val="1"/>
          <c:order val="1"/>
          <c:tx>
            <c:strRef>
              <c:f>'Kompozimi '!$A$16</c:f>
              <c:strCache>
                <c:ptCount val="1"/>
                <c:pt idx="0">
                  <c:v>Hua për financim projektesh</c:v>
                </c:pt>
              </c:strCache>
            </c:strRef>
          </c:tx>
          <c:spPr>
            <a:solidFill>
              <a:srgbClr val="7030A0"/>
            </a:solidFill>
            <a:ln>
              <a:noFill/>
            </a:ln>
            <a:effectLst/>
          </c:spPr>
          <c:invertIfNegative val="0"/>
          <c:dLbls>
            <c:dLbl>
              <c:idx val="0"/>
              <c:layout>
                <c:manualLayout>
                  <c:x val="-3.2074836799252516E-4"/>
                  <c:y val="1.60966564375868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CF0-4C62-87B5-6EDA0D3CB8A5}"/>
                </c:ext>
                <c:ext xmlns:c15="http://schemas.microsoft.com/office/drawing/2012/chart" uri="{CE6537A1-D6FC-4f65-9D91-7224C49458BB}"/>
              </c:extLst>
            </c:dLbl>
            <c:dLbl>
              <c:idx val="1"/>
              <c:layout>
                <c:manualLayout>
                  <c:x val="8.0838500765100104E-4"/>
                  <c:y val="1.60966564375867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CF0-4C62-87B5-6EDA0D3CB8A5}"/>
                </c:ext>
                <c:ext xmlns:c15="http://schemas.microsoft.com/office/drawing/2012/chart" uri="{CE6537A1-D6FC-4f65-9D91-7224C49458BB}"/>
              </c:extLst>
            </c:dLbl>
            <c:dLbl>
              <c:idx val="2"/>
              <c:layout>
                <c:manualLayout>
                  <c:x val="1.6103059581320451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CF0-4C62-87B5-6EDA0D3CB8A5}"/>
                </c:ext>
                <c:ext xmlns:c15="http://schemas.microsoft.com/office/drawing/2012/chart" uri="{CE6537A1-D6FC-4f65-9D91-7224C49458BB}"/>
              </c:extLst>
            </c:dLbl>
            <c:dLbl>
              <c:idx val="3"/>
              <c:layout>
                <c:manualLayout>
                  <c:x val="-9.6230999013569517E-4"/>
                  <c:y val="5.36568495655894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rgbClr val="7030A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'!$B$14:$G$14</c15:sqref>
                  </c15:fullRef>
                </c:ext>
              </c:extLst>
              <c:f>'Kompozimi '!$C$14:$G$14</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'Kompozimi '!$B$16:$G$16</c15:sqref>
                  </c15:fullRef>
                </c:ext>
              </c:extLst>
              <c:f>'Kompozimi '!$C$16:$G$16</c:f>
              <c:numCache>
                <c:formatCode>0.0%</c:formatCode>
                <c:ptCount val="5"/>
                <c:pt idx="0">
                  <c:v>0.25970345935183531</c:v>
                </c:pt>
                <c:pt idx="1">
                  <c:v>0.24189824286216288</c:v>
                </c:pt>
                <c:pt idx="2">
                  <c:v>0.23866667740425257</c:v>
                </c:pt>
                <c:pt idx="3">
                  <c:v>0.20956487629772294</c:v>
                </c:pt>
                <c:pt idx="4">
                  <c:v>0.18397735759943135</c:v>
                </c:pt>
              </c:numCache>
            </c:numRef>
          </c:val>
          <c:extLst xmlns:c16r2="http://schemas.microsoft.com/office/drawing/2015/06/chart">
            <c:ext xmlns:c16="http://schemas.microsoft.com/office/drawing/2014/chart" uri="{C3380CC4-5D6E-409C-BE32-E72D297353CC}">
              <c16:uniqueId val="{00000006-FCF0-4C62-87B5-6EDA0D3CB8A5}"/>
            </c:ext>
          </c:extLst>
        </c:ser>
        <c:ser>
          <c:idx val="2"/>
          <c:order val="2"/>
          <c:tx>
            <c:strRef>
              <c:f>'Kompozimi '!$A$17</c:f>
              <c:strCache>
                <c:ptCount val="1"/>
                <c:pt idx="0">
                  <c:v>Mbështetje Buxhetore</c:v>
                </c:pt>
              </c:strCache>
            </c:strRef>
          </c:tx>
          <c:spPr>
            <a:solidFill>
              <a:srgbClr val="C00000"/>
            </a:solidFill>
            <a:ln>
              <a:noFill/>
            </a:ln>
            <a:effectLst/>
          </c:spPr>
          <c:invertIfNegative val="0"/>
          <c:dLbls>
            <c:dLbl>
              <c:idx val="0"/>
              <c:layout>
                <c:manualLayout>
                  <c:x val="-5.7932399884277411E-3"/>
                  <c:y val="-4.6383599988100755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CF0-4C62-87B5-6EDA0D3CB8A5}"/>
                </c:ext>
                <c:ext xmlns:c15="http://schemas.microsoft.com/office/drawing/2012/chart" uri="{CE6537A1-D6FC-4f65-9D91-7224C49458BB}"/>
              </c:extLst>
            </c:dLbl>
            <c:dLbl>
              <c:idx val="1"/>
              <c:layout>
                <c:manualLayout>
                  <c:x val="-3.7017285189949517E-3"/>
                  <c:y val="1.60966564375867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CF0-4C62-87B5-6EDA0D3CB8A5}"/>
                </c:ext>
                <c:ext xmlns:c15="http://schemas.microsoft.com/office/drawing/2012/chart" uri="{CE6537A1-D6FC-4f65-9D91-7224C49458BB}"/>
              </c:extLst>
            </c:dLbl>
            <c:dLbl>
              <c:idx val="2"/>
              <c:layout>
                <c:manualLayout>
                  <c:x val="-2.0915114694328549E-3"/>
                  <c:y val="1.51802626304964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FCF0-4C62-87B5-6EDA0D3CB8A5}"/>
                </c:ext>
                <c:ext xmlns:c15="http://schemas.microsoft.com/office/drawing/2012/chart" uri="{CE6537A1-D6FC-4f65-9D91-7224C49458BB}"/>
              </c:extLst>
            </c:dLbl>
            <c:dLbl>
              <c:idx val="3"/>
              <c:layout>
                <c:manualLayout>
                  <c:x val="-3.5413899955732625E-3"/>
                  <c:y val="1.51802626304964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'!$B$14:$G$14</c15:sqref>
                  </c15:fullRef>
                </c:ext>
              </c:extLst>
              <c:f>'Kompozimi '!$C$14:$G$14</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'Kompozimi '!$B$17:$G$17</c15:sqref>
                  </c15:fullRef>
                </c:ext>
              </c:extLst>
              <c:f>'Kompozimi '!$C$17:$G$17</c:f>
              <c:numCache>
                <c:formatCode>0.0%</c:formatCode>
                <c:ptCount val="5"/>
                <c:pt idx="0">
                  <c:v>0.13609030019366783</c:v>
                </c:pt>
                <c:pt idx="1">
                  <c:v>0.12317435935527354</c:v>
                </c:pt>
                <c:pt idx="2">
                  <c:v>0.11790275073876494</c:v>
                </c:pt>
                <c:pt idx="3">
                  <c:v>0.11888682981028301</c:v>
                </c:pt>
                <c:pt idx="4">
                  <c:v>0.12804260568494308</c:v>
                </c:pt>
              </c:numCache>
            </c:numRef>
          </c:val>
          <c:extLst xmlns:c16r2="http://schemas.microsoft.com/office/drawing/2015/06/chart">
            <c:ext xmlns:c16="http://schemas.microsoft.com/office/drawing/2014/chart" uri="{C3380CC4-5D6E-409C-BE32-E72D297353CC}">
              <c16:uniqueId val="{0000000C-FCF0-4C62-87B5-6EDA0D3CB8A5}"/>
            </c:ext>
          </c:extLst>
        </c:ser>
        <c:ser>
          <c:idx val="3"/>
          <c:order val="3"/>
          <c:tx>
            <c:strRef>
              <c:f>'Kompozimi '!$A$18</c:f>
              <c:strCache>
                <c:ptCount val="1"/>
                <c:pt idx="0">
                  <c:v>Garanci</c:v>
                </c:pt>
              </c:strCache>
            </c:strRef>
          </c:tx>
          <c:spPr>
            <a:solidFill>
              <a:schemeClr val="bg1">
                <a:lumMod val="50000"/>
              </a:schemeClr>
            </a:solidFill>
            <a:ln>
              <a:noFill/>
            </a:ln>
            <a:effectLst/>
          </c:spPr>
          <c:invertIfNegative val="0"/>
          <c:dLbls>
            <c:dLbl>
              <c:idx val="0"/>
              <c:layout>
                <c:manualLayout>
                  <c:x val="0"/>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FCF0-4C62-87B5-6EDA0D3CB8A5}"/>
                </c:ext>
                <c:ext xmlns:c15="http://schemas.microsoft.com/office/drawing/2012/chart" uri="{CE6537A1-D6FC-4f65-9D91-7224C49458BB}"/>
              </c:extLst>
            </c:dLbl>
            <c:dLbl>
              <c:idx val="1"/>
              <c:layout>
                <c:manualLayout>
                  <c:x val="-2.251849992854479E-3"/>
                  <c:y val="1.51802626304964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FCF0-4C62-87B5-6EDA0D3CB8A5}"/>
                </c:ext>
                <c:ext xmlns:c15="http://schemas.microsoft.com/office/drawing/2012/chart" uri="{CE6537A1-D6FC-4f65-9D91-7224C49458BB}"/>
              </c:extLst>
            </c:dLbl>
            <c:dLbl>
              <c:idx val="2"/>
              <c:layout>
                <c:manualLayout>
                  <c:x val="-3.2081647164622351E-4"/>
                  <c:y val="5.365684956558949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FCF0-4C62-87B5-6EDA0D3CB8A5}"/>
                </c:ext>
                <c:ext xmlns:c15="http://schemas.microsoft.com/office/drawing/2012/chart" uri="{CE6537A1-D6FC-4f65-9D91-7224C49458BB}"/>
              </c:extLst>
            </c:dLbl>
            <c:dLbl>
              <c:idx val="3"/>
              <c:layout>
                <c:manualLayout>
                  <c:x val="-2.2518499928546086E-3"/>
                  <c:y val="1.51802626304964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'!$B$14:$G$14</c15:sqref>
                  </c15:fullRef>
                </c:ext>
              </c:extLst>
              <c:f>'Kompozimi '!$C$14:$G$14</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'Kompozimi '!$B$18:$G$18</c15:sqref>
                  </c15:fullRef>
                </c:ext>
              </c:extLst>
              <c:f>'Kompozimi '!$C$18:$G$18</c:f>
              <c:numCache>
                <c:formatCode>0.0%</c:formatCode>
                <c:ptCount val="5"/>
                <c:pt idx="0">
                  <c:v>4.5843229712720264E-2</c:v>
                </c:pt>
                <c:pt idx="1">
                  <c:v>4.0343808592169413E-2</c:v>
                </c:pt>
                <c:pt idx="2">
                  <c:v>3.7616237570367694E-2</c:v>
                </c:pt>
                <c:pt idx="3">
                  <c:v>3.9864341767142569E-2</c:v>
                </c:pt>
                <c:pt idx="4">
                  <c:v>3.9694175412963016E-2</c:v>
                </c:pt>
              </c:numCache>
            </c:numRef>
          </c:val>
          <c:extLst xmlns:c16r2="http://schemas.microsoft.com/office/drawing/2015/06/chart">
            <c:ext xmlns:c16="http://schemas.microsoft.com/office/drawing/2014/chart" uri="{C3380CC4-5D6E-409C-BE32-E72D297353CC}">
              <c16:uniqueId val="{00000012-FCF0-4C62-87B5-6EDA0D3CB8A5}"/>
            </c:ext>
          </c:extLst>
        </c:ser>
        <c:ser>
          <c:idx val="4"/>
          <c:order val="4"/>
          <c:tx>
            <c:strRef>
              <c:f>'Kompozimi '!$A$19</c:f>
              <c:strCache>
                <c:ptCount val="1"/>
                <c:pt idx="0">
                  <c:v>Borxhi i Pushtetit Lokal</c:v>
                </c:pt>
              </c:strCache>
            </c:strRef>
          </c:tx>
          <c:spPr>
            <a:solidFill>
              <a:schemeClr val="accent6">
                <a:lumMod val="75000"/>
              </a:schemeClr>
            </a:solidFill>
            <a:ln>
              <a:noFill/>
            </a:ln>
            <a:effectLst/>
          </c:spPr>
          <c:invertIfNegative val="0"/>
          <c:dLbls>
            <c:dLbl>
              <c:idx val="0"/>
              <c:layout>
                <c:manualLayout>
                  <c:x val="4.4004405522425306E-3"/>
                  <c:y val="9.40070157361822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FCF0-4C62-87B5-6EDA0D3CB8A5}"/>
                </c:ext>
                <c:ext xmlns:c15="http://schemas.microsoft.com/office/drawing/2012/chart" uri="{CE6537A1-D6FC-4f65-9D91-7224C49458BB}"/>
              </c:extLst>
            </c:dLbl>
            <c:dLbl>
              <c:idx val="1"/>
              <c:layout>
                <c:manualLayout>
                  <c:x val="2.9336270348283896E-3"/>
                  <c:y val="9.40070157361822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FCF0-4C62-87B5-6EDA0D3CB8A5}"/>
                </c:ext>
                <c:ext xmlns:c15="http://schemas.microsoft.com/office/drawing/2012/chart" uri="{CE6537A1-D6FC-4f65-9D91-7224C49458BB}"/>
              </c:extLst>
            </c:dLbl>
            <c:dLbl>
              <c:idx val="2"/>
              <c:layout>
                <c:manualLayout>
                  <c:x val="0"/>
                  <c:y val="6.267134382412151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FCF0-4C62-87B5-6EDA0D3CB8A5}"/>
                </c:ext>
                <c:ext xmlns:c15="http://schemas.microsoft.com/office/drawing/2012/chart" uri="{CE6537A1-D6FC-4f65-9D91-7224C49458BB}"/>
              </c:extLst>
            </c:dLbl>
            <c:dLbl>
              <c:idx val="3"/>
              <c:layout>
                <c:manualLayout>
                  <c:x val="0"/>
                  <c:y val="9.40070157361822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FCF0-4C62-87B5-6EDA0D3CB8A5}"/>
                </c:ex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6">
                        <a:lumMod val="7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'!$B$14:$G$14</c15:sqref>
                  </c15:fullRef>
                </c:ext>
              </c:extLst>
              <c:f>'Kompozimi '!$C$14:$G$14</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'Kompozimi '!$B$19:$G$19</c15:sqref>
                  </c15:fullRef>
                </c:ext>
              </c:extLst>
              <c:f>'Kompozimi '!$C$19:$G$19</c:f>
              <c:numCache>
                <c:formatCode>0.0%</c:formatCode>
                <c:ptCount val="5"/>
                <c:pt idx="0">
                  <c:v>7.5999233395602464E-4</c:v>
                </c:pt>
                <c:pt idx="1">
                  <c:v>6.4633822956899542E-4</c:v>
                </c:pt>
                <c:pt idx="2">
                  <c:v>5.2268171144648288E-4</c:v>
                </c:pt>
                <c:pt idx="3">
                  <c:v>3.5290777367405458E-4</c:v>
                </c:pt>
                <c:pt idx="4">
                  <c:v>2.2768060675355949E-4</c:v>
                </c:pt>
              </c:numCache>
            </c:numRef>
          </c:val>
          <c:extLst xmlns:c16r2="http://schemas.microsoft.com/office/drawing/2015/06/chart">
            <c:ext xmlns:c16="http://schemas.microsoft.com/office/drawing/2014/chart" uri="{C3380CC4-5D6E-409C-BE32-E72D297353CC}">
              <c16:uniqueId val="{00000018-FCF0-4C62-87B5-6EDA0D3CB8A5}"/>
            </c:ext>
          </c:extLst>
        </c:ser>
        <c:dLbls>
          <c:showLegendKey val="0"/>
          <c:showVal val="0"/>
          <c:showCatName val="0"/>
          <c:showSerName val="0"/>
          <c:showPercent val="0"/>
          <c:showBubbleSize val="0"/>
        </c:dLbls>
        <c:gapWidth val="118"/>
        <c:axId val="1860684464"/>
        <c:axId val="1860682288"/>
      </c:barChart>
      <c:catAx>
        <c:axId val="186068446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60682288"/>
        <c:crosses val="autoZero"/>
        <c:auto val="1"/>
        <c:lblAlgn val="ctr"/>
        <c:lblOffset val="100"/>
        <c:noMultiLvlLbl val="0"/>
      </c:catAx>
      <c:valAx>
        <c:axId val="1860682288"/>
        <c:scaling>
          <c:orientation val="minMax"/>
          <c:max val="0.8"/>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60684464"/>
        <c:crosses val="autoZero"/>
        <c:crossBetween val="between"/>
        <c:majorUnit val="0.2"/>
      </c:valAx>
      <c:spPr>
        <a:noFill/>
        <a:ln>
          <a:noFill/>
        </a:ln>
        <a:effectLst/>
      </c:spPr>
    </c:plotArea>
    <c:legend>
      <c:legendPos val="b"/>
      <c:layout>
        <c:manualLayout>
          <c:xMode val="edge"/>
          <c:yMode val="edge"/>
          <c:x val="6.5620386784238066E-2"/>
          <c:y val="0.82637721686658339"/>
          <c:w val="0.8889250609826207"/>
          <c:h val="0.1561792626388991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mj-lt"/>
                <a:ea typeface="+mn-ea"/>
                <a:cs typeface="+mn-cs"/>
              </a:defRPr>
            </a:pPr>
            <a:r>
              <a:rPr lang="en-US" sz="800" b="1">
                <a:solidFill>
                  <a:sysClr val="windowText" lastClr="000000"/>
                </a:solidFill>
                <a:latin typeface="+mj-lt"/>
              </a:rPr>
              <a:t>Koha Mesatare në Maturim</a:t>
            </a:r>
          </a:p>
        </c:rich>
      </c:tx>
      <c:layout>
        <c:manualLayout>
          <c:xMode val="edge"/>
          <c:yMode val="edge"/>
          <c:x val="0.3114068706013518"/>
          <c:y val="3.7104524419201632E-2"/>
        </c:manualLayout>
      </c:layout>
      <c:overlay val="0"/>
      <c:spPr>
        <a:noFill/>
        <a:ln>
          <a:noFill/>
        </a:ln>
        <a:effectLst/>
      </c:spPr>
      <c:txPr>
        <a:bodyPr rot="0" spcFirstLastPara="1" vertOverflow="ellipsis" vert="horz" wrap="square" anchor="ctr" anchorCtr="1"/>
        <a:lstStyle/>
        <a:p>
          <a:pPr>
            <a:defRPr sz="8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7.2886482939632541E-2"/>
          <c:y val="0.13816647726643586"/>
          <c:w val="0.87461286089238843"/>
          <c:h val="0.61698183610825885"/>
        </c:manualLayout>
      </c:layout>
      <c:lineChart>
        <c:grouping val="standard"/>
        <c:varyColors val="0"/>
        <c:ser>
          <c:idx val="0"/>
          <c:order val="0"/>
          <c:tx>
            <c:strRef>
              <c:f>'Slide 8 Risqet'!$A$6</c:f>
              <c:strCache>
                <c:ptCount val="1"/>
                <c:pt idx="0">
                  <c:v>KMM</c:v>
                </c:pt>
              </c:strCache>
            </c:strRef>
          </c:tx>
          <c:spPr>
            <a:ln w="25400" cap="rnd">
              <a:solidFill>
                <a:schemeClr val="accent1"/>
              </a:solidFill>
              <a:round/>
            </a:ln>
            <a:effectLst/>
          </c:spPr>
          <c:marker>
            <c:symbol val="diamond"/>
            <c:size val="5"/>
            <c:spPr>
              <a:solidFill>
                <a:schemeClr val="accent1"/>
              </a:solidFill>
              <a:ln w="9525">
                <a:solidFill>
                  <a:schemeClr val="accent1"/>
                </a:solidFill>
              </a:ln>
              <a:effectLst/>
            </c:spPr>
          </c:marker>
          <c:dLbls>
            <c:dLbl>
              <c:idx val="0"/>
              <c:layout>
                <c:manualLayout>
                  <c:x val="-3.5833333333333335E-2"/>
                  <c:y val="4.441444095406161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7E4-44BA-BC68-6274CDE1B6A6}"/>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j-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extLst>
                <c:ext xmlns:c15="http://schemas.microsoft.com/office/drawing/2012/chart" uri="{02D57815-91ED-43cb-92C2-25804820EDAC}">
                  <c15:fullRef>
                    <c15:sqref>'Slide 8 Risqet'!$B$3:$I$3</c15:sqref>
                  </c15:fullRef>
                </c:ext>
              </c:extLst>
              <c:f>'Slide 8 Risqet'!$E$3:$I$3</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'Slide 8 Risqet'!$B$6:$I$6</c15:sqref>
                  </c15:fullRef>
                </c:ext>
              </c:extLst>
              <c:f>'Slide 8 Risqet'!$E$6:$I$6</c:f>
              <c:numCache>
                <c:formatCode>0.00</c:formatCode>
                <c:ptCount val="5"/>
                <c:pt idx="0">
                  <c:v>2.1667770659807037</c:v>
                </c:pt>
                <c:pt idx="1">
                  <c:v>2.1740274747397952</c:v>
                </c:pt>
                <c:pt idx="2">
                  <c:v>2.19</c:v>
                </c:pt>
                <c:pt idx="3">
                  <c:v>2.1755038475080224</c:v>
                </c:pt>
                <c:pt idx="4">
                  <c:v>2.202303987469362</c:v>
                </c:pt>
              </c:numCache>
            </c:numRef>
          </c:val>
          <c:smooth val="1"/>
          <c:extLst xmlns:c16r2="http://schemas.microsoft.com/office/drawing/2015/06/chart">
            <c:ext xmlns:c16="http://schemas.microsoft.com/office/drawing/2014/chart" uri="{C3380CC4-5D6E-409C-BE32-E72D297353CC}">
              <c16:uniqueId val="{00000002-B7E4-44BA-BC68-6274CDE1B6A6}"/>
            </c:ext>
          </c:extLst>
        </c:ser>
        <c:ser>
          <c:idx val="1"/>
          <c:order val="1"/>
          <c:tx>
            <c:strRef>
              <c:f>'Slide 8 Risqet'!$A$7</c:f>
              <c:strCache>
                <c:ptCount val="1"/>
                <c:pt idx="0">
                  <c:v>Objektivi strategjik 2023</c:v>
                </c:pt>
              </c:strCache>
            </c:strRef>
          </c:tx>
          <c:spPr>
            <a:ln w="25400" cap="rnd">
              <a:solidFill>
                <a:srgbClr val="C00000"/>
              </a:solidFill>
              <a:prstDash val="sysDash"/>
              <a:round/>
            </a:ln>
            <a:effectLst/>
          </c:spPr>
          <c:marker>
            <c:symbol val="diamond"/>
            <c:size val="5"/>
            <c:spPr>
              <a:solidFill>
                <a:srgbClr val="C00000"/>
              </a:solidFill>
              <a:ln w="9525">
                <a:solidFill>
                  <a:schemeClr val="accent2"/>
                </a:solidFill>
              </a:ln>
              <a:effectLst/>
            </c:spPr>
          </c:marker>
          <c:dLbls>
            <c:dLbl>
              <c:idx val="1"/>
              <c:layout>
                <c:manualLayout>
                  <c:x val="0.26617936735106085"/>
                  <c:y val="-4.9308606399986944E-2"/>
                </c:manualLayout>
              </c:layout>
              <c:tx>
                <c:rich>
                  <a:bodyPr/>
                  <a:lstStyle/>
                  <a:p>
                    <a:r>
                      <a:rPr lang="en-US" sz="800" b="1">
                        <a:solidFill>
                          <a:srgbClr val="C00000"/>
                        </a:solidFill>
                      </a:rPr>
                      <a:t>2.2-2.4 vite</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7E4-44BA-BC68-6274CDE1B6A6}"/>
                </c:ext>
                <c:ext xmlns:c15="http://schemas.microsoft.com/office/drawing/2012/chart" uri="{CE6537A1-D6FC-4f65-9D91-7224C49458BB}">
                  <c15:layout>
                    <c:manualLayout>
                      <c:w val="0.23907279623373104"/>
                      <c:h val="0.150466966447596"/>
                    </c:manualLayout>
                  </c15:layout>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rgbClr val="C00000"/>
                    </a:solidFill>
                    <a:latin typeface="+mj-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extLst>
                <c:ext xmlns:c15="http://schemas.microsoft.com/office/drawing/2012/chart" uri="{02D57815-91ED-43cb-92C2-25804820EDAC}">
                  <c15:fullRef>
                    <c15:sqref>'Slide 8 Risqet'!$B$3:$I$3</c15:sqref>
                  </c15:fullRef>
                </c:ext>
              </c:extLst>
              <c:f>'Slide 8 Risqet'!$E$3:$I$3</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'Slide 8 Risqet'!$B$7:$I$7</c15:sqref>
                  </c15:fullRef>
                </c:ext>
              </c:extLst>
              <c:f>'Slide 8 Risqet'!$E$7:$I$7</c:f>
              <c:numCache>
                <c:formatCode>0.00</c:formatCode>
                <c:ptCount val="5"/>
                <c:pt idx="0">
                  <c:v>2.4</c:v>
                </c:pt>
                <c:pt idx="1">
                  <c:v>2.4</c:v>
                </c:pt>
                <c:pt idx="2">
                  <c:v>2.4</c:v>
                </c:pt>
                <c:pt idx="3">
                  <c:v>2.4</c:v>
                </c:pt>
                <c:pt idx="4">
                  <c:v>2.4</c:v>
                </c:pt>
              </c:numCache>
            </c:numRef>
          </c:val>
          <c:smooth val="0"/>
          <c:extLst xmlns:c16r2="http://schemas.microsoft.com/office/drawing/2015/06/chart">
            <c:ext xmlns:c16="http://schemas.microsoft.com/office/drawing/2014/chart" uri="{C3380CC4-5D6E-409C-BE32-E72D297353CC}">
              <c16:uniqueId val="{00000004-B7E4-44BA-BC68-6274CDE1B6A6}"/>
            </c:ext>
          </c:extLst>
        </c:ser>
        <c:dLbls>
          <c:showLegendKey val="0"/>
          <c:showVal val="0"/>
          <c:showCatName val="0"/>
          <c:showSerName val="0"/>
          <c:showPercent val="0"/>
          <c:showBubbleSize val="0"/>
        </c:dLbls>
        <c:marker val="1"/>
        <c:smooth val="0"/>
        <c:axId val="1814984752"/>
        <c:axId val="1814986928"/>
      </c:lineChart>
      <c:catAx>
        <c:axId val="18149847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crossAx val="1814986928"/>
        <c:crosses val="autoZero"/>
        <c:auto val="1"/>
        <c:lblAlgn val="ctr"/>
        <c:lblOffset val="100"/>
        <c:noMultiLvlLbl val="0"/>
      </c:catAx>
      <c:valAx>
        <c:axId val="1814986928"/>
        <c:scaling>
          <c:orientation val="minMax"/>
          <c:min val="1.5"/>
        </c:scaling>
        <c:delete val="0"/>
        <c:axPos val="l"/>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crossAx val="1814984752"/>
        <c:crosses val="autoZero"/>
        <c:crossBetween val="between"/>
        <c:majorUnit val="0.5"/>
      </c:valAx>
      <c:spPr>
        <a:noFill/>
        <a:ln>
          <a:noFill/>
        </a:ln>
        <a:effectLst/>
      </c:spPr>
    </c:plotArea>
    <c:legend>
      <c:legendPos val="r"/>
      <c:layout>
        <c:manualLayout>
          <c:xMode val="edge"/>
          <c:yMode val="edge"/>
          <c:x val="0.18112998427268506"/>
          <c:y val="0.85945848778587908"/>
          <c:w val="0.6636117672790901"/>
          <c:h val="0.1174581990810470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mj-lt"/>
                <a:ea typeface="+mn-ea"/>
                <a:cs typeface="+mn-cs"/>
              </a:defRPr>
            </a:pPr>
            <a:r>
              <a:rPr lang="en-US" sz="800" b="1">
                <a:solidFill>
                  <a:sysClr val="windowText" lastClr="000000"/>
                </a:solidFill>
                <a:latin typeface="+mj-lt"/>
              </a:rPr>
              <a:t>Borxhi që maturohet brenda një viti</a:t>
            </a:r>
          </a:p>
        </c:rich>
      </c:tx>
      <c:overlay val="0"/>
      <c:spPr>
        <a:noFill/>
        <a:ln>
          <a:noFill/>
        </a:ln>
        <a:effectLst/>
      </c:spPr>
      <c:txPr>
        <a:bodyPr rot="0" spcFirstLastPara="1" vertOverflow="ellipsis" vert="horz" wrap="square" anchor="ctr" anchorCtr="1"/>
        <a:lstStyle/>
        <a:p>
          <a:pPr>
            <a:defRPr sz="8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0.11609492563429571"/>
          <c:y val="0.17171296296296296"/>
          <c:w val="0.83915419947506553"/>
          <c:h val="0.59594070111696085"/>
        </c:manualLayout>
      </c:layout>
      <c:lineChart>
        <c:grouping val="standard"/>
        <c:varyColors val="0"/>
        <c:ser>
          <c:idx val="0"/>
          <c:order val="0"/>
          <c:tx>
            <c:strRef>
              <c:f>'Slide 8 Risqet'!$A$4</c:f>
              <c:strCache>
                <c:ptCount val="1"/>
                <c:pt idx="0">
                  <c:v>Borxhi që maturuhet brenda një viti</c:v>
                </c:pt>
              </c:strCache>
            </c:strRef>
          </c:tx>
          <c:spPr>
            <a:ln w="25400" cap="rnd">
              <a:solidFill>
                <a:schemeClr val="accent1"/>
              </a:solidFill>
              <a:round/>
            </a:ln>
            <a:effectLst/>
          </c:spPr>
          <c:marker>
            <c:symbol val="diamond"/>
            <c:size val="5"/>
            <c:spPr>
              <a:solidFill>
                <a:schemeClr val="accent1"/>
              </a:solidFill>
              <a:ln w="9525">
                <a:solidFill>
                  <a:schemeClr val="accent1"/>
                </a:solidFill>
              </a:ln>
              <a:effectLst/>
            </c:spPr>
          </c:marker>
          <c:dLbls>
            <c:dLbl>
              <c:idx val="0"/>
              <c:layout>
                <c:manualLayout>
                  <c:x val="-4.8319553805774275E-2"/>
                  <c:y val="-4.39962746592159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925-4E74-8654-A779AE4689A8}"/>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j-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extLst>
                <c:ext xmlns:c15="http://schemas.microsoft.com/office/drawing/2012/chart" uri="{02D57815-91ED-43cb-92C2-25804820EDAC}">
                  <c15:fullRef>
                    <c15:sqref>'Slide 8 Risqet'!$B$3:$I$3</c15:sqref>
                  </c15:fullRef>
                </c:ext>
              </c:extLst>
              <c:f>'Slide 8 Risqet'!$E$3:$I$3</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'Slide 8 Risqet'!$B$4:$I$4</c15:sqref>
                  </c15:fullRef>
                </c:ext>
              </c:extLst>
              <c:f>'Slide 8 Risqet'!$E$4:$I$4</c:f>
              <c:numCache>
                <c:formatCode>0.0%</c:formatCode>
                <c:ptCount val="5"/>
                <c:pt idx="0" formatCode="0.00%">
                  <c:v>0.50037776722366856</c:v>
                </c:pt>
                <c:pt idx="1" formatCode="0.00%">
                  <c:v>0.49418902417538746</c:v>
                </c:pt>
                <c:pt idx="2">
                  <c:v>0.47710000000000002</c:v>
                </c:pt>
                <c:pt idx="3">
                  <c:v>0.44791045303541993</c:v>
                </c:pt>
                <c:pt idx="4">
                  <c:v>0.46612165752465229</c:v>
                </c:pt>
              </c:numCache>
            </c:numRef>
          </c:val>
          <c:smooth val="1"/>
          <c:extLst xmlns:c16r2="http://schemas.microsoft.com/office/drawing/2015/06/chart">
            <c:ext xmlns:c16="http://schemas.microsoft.com/office/drawing/2014/chart" uri="{C3380CC4-5D6E-409C-BE32-E72D297353CC}">
              <c16:uniqueId val="{00000002-E925-4E74-8654-A779AE4689A8}"/>
            </c:ext>
          </c:extLst>
        </c:ser>
        <c:ser>
          <c:idx val="1"/>
          <c:order val="1"/>
          <c:tx>
            <c:strRef>
              <c:f>'Slide 8 Risqet'!$A$5</c:f>
              <c:strCache>
                <c:ptCount val="1"/>
                <c:pt idx="0">
                  <c:v>Objektivi strategjik 2023</c:v>
                </c:pt>
              </c:strCache>
            </c:strRef>
          </c:tx>
          <c:spPr>
            <a:ln w="25400" cap="sq" cmpd="sng">
              <a:solidFill>
                <a:srgbClr val="C00000"/>
              </a:solidFill>
              <a:prstDash val="sysDash"/>
              <a:round/>
            </a:ln>
            <a:effectLst/>
          </c:spPr>
          <c:marker>
            <c:symbol val="diamond"/>
            <c:size val="4"/>
            <c:spPr>
              <a:solidFill>
                <a:srgbClr val="C00000"/>
              </a:solidFill>
              <a:ln w="9525">
                <a:solidFill>
                  <a:schemeClr val="accent2"/>
                </a:solidFill>
              </a:ln>
              <a:effectLst/>
            </c:spPr>
          </c:marker>
          <c:dLbls>
            <c:dLbl>
              <c:idx val="0"/>
              <c:layout>
                <c:manualLayout>
                  <c:x val="-7.8138837296500702E-2"/>
                  <c:y val="-6.4164376547362567E-2"/>
                </c:manualLayout>
              </c:layout>
              <c:tx>
                <c:rich>
                  <a:bodyPr rot="0" spcFirstLastPara="1" vertOverflow="ellipsis" vert="horz" wrap="square" lIns="38100" tIns="19050" rIns="38100" bIns="19050" anchor="ctr" anchorCtr="1">
                    <a:spAutoFit/>
                  </a:bodyPr>
                  <a:lstStyle/>
                  <a:p>
                    <a:pPr>
                      <a:defRPr sz="700" b="1" i="0" u="none" strike="noStrike" kern="1200" baseline="0">
                        <a:solidFill>
                          <a:srgbClr val="C00000"/>
                        </a:solidFill>
                        <a:latin typeface="+mj-lt"/>
                        <a:ea typeface="+mn-ea"/>
                        <a:cs typeface="+mn-cs"/>
                      </a:defRPr>
                    </a:pPr>
                    <a:r>
                      <a:rPr lang="en-US" sz="700" b="1">
                        <a:solidFill>
                          <a:srgbClr val="C00000"/>
                        </a:solidFill>
                      </a:rPr>
                      <a:t>Max 45%</a:t>
                    </a:r>
                  </a:p>
                </c:rich>
              </c:tx>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rgbClr val="C00000"/>
                      </a:solidFill>
                      <a:latin typeface="+mj-lt"/>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925-4E74-8654-A779AE4689A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rgbClr val="C00000"/>
                    </a:solidFill>
                    <a:latin typeface="+mj-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extLst>
                <c:ext xmlns:c15="http://schemas.microsoft.com/office/drawing/2012/chart" uri="{02D57815-91ED-43cb-92C2-25804820EDAC}">
                  <c15:fullRef>
                    <c15:sqref>'Slide 8 Risqet'!$B$3:$I$3</c15:sqref>
                  </c15:fullRef>
                </c:ext>
              </c:extLst>
              <c:f>'Slide 8 Risqet'!$E$3:$I$3</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'Slide 8 Risqet'!$B$5:$I$5</c15:sqref>
                  </c15:fullRef>
                </c:ext>
              </c:extLst>
              <c:f>'Slide 8 Risqet'!$E$5:$I$5</c:f>
              <c:numCache>
                <c:formatCode>0.0%</c:formatCode>
                <c:ptCount val="5"/>
                <c:pt idx="0">
                  <c:v>0.45</c:v>
                </c:pt>
                <c:pt idx="1">
                  <c:v>0.45</c:v>
                </c:pt>
                <c:pt idx="2">
                  <c:v>0.45</c:v>
                </c:pt>
                <c:pt idx="3">
                  <c:v>0.45</c:v>
                </c:pt>
                <c:pt idx="4">
                  <c:v>0.45</c:v>
                </c:pt>
              </c:numCache>
            </c:numRef>
          </c:val>
          <c:smooth val="0"/>
          <c:extLst xmlns:c16r2="http://schemas.microsoft.com/office/drawing/2015/06/chart">
            <c:ext xmlns:c16="http://schemas.microsoft.com/office/drawing/2014/chart" uri="{C3380CC4-5D6E-409C-BE32-E72D297353CC}">
              <c16:uniqueId val="{00000004-E925-4E74-8654-A779AE4689A8}"/>
            </c:ext>
          </c:extLst>
        </c:ser>
        <c:dLbls>
          <c:showLegendKey val="0"/>
          <c:showVal val="0"/>
          <c:showCatName val="0"/>
          <c:showSerName val="0"/>
          <c:showPercent val="0"/>
          <c:showBubbleSize val="0"/>
        </c:dLbls>
        <c:marker val="1"/>
        <c:smooth val="0"/>
        <c:axId val="1814987472"/>
        <c:axId val="1929699168"/>
      </c:lineChart>
      <c:catAx>
        <c:axId val="181498747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crossAx val="1929699168"/>
        <c:crosses val="autoZero"/>
        <c:auto val="1"/>
        <c:lblAlgn val="ctr"/>
        <c:lblOffset val="100"/>
        <c:noMultiLvlLbl val="0"/>
      </c:catAx>
      <c:valAx>
        <c:axId val="1929699168"/>
        <c:scaling>
          <c:orientation val="minMax"/>
          <c:min val="0.4"/>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crossAx val="1814987472"/>
        <c:crosses val="autoZero"/>
        <c:crossBetween val="between"/>
        <c:majorUnit val="8.0000000000000016E-2"/>
      </c:valAx>
      <c:spPr>
        <a:noFill/>
        <a:ln>
          <a:noFill/>
        </a:ln>
        <a:effectLst/>
      </c:spPr>
    </c:plotArea>
    <c:legend>
      <c:legendPos val="r"/>
      <c:layout>
        <c:manualLayout>
          <c:xMode val="edge"/>
          <c:yMode val="edge"/>
          <c:x val="4.722212822829007E-2"/>
          <c:y val="0.87918301979807001"/>
          <c:w val="0.9027777777777779"/>
          <c:h val="0.1186941825976353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755253342937804E-2"/>
          <c:y val="0.11544085980070005"/>
          <c:w val="0.80289427637334809"/>
          <c:h val="0.57794921133250632"/>
        </c:manualLayout>
      </c:layout>
      <c:lineChart>
        <c:grouping val="stacked"/>
        <c:varyColors val="0"/>
        <c:ser>
          <c:idx val="0"/>
          <c:order val="0"/>
          <c:tx>
            <c:strRef>
              <c:f>Graf.Prezantimin!$C$219</c:f>
              <c:strCache>
                <c:ptCount val="1"/>
                <c:pt idx="0">
                  <c:v>Ditë Mes. në Maturim</c:v>
                </c:pt>
              </c:strCache>
            </c:strRef>
          </c:tx>
          <c:spPr>
            <a:ln>
              <a:solidFill>
                <a:srgbClr val="C00000"/>
              </a:solidFill>
            </a:ln>
          </c:spPr>
          <c:marker>
            <c:spPr>
              <a:solidFill>
                <a:srgbClr val="C00000"/>
              </a:solidFill>
              <a:ln>
                <a:noFill/>
              </a:ln>
            </c:spPr>
          </c:marker>
          <c:dLbls>
            <c:dLbl>
              <c:idx val="0"/>
              <c:layout>
                <c:manualLayout>
                  <c:x val="-3.1219191587249426E-2"/>
                  <c:y val="8.410516482049913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3.3410012049512543E-2"/>
                  <c:y val="7.58372855315366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3.1219191587249465E-2"/>
                  <c:y val="6.756940624257437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3.1219191587249465E-2"/>
                  <c:y val="7.583728553153668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3.1219191587249426E-2"/>
                  <c:y val="7.58372855315366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900" b="1">
                    <a:solidFill>
                      <a:srgbClr val="C00000"/>
                    </a:solidFill>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extLst>
                <c:ext xmlns:c15="http://schemas.microsoft.com/office/drawing/2012/chart" uri="{02D57815-91ED-43cb-92C2-25804820EDAC}">
                  <c15:fullRef>
                    <c15:sqref>Graf.Prezantimin!$A$220:$A$236</c15:sqref>
                  </c15:fullRef>
                </c:ext>
              </c:extLst>
              <c:f>Graf.Prezantimin!$A$220:$A$231</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extLst>
                <c:ext xmlns:c15="http://schemas.microsoft.com/office/drawing/2012/chart" uri="{02D57815-91ED-43cb-92C2-25804820EDAC}">
                  <c15:fullRef>
                    <c15:sqref>Graf.Prezantimin!$C$220:$C$236</c15:sqref>
                  </c15:fullRef>
                </c:ext>
              </c:extLst>
              <c:f>Graf.Prezantimin!$C$220:$C$231</c:f>
              <c:numCache>
                <c:formatCode>General</c:formatCode>
                <c:ptCount val="12"/>
                <c:pt idx="0">
                  <c:v>384</c:v>
                </c:pt>
                <c:pt idx="1">
                  <c:v>360</c:v>
                </c:pt>
                <c:pt idx="2">
                  <c:v>386</c:v>
                </c:pt>
                <c:pt idx="3">
                  <c:v>559</c:v>
                </c:pt>
                <c:pt idx="4">
                  <c:v>630</c:v>
                </c:pt>
                <c:pt idx="5">
                  <c:v>706</c:v>
                </c:pt>
                <c:pt idx="6">
                  <c:v>753</c:v>
                </c:pt>
                <c:pt idx="7">
                  <c:v>780</c:v>
                </c:pt>
                <c:pt idx="8">
                  <c:v>783</c:v>
                </c:pt>
                <c:pt idx="9">
                  <c:v>787</c:v>
                </c:pt>
                <c:pt idx="10">
                  <c:v>783</c:v>
                </c:pt>
                <c:pt idx="11">
                  <c:v>793</c:v>
                </c:pt>
              </c:numCache>
            </c:numRef>
          </c:val>
          <c:smooth val="0"/>
          <c:extLst xmlns:c16r2="http://schemas.microsoft.com/office/drawing/2015/06/chart">
            <c:ext xmlns:c16="http://schemas.microsoft.com/office/drawing/2014/chart" uri="{C3380CC4-5D6E-409C-BE32-E72D297353CC}">
              <c16:uniqueId val="{0000000B-33DF-407E-9368-9C1EC77F5287}"/>
            </c:ext>
            <c:ext xmlns:c15="http://schemas.microsoft.com/office/drawing/2012/chart" uri="{02D57815-91ED-43cb-92C2-25804820EDAC}">
              <c15:categoryFilterExceptions>
                <c15:categoryFilterException>
                  <c15:sqref>Graf.Prezantimin!$C$232</c15:sqref>
                  <c15:spPr xmlns:c15="http://schemas.microsoft.com/office/drawing/2012/chart">
                    <a:ln>
                      <a:solidFill>
                        <a:srgbClr val="C00000"/>
                      </a:solidFill>
                      <a:prstDash val="sysDash"/>
                    </a:ln>
                  </c15:spPr>
                  <c15:bubble3D val="0"/>
                  <c15:marker>
                    <c:spPr>
                      <a:solidFill>
                        <a:srgbClr val="C00000"/>
                      </a:solidFill>
                      <a:ln>
                        <a:noFill/>
                        <a:prstDash val="sysDash"/>
                      </a:ln>
                    </c:spPr>
                  </c15:marker>
                  <c15:dLbl>
                    <c:idx val="11"/>
                    <c:delete val="1"/>
                    <c:extLst xmlns:c16="http://schemas.microsoft.com/office/drawing/2014/chart" xmlns:c16r2="http://schemas.microsoft.com/office/drawing/2015/06/chart">
                      <c:ext xmlns:c16="http://schemas.microsoft.com/office/drawing/2014/chart" uri="{C3380CC4-5D6E-409C-BE32-E72D297353CC}">
                        <c16:uniqueId val="{00000001-6B0E-489E-8FCF-5515D393432B}"/>
                      </c:ext>
                      <c:ext uri="{CE6537A1-D6FC-4f65-9D91-7224C49458BB}"/>
                    </c:extLst>
                  </c15:dLbl>
                </c15:categoryFilterException>
                <c15:categoryFilterException>
                  <c15:sqref>Graf.Prezantimin!$C$233</c15:sqref>
                  <c15:spPr xmlns:c15="http://schemas.microsoft.com/office/drawing/2012/chart">
                    <a:ln>
                      <a:solidFill>
                        <a:srgbClr val="C00000"/>
                      </a:solidFill>
                      <a:prstDash val="sysDash"/>
                    </a:ln>
                  </c15:spPr>
                  <c15:bubble3D val="0"/>
                  <c15:marker>
                    <c:spPr>
                      <a:solidFill>
                        <a:srgbClr val="C00000"/>
                      </a:solidFill>
                      <a:ln>
                        <a:noFill/>
                        <a:prstDash val="sysDash"/>
                      </a:ln>
                    </c:spPr>
                  </c15:marker>
                  <c15:dLbl>
                    <c:idx val="11"/>
                    <c:delete val="1"/>
                    <c:extLst xmlns:c16="http://schemas.microsoft.com/office/drawing/2014/chart" xmlns:c16r2="http://schemas.microsoft.com/office/drawing/2015/06/chart">
                      <c:ext xmlns:c16="http://schemas.microsoft.com/office/drawing/2014/chart" uri="{C3380CC4-5D6E-409C-BE32-E72D297353CC}">
                        <c16:uniqueId val="{00000003-6B0E-489E-8FCF-5515D393432B}"/>
                      </c:ext>
                      <c:ext uri="{CE6537A1-D6FC-4f65-9D91-7224C49458BB}"/>
                    </c:extLst>
                  </c15:dLbl>
                </c15:categoryFilterException>
                <c15:categoryFilterException>
                  <c15:sqref>Graf.Prezantimin!$C$234</c15:sqref>
                  <c15:spPr xmlns:c15="http://schemas.microsoft.com/office/drawing/2012/chart">
                    <a:ln>
                      <a:solidFill>
                        <a:srgbClr val="C00000"/>
                      </a:solidFill>
                      <a:prstDash val="sysDash"/>
                    </a:ln>
                  </c15:spPr>
                  <c15:bubble3D val="0"/>
                  <c15:marker>
                    <c:spPr>
                      <a:solidFill>
                        <a:srgbClr val="C00000"/>
                      </a:solidFill>
                      <a:ln>
                        <a:noFill/>
                        <a:prstDash val="sysDash"/>
                      </a:ln>
                    </c:spPr>
                  </c15:marker>
                  <c15:dLbl>
                    <c:idx val="11"/>
                    <c:delete val="1"/>
                    <c:extLst xmlns:c16="http://schemas.microsoft.com/office/drawing/2014/chart" xmlns:c16r2="http://schemas.microsoft.com/office/drawing/2015/06/chart">
                      <c:ext xmlns:c16="http://schemas.microsoft.com/office/drawing/2014/chart" uri="{C3380CC4-5D6E-409C-BE32-E72D297353CC}">
                        <c16:uniqueId val="{00000005-6B0E-489E-8FCF-5515D393432B}"/>
                      </c:ext>
                      <c:ext uri="{CE6537A1-D6FC-4f65-9D91-7224C49458BB}"/>
                    </c:extLst>
                  </c15:dLbl>
                </c15:categoryFilterException>
                <c15:categoryFilterException>
                  <c15:sqref>Graf.Prezantimin!$C$235</c15:sqref>
                  <c15:spPr xmlns:c15="http://schemas.microsoft.com/office/drawing/2012/chart">
                    <a:ln>
                      <a:solidFill>
                        <a:srgbClr val="C00000"/>
                      </a:solidFill>
                      <a:prstDash val="sysDash"/>
                    </a:ln>
                  </c15:spPr>
                  <c15:bubble3D val="0"/>
                  <c15:marker>
                    <c:spPr>
                      <a:solidFill>
                        <a:srgbClr val="C00000"/>
                      </a:solidFill>
                      <a:ln>
                        <a:noFill/>
                        <a:prstDash val="sysDash"/>
                      </a:ln>
                    </c:spPr>
                  </c15:marker>
                  <c15:dLbl>
                    <c:idx val="11"/>
                    <c:delete val="1"/>
                    <c:extLst xmlns:c16="http://schemas.microsoft.com/office/drawing/2014/chart" xmlns:c16r2="http://schemas.microsoft.com/office/drawing/2015/06/chart">
                      <c:ext xmlns:c16="http://schemas.microsoft.com/office/drawing/2014/chart" uri="{C3380CC4-5D6E-409C-BE32-E72D297353CC}">
                        <c16:uniqueId val="{00000007-6B0E-489E-8FCF-5515D393432B}"/>
                      </c:ext>
                      <c:ext uri="{CE6537A1-D6FC-4f65-9D91-7224C49458BB}"/>
                    </c:extLst>
                  </c15:dLbl>
                </c15:categoryFilterException>
                <c15:categoryFilterException>
                  <c15:sqref>Graf.Prezantimin!$C$236</c15:sqref>
                  <c15:spPr xmlns:c15="http://schemas.microsoft.com/office/drawing/2012/chart">
                    <a:ln>
                      <a:solidFill>
                        <a:srgbClr val="C00000"/>
                      </a:solidFill>
                      <a:prstDash val="sysDash"/>
                    </a:ln>
                  </c15:spPr>
                  <c15:bubble3D val="0"/>
                  <c15:marker>
                    <c:spPr>
                      <a:solidFill>
                        <a:srgbClr val="C00000"/>
                      </a:solidFill>
                      <a:ln>
                        <a:noFill/>
                        <a:prstDash val="sysDash"/>
                      </a:ln>
                    </c:spPr>
                  </c15:marker>
                </c15:categoryFilterException>
              </c15:categoryFilterExceptions>
            </c:ext>
          </c:extLst>
        </c:ser>
        <c:dLbls>
          <c:showLegendKey val="0"/>
          <c:showVal val="0"/>
          <c:showCatName val="0"/>
          <c:showSerName val="0"/>
          <c:showPercent val="0"/>
          <c:showBubbleSize val="0"/>
        </c:dLbls>
        <c:marker val="1"/>
        <c:smooth val="0"/>
        <c:axId val="1929696992"/>
        <c:axId val="1929697536"/>
      </c:lineChart>
      <c:lineChart>
        <c:grouping val="stacked"/>
        <c:varyColors val="0"/>
        <c:ser>
          <c:idx val="2"/>
          <c:order val="1"/>
          <c:tx>
            <c:strRef>
              <c:f>Graf.Prezantimin!$D$219</c:f>
              <c:strCache>
                <c:ptCount val="1"/>
                <c:pt idx="0">
                  <c:v>Ditë Mes. sipas Maturimit Origjinal</c:v>
                </c:pt>
              </c:strCache>
            </c:strRef>
          </c:tx>
          <c:spPr>
            <a:ln>
              <a:solidFill>
                <a:sysClr val="window" lastClr="FFFFFF">
                  <a:lumMod val="50000"/>
                </a:sysClr>
              </a:solidFill>
            </a:ln>
          </c:spPr>
          <c:marker>
            <c:spPr>
              <a:solidFill>
                <a:sysClr val="window" lastClr="FFFFFF">
                  <a:lumMod val="50000"/>
                </a:sysClr>
              </a:solidFill>
              <a:ln>
                <a:noFill/>
              </a:ln>
            </c:spPr>
          </c:marker>
          <c:dLbls>
            <c:spPr>
              <a:noFill/>
              <a:ln>
                <a:noFill/>
              </a:ln>
              <a:effectLst/>
            </c:spPr>
            <c:txPr>
              <a:bodyPr wrap="square" lIns="38100" tIns="19050" rIns="38100" bIns="19050" anchor="ctr">
                <a:spAutoFit/>
              </a:bodyPr>
              <a:lstStyle/>
              <a:p>
                <a:pPr>
                  <a:defRPr sz="900">
                    <a:solidFill>
                      <a:sysClr val="windowText" lastClr="000000"/>
                    </a:solidFill>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numRef>
              <c:extLst>
                <c:ext xmlns:c15="http://schemas.microsoft.com/office/drawing/2012/chart" uri="{02D57815-91ED-43cb-92C2-25804820EDAC}">
                  <c15:fullRef>
                    <c15:sqref>Graf.Prezantimin!$A$220:$A$236</c15:sqref>
                  </c15:fullRef>
                </c:ext>
              </c:extLst>
              <c:f>Graf.Prezantimin!$A$220:$A$231</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extLst>
                <c:ext xmlns:c15="http://schemas.microsoft.com/office/drawing/2012/chart" uri="{02D57815-91ED-43cb-92C2-25804820EDAC}">
                  <c15:fullRef>
                    <c15:sqref>Graf.Prezantimin!$D$220:$D$236</c15:sqref>
                  </c15:fullRef>
                </c:ext>
              </c:extLst>
              <c:f>Graf.Prezantimin!$D$220:$D$231</c:f>
              <c:numCache>
                <c:formatCode>0</c:formatCode>
                <c:ptCount val="12"/>
                <c:pt idx="0">
                  <c:v>745.15523081172955</c:v>
                </c:pt>
                <c:pt idx="1">
                  <c:v>765.13073210443679</c:v>
                </c:pt>
                <c:pt idx="2">
                  <c:v>796.28568600930294</c:v>
                </c:pt>
                <c:pt idx="3">
                  <c:v>936.91162759124643</c:v>
                </c:pt>
                <c:pt idx="4">
                  <c:v>993.22545071763943</c:v>
                </c:pt>
                <c:pt idx="5">
                  <c:v>1142.7110484033517</c:v>
                </c:pt>
                <c:pt idx="6">
                  <c:v>1259.8111277515611</c:v>
                </c:pt>
                <c:pt idx="7">
                  <c:v>1343.6173387111519</c:v>
                </c:pt>
                <c:pt idx="8">
                  <c:v>1407.9843848711628</c:v>
                </c:pt>
                <c:pt idx="9">
                  <c:v>1482.3550510533621</c:v>
                </c:pt>
                <c:pt idx="10">
                  <c:v>1485.8755435635576</c:v>
                </c:pt>
                <c:pt idx="11">
                  <c:v>1535</c:v>
                </c:pt>
              </c:numCache>
            </c:numRef>
          </c:val>
          <c:smooth val="0"/>
          <c:extLst xmlns:c16r2="http://schemas.microsoft.com/office/drawing/2015/06/chart">
            <c:ext xmlns:c16="http://schemas.microsoft.com/office/drawing/2014/chart" uri="{C3380CC4-5D6E-409C-BE32-E72D297353CC}">
              <c16:uniqueId val="{00000014-6B0E-489E-8FCF-5515D393432B}"/>
            </c:ext>
            <c:ext xmlns:c15="http://schemas.microsoft.com/office/drawing/2012/chart" uri="{02D57815-91ED-43cb-92C2-25804820EDAC}">
              <c15:categoryFilterExceptions>
                <c15:categoryFilterException>
                  <c15:sqref>Graf.Prezantimin!$D$232</c15:sqref>
                  <c15:spPr xmlns:c15="http://schemas.microsoft.com/office/drawing/2012/chart">
                    <a:ln>
                      <a:solidFill>
                        <a:sysClr val="window" lastClr="FFFFFF">
                          <a:lumMod val="50000"/>
                        </a:sysClr>
                      </a:solidFill>
                      <a:prstDash val="sysDash"/>
                    </a:ln>
                  </c15:spPr>
                  <c15:bubble3D val="0"/>
                  <c15:marker>
                    <c:spPr>
                      <a:solidFill>
                        <a:sysClr val="window" lastClr="FFFFFF">
                          <a:lumMod val="50000"/>
                        </a:sysClr>
                      </a:solidFill>
                      <a:ln>
                        <a:noFill/>
                        <a:prstDash val="sysDash"/>
                      </a:ln>
                    </c:spPr>
                  </c15:marker>
                  <c15:dLbl>
                    <c:idx val="11"/>
                    <c:delete val="1"/>
                    <c:extLst xmlns:c16="http://schemas.microsoft.com/office/drawing/2014/chart" xmlns:c16r2="http://schemas.microsoft.com/office/drawing/2015/06/chart">
                      <c:ext xmlns:c16="http://schemas.microsoft.com/office/drawing/2014/chart" uri="{C3380CC4-5D6E-409C-BE32-E72D297353CC}">
                        <c16:uniqueId val="{0000000B-6B0E-489E-8FCF-5515D393432B}"/>
                      </c:ext>
                      <c:ext uri="{CE6537A1-D6FC-4f65-9D91-7224C49458BB}"/>
                    </c:extLst>
                  </c15:dLbl>
                </c15:categoryFilterException>
                <c15:categoryFilterException>
                  <c15:sqref>Graf.Prezantimin!$D$233</c15:sqref>
                  <c15:spPr xmlns:c15="http://schemas.microsoft.com/office/drawing/2012/chart">
                    <a:ln>
                      <a:solidFill>
                        <a:sysClr val="window" lastClr="FFFFFF">
                          <a:lumMod val="50000"/>
                        </a:sysClr>
                      </a:solidFill>
                      <a:prstDash val="sysDash"/>
                    </a:ln>
                  </c15:spPr>
                  <c15:bubble3D val="0"/>
                  <c15:marker>
                    <c:spPr>
                      <a:solidFill>
                        <a:sysClr val="window" lastClr="FFFFFF">
                          <a:lumMod val="50000"/>
                        </a:sysClr>
                      </a:solidFill>
                      <a:ln>
                        <a:noFill/>
                        <a:prstDash val="sysDash"/>
                      </a:ln>
                    </c:spPr>
                  </c15:marker>
                  <c15:dLbl>
                    <c:idx val="11"/>
                    <c:delete val="1"/>
                    <c:extLst xmlns:c16="http://schemas.microsoft.com/office/drawing/2014/chart" xmlns:c16r2="http://schemas.microsoft.com/office/drawing/2015/06/chart">
                      <c:ext xmlns:c16="http://schemas.microsoft.com/office/drawing/2014/chart" uri="{C3380CC4-5D6E-409C-BE32-E72D297353CC}">
                        <c16:uniqueId val="{0000000D-6B0E-489E-8FCF-5515D393432B}"/>
                      </c:ext>
                      <c:ext uri="{CE6537A1-D6FC-4f65-9D91-7224C49458BB}"/>
                    </c:extLst>
                  </c15:dLbl>
                </c15:categoryFilterException>
                <c15:categoryFilterException>
                  <c15:sqref>Graf.Prezantimin!$D$234</c15:sqref>
                  <c15:spPr xmlns:c15="http://schemas.microsoft.com/office/drawing/2012/chart">
                    <a:ln>
                      <a:solidFill>
                        <a:sysClr val="window" lastClr="FFFFFF">
                          <a:lumMod val="50000"/>
                        </a:sysClr>
                      </a:solidFill>
                      <a:prstDash val="sysDash"/>
                    </a:ln>
                  </c15:spPr>
                  <c15:bubble3D val="0"/>
                  <c15:marker>
                    <c:spPr>
                      <a:solidFill>
                        <a:sysClr val="window" lastClr="FFFFFF">
                          <a:lumMod val="50000"/>
                        </a:sysClr>
                      </a:solidFill>
                      <a:ln>
                        <a:noFill/>
                        <a:prstDash val="sysDash"/>
                      </a:ln>
                    </c:spPr>
                  </c15:marker>
                  <c15:dLbl>
                    <c:idx val="11"/>
                    <c:delete val="1"/>
                    <c:extLst xmlns:c16="http://schemas.microsoft.com/office/drawing/2014/chart" xmlns:c16r2="http://schemas.microsoft.com/office/drawing/2015/06/chart">
                      <c:ext xmlns:c16="http://schemas.microsoft.com/office/drawing/2014/chart" uri="{C3380CC4-5D6E-409C-BE32-E72D297353CC}">
                        <c16:uniqueId val="{0000000F-6B0E-489E-8FCF-5515D393432B}"/>
                      </c:ext>
                      <c:ext uri="{CE6537A1-D6FC-4f65-9D91-7224C49458BB}"/>
                    </c:extLst>
                  </c15:dLbl>
                </c15:categoryFilterException>
                <c15:categoryFilterException>
                  <c15:sqref>Graf.Prezantimin!$D$235</c15:sqref>
                  <c15:spPr xmlns:c15="http://schemas.microsoft.com/office/drawing/2012/chart">
                    <a:ln>
                      <a:solidFill>
                        <a:sysClr val="window" lastClr="FFFFFF">
                          <a:lumMod val="50000"/>
                        </a:sysClr>
                      </a:solidFill>
                      <a:prstDash val="sysDash"/>
                    </a:ln>
                  </c15:spPr>
                  <c15:bubble3D val="0"/>
                  <c15:marker>
                    <c:spPr>
                      <a:solidFill>
                        <a:sysClr val="window" lastClr="FFFFFF">
                          <a:lumMod val="50000"/>
                        </a:sysClr>
                      </a:solidFill>
                      <a:ln>
                        <a:noFill/>
                        <a:prstDash val="sysDash"/>
                      </a:ln>
                    </c:spPr>
                  </c15:marker>
                  <c15:dLbl>
                    <c:idx val="11"/>
                    <c:delete val="1"/>
                    <c:extLst xmlns:c16="http://schemas.microsoft.com/office/drawing/2014/chart" xmlns:c16r2="http://schemas.microsoft.com/office/drawing/2015/06/chart">
                      <c:ext xmlns:c16="http://schemas.microsoft.com/office/drawing/2014/chart" uri="{C3380CC4-5D6E-409C-BE32-E72D297353CC}">
                        <c16:uniqueId val="{00000011-6B0E-489E-8FCF-5515D393432B}"/>
                      </c:ext>
                      <c:ext uri="{CE6537A1-D6FC-4f65-9D91-7224C49458BB}"/>
                    </c:extLst>
                  </c15:dLbl>
                </c15:categoryFilterException>
                <c15:categoryFilterException>
                  <c15:sqref>Graf.Prezantimin!$D$236</c15:sqref>
                  <c15:spPr xmlns:c15="http://schemas.microsoft.com/office/drawing/2012/chart">
                    <a:ln>
                      <a:solidFill>
                        <a:sysClr val="window" lastClr="FFFFFF">
                          <a:lumMod val="50000"/>
                        </a:sysClr>
                      </a:solidFill>
                      <a:prstDash val="sysDash"/>
                    </a:ln>
                  </c15:spPr>
                  <c15:bubble3D val="0"/>
                  <c15:marker>
                    <c:spPr>
                      <a:solidFill>
                        <a:sysClr val="window" lastClr="FFFFFF">
                          <a:lumMod val="50000"/>
                        </a:sysClr>
                      </a:solidFill>
                      <a:ln>
                        <a:noFill/>
                        <a:prstDash val="sysDash"/>
                      </a:ln>
                    </c:spPr>
                  </c15:marker>
                </c15:categoryFilterException>
              </c15:categoryFilterExceptions>
            </c:ext>
          </c:extLst>
        </c:ser>
        <c:dLbls>
          <c:showLegendKey val="0"/>
          <c:showVal val="0"/>
          <c:showCatName val="0"/>
          <c:showSerName val="0"/>
          <c:showPercent val="0"/>
          <c:showBubbleSize val="0"/>
        </c:dLbls>
        <c:marker val="1"/>
        <c:smooth val="0"/>
        <c:axId val="1929698624"/>
        <c:axId val="1929698080"/>
      </c:lineChart>
      <c:catAx>
        <c:axId val="1929696992"/>
        <c:scaling>
          <c:orientation val="minMax"/>
        </c:scaling>
        <c:delete val="0"/>
        <c:axPos val="b"/>
        <c:numFmt formatCode="General" sourceLinked="1"/>
        <c:majorTickMark val="none"/>
        <c:minorTickMark val="none"/>
        <c:tickLblPos val="nextTo"/>
        <c:spPr>
          <a:ln w="3175">
            <a:solidFill>
              <a:srgbClr val="000000"/>
            </a:solidFill>
            <a:prstDash val="solid"/>
          </a:ln>
        </c:spPr>
        <c:txPr>
          <a:bodyPr rot="0" vert="horz"/>
          <a:lstStyle/>
          <a:p>
            <a:pPr>
              <a:defRPr sz="900" b="0" i="0" u="none" strike="noStrike" baseline="0">
                <a:solidFill>
                  <a:sysClr val="windowText" lastClr="000000"/>
                </a:solidFill>
                <a:latin typeface="+mn-lt"/>
                <a:ea typeface="Times New Roman"/>
                <a:cs typeface="Times New Roman" panose="02020603050405020304" pitchFamily="18" charset="0"/>
              </a:defRPr>
            </a:pPr>
            <a:endParaRPr lang="en-US"/>
          </a:p>
        </c:txPr>
        <c:crossAx val="1929697536"/>
        <c:crosses val="autoZero"/>
        <c:auto val="1"/>
        <c:lblAlgn val="ctr"/>
        <c:lblOffset val="100"/>
        <c:tickLblSkip val="1"/>
        <c:tickMarkSkip val="1"/>
        <c:noMultiLvlLbl val="0"/>
      </c:catAx>
      <c:valAx>
        <c:axId val="1929697536"/>
        <c:scaling>
          <c:orientation val="minMax"/>
          <c:min val="3.0000000000000006E-2"/>
        </c:scaling>
        <c:delete val="0"/>
        <c:axPos val="l"/>
        <c:title>
          <c:tx>
            <c:rich>
              <a:bodyPr/>
              <a:lstStyle/>
              <a:p>
                <a:pPr>
                  <a:defRPr/>
                </a:pPr>
                <a:r>
                  <a:rPr lang="en-US"/>
                  <a:t>ditë</a:t>
                </a:r>
              </a:p>
            </c:rich>
          </c:tx>
          <c:overlay val="0"/>
        </c:title>
        <c:numFmt formatCode="#,##0" sourceLinked="0"/>
        <c:majorTickMark val="none"/>
        <c:minorTickMark val="none"/>
        <c:tickLblPos val="nextTo"/>
        <c:spPr>
          <a:ln w="3175">
            <a:solidFill>
              <a:srgbClr val="000000">
                <a:alpha val="93000"/>
              </a:srgbClr>
            </a:solidFill>
            <a:prstDash val="solid"/>
          </a:ln>
        </c:spPr>
        <c:txPr>
          <a:bodyPr rot="0" vert="horz"/>
          <a:lstStyle/>
          <a:p>
            <a:pPr>
              <a:defRPr sz="900" b="0" i="0" u="none" strike="noStrike" baseline="0">
                <a:solidFill>
                  <a:sysClr val="windowText" lastClr="000000"/>
                </a:solidFill>
                <a:latin typeface="+mn-lt"/>
                <a:ea typeface="Times New Roman"/>
                <a:cs typeface="Times New Roman"/>
              </a:defRPr>
            </a:pPr>
            <a:endParaRPr lang="en-US"/>
          </a:p>
        </c:txPr>
        <c:crossAx val="1929696992"/>
        <c:crosses val="autoZero"/>
        <c:crossBetween val="between"/>
        <c:majorUnit val="500"/>
      </c:valAx>
      <c:valAx>
        <c:axId val="1929698080"/>
        <c:scaling>
          <c:orientation val="minMax"/>
        </c:scaling>
        <c:delete val="1"/>
        <c:axPos val="r"/>
        <c:numFmt formatCode="0" sourceLinked="1"/>
        <c:majorTickMark val="out"/>
        <c:minorTickMark val="none"/>
        <c:tickLblPos val="nextTo"/>
        <c:crossAx val="1929698624"/>
        <c:crosses val="max"/>
        <c:crossBetween val="between"/>
      </c:valAx>
      <c:catAx>
        <c:axId val="1929698624"/>
        <c:scaling>
          <c:orientation val="minMax"/>
        </c:scaling>
        <c:delete val="1"/>
        <c:axPos val="b"/>
        <c:numFmt formatCode="General" sourceLinked="1"/>
        <c:majorTickMark val="out"/>
        <c:minorTickMark val="none"/>
        <c:tickLblPos val="nextTo"/>
        <c:crossAx val="1929698080"/>
        <c:crosses val="autoZero"/>
        <c:auto val="0"/>
        <c:lblAlgn val="ctr"/>
        <c:lblOffset val="100"/>
        <c:noMultiLvlLbl val="0"/>
      </c:catAx>
      <c:spPr>
        <a:noFill/>
        <a:ln w="12700">
          <a:noFill/>
          <a:prstDash val="solid"/>
        </a:ln>
      </c:spPr>
    </c:plotArea>
    <c:legend>
      <c:legendPos val="b"/>
      <c:layout>
        <c:manualLayout>
          <c:xMode val="edge"/>
          <c:yMode val="edge"/>
          <c:x val="0.15259957672585409"/>
          <c:y val="0.86254097320100387"/>
          <c:w val="0.75444183907158668"/>
          <c:h val="0.11136442793761983"/>
        </c:manualLayout>
      </c:layout>
      <c:overlay val="0"/>
      <c:spPr>
        <a:noFill/>
        <a:ln w="3175">
          <a:noFill/>
          <a:prstDash val="solid"/>
        </a:ln>
      </c:spPr>
      <c:txPr>
        <a:bodyPr/>
        <a:lstStyle/>
        <a:p>
          <a:pPr>
            <a:defRPr sz="900" b="0" i="0" u="none" strike="noStrike" baseline="0">
              <a:solidFill>
                <a:sysClr val="windowText" lastClr="000000"/>
              </a:solidFill>
              <a:latin typeface="+mn-lt"/>
              <a:ea typeface="Times New Roman"/>
              <a:cs typeface="Times New Roman"/>
            </a:defRPr>
          </a:pPr>
          <a:endParaRPr lang="en-US"/>
        </a:p>
      </c:txPr>
    </c:legend>
    <c:plotVisOnly val="1"/>
    <c:dispBlanksAs val="gap"/>
    <c:showDLblsOverMax val="0"/>
  </c:chart>
  <c:spPr>
    <a:solidFill>
      <a:sysClr val="window" lastClr="FFFFFF"/>
    </a:solidFill>
    <a:ln w="6350">
      <a:solidFill>
        <a:sysClr val="window" lastClr="FFFFFF">
          <a:lumMod val="75000"/>
        </a:sysClr>
      </a:solidFill>
    </a:ln>
  </c:spPr>
  <c:txPr>
    <a:bodyPr/>
    <a:lstStyle/>
    <a:p>
      <a:pPr>
        <a:defRPr sz="1000" b="0" i="0" u="none" strike="noStrike" baseline="0">
          <a:solidFill>
            <a:srgbClr val="000000"/>
          </a:solidFill>
          <a:latin typeface="Times New Roman"/>
          <a:ea typeface="Times New Roman"/>
          <a:cs typeface="Times New Roman"/>
        </a:defRPr>
      </a:pPr>
      <a:endParaRPr lang="en-US"/>
    </a:p>
  </c:txPr>
  <c:externalData r:id="rId2">
    <c:autoUpdate val="0"/>
  </c:externalData>
  <c:userShapes r:id="rId3"/>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mj-lt"/>
                <a:ea typeface="+mn-ea"/>
                <a:cs typeface="+mn-cs"/>
              </a:defRPr>
            </a:pPr>
            <a:r>
              <a:rPr lang="en-US" sz="800" b="1">
                <a:solidFill>
                  <a:sysClr val="windowText" lastClr="000000"/>
                </a:solidFill>
                <a:latin typeface="+mj-lt"/>
              </a:rPr>
              <a:t>Borxhi që rifiksohet brenda një viti</a:t>
            </a:r>
          </a:p>
        </c:rich>
      </c:tx>
      <c:layout>
        <c:manualLayout>
          <c:xMode val="edge"/>
          <c:yMode val="edge"/>
          <c:x val="0.24257233706813836"/>
          <c:y val="3.6429271366511536E-2"/>
        </c:manualLayout>
      </c:layout>
      <c:overlay val="0"/>
      <c:spPr>
        <a:noFill/>
        <a:ln>
          <a:noFill/>
        </a:ln>
        <a:effectLst/>
      </c:spPr>
      <c:txPr>
        <a:bodyPr rot="0" spcFirstLastPara="1" vertOverflow="ellipsis" vert="horz" wrap="square" anchor="ctr" anchorCtr="1"/>
        <a:lstStyle/>
        <a:p>
          <a:pPr>
            <a:defRPr sz="8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0.10594206231615198"/>
          <c:y val="0.12471437001198858"/>
          <c:w val="0.87251160144905826"/>
          <c:h val="0.62817984476253785"/>
        </c:manualLayout>
      </c:layout>
      <c:lineChart>
        <c:grouping val="standard"/>
        <c:varyColors val="0"/>
        <c:ser>
          <c:idx val="0"/>
          <c:order val="0"/>
          <c:tx>
            <c:strRef>
              <c:f>'Slide 8 Risqet'!$A$12</c:f>
              <c:strCache>
                <c:ptCount val="1"/>
                <c:pt idx="0">
                  <c:v>Borxhi që rifiksohet brenda një viti</c:v>
                </c:pt>
              </c:strCache>
            </c:strRef>
          </c:tx>
          <c:spPr>
            <a:ln w="25400" cap="rnd">
              <a:solidFill>
                <a:schemeClr val="accent1"/>
              </a:solidFill>
              <a:round/>
            </a:ln>
            <a:effectLst/>
          </c:spPr>
          <c:marker>
            <c:symbol val="diamond"/>
            <c:size val="5"/>
            <c:spPr>
              <a:solidFill>
                <a:schemeClr val="accent1"/>
              </a:solidFill>
              <a:ln w="9525">
                <a:solidFill>
                  <a:schemeClr val="accent1"/>
                </a:solid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j-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extLst>
                <c:ext xmlns:c15="http://schemas.microsoft.com/office/drawing/2012/chart" uri="{02D57815-91ED-43cb-92C2-25804820EDAC}">
                  <c15:fullRef>
                    <c15:sqref>'Slide 8 Risqet'!$B$11:$I$11</c15:sqref>
                  </c15:fullRef>
                </c:ext>
              </c:extLst>
              <c:f>'Slide 8 Risqet'!$E$11:$I$11</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'Slide 8 Risqet'!$B$12:$I$12</c15:sqref>
                  </c15:fullRef>
                </c:ext>
              </c:extLst>
              <c:f>'Slide 8 Risqet'!$E$12:$I$12</c:f>
              <c:numCache>
                <c:formatCode>0.0%</c:formatCode>
                <c:ptCount val="5"/>
                <c:pt idx="0">
                  <c:v>0.5673896585724667</c:v>
                </c:pt>
                <c:pt idx="1">
                  <c:v>0.54329850433666915</c:v>
                </c:pt>
                <c:pt idx="2">
                  <c:v>0.50870000000000004</c:v>
                </c:pt>
                <c:pt idx="3">
                  <c:v>0.46673633543395576</c:v>
                </c:pt>
                <c:pt idx="4">
                  <c:v>0.48003455483987029</c:v>
                </c:pt>
              </c:numCache>
            </c:numRef>
          </c:val>
          <c:smooth val="1"/>
          <c:extLst xmlns:c16r2="http://schemas.microsoft.com/office/drawing/2015/06/chart">
            <c:ext xmlns:c16="http://schemas.microsoft.com/office/drawing/2014/chart" uri="{C3380CC4-5D6E-409C-BE32-E72D297353CC}">
              <c16:uniqueId val="{00000001-64D0-45B7-BDDD-5E6706FDB4D3}"/>
            </c:ext>
          </c:extLst>
        </c:ser>
        <c:ser>
          <c:idx val="1"/>
          <c:order val="1"/>
          <c:tx>
            <c:strRef>
              <c:f>'Slide 8 Risqet'!$A$13</c:f>
              <c:strCache>
                <c:ptCount val="1"/>
                <c:pt idx="0">
                  <c:v>Objektivi strategjik 2023</c:v>
                </c:pt>
              </c:strCache>
            </c:strRef>
          </c:tx>
          <c:spPr>
            <a:ln w="28575" cap="rnd">
              <a:solidFill>
                <a:srgbClr val="C00000"/>
              </a:solidFill>
              <a:prstDash val="sysDash"/>
              <a:round/>
            </a:ln>
            <a:effectLst/>
          </c:spPr>
          <c:marker>
            <c:symbol val="diamond"/>
            <c:size val="4"/>
            <c:spPr>
              <a:solidFill>
                <a:srgbClr val="C00000"/>
              </a:solidFill>
              <a:ln w="25400">
                <a:solidFill>
                  <a:schemeClr val="accent2"/>
                </a:solidFill>
                <a:prstDash val="sysDash"/>
              </a:ln>
              <a:effectLst/>
            </c:spPr>
          </c:marker>
          <c:dLbls>
            <c:dLbl>
              <c:idx val="1"/>
              <c:layout>
                <c:manualLayout>
                  <c:x val="-0.26412129712647248"/>
                  <c:y val="-6.0021790428332007E-2"/>
                </c:manualLayout>
              </c:layout>
              <c:tx>
                <c:rich>
                  <a:bodyPr rot="0" spcFirstLastPara="1" vertOverflow="ellipsis" vert="horz" wrap="square" lIns="38100" tIns="19050" rIns="38100" bIns="19050" anchor="ctr" anchorCtr="1">
                    <a:spAutoFit/>
                  </a:bodyPr>
                  <a:lstStyle/>
                  <a:p>
                    <a:pPr>
                      <a:defRPr sz="700" b="1" i="0" u="none" strike="noStrike" kern="1200" baseline="0">
                        <a:solidFill>
                          <a:srgbClr val="C00000"/>
                        </a:solidFill>
                        <a:latin typeface="+mj-lt"/>
                        <a:ea typeface="+mn-ea"/>
                        <a:cs typeface="+mn-cs"/>
                      </a:defRPr>
                    </a:pPr>
                    <a:r>
                      <a:rPr lang="en-US" sz="700"/>
                      <a:t>Max 48%</a:t>
                    </a:r>
                  </a:p>
                </c:rich>
              </c:tx>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rgbClr val="C00000"/>
                      </a:solidFill>
                      <a:latin typeface="+mj-lt"/>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4D0-45B7-BDDD-5E6706FDB4D3}"/>
                </c:ext>
                <c:ext xmlns:c15="http://schemas.microsoft.com/office/drawing/2012/chart" uri="{CE6537A1-D6FC-4f65-9D91-7224C49458BB}">
                  <c15:layout>
                    <c:manualLayout>
                      <c:w val="0.20386453203923527"/>
                      <c:h val="0.11118783092093143"/>
                    </c:manualLayout>
                  </c15:layout>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j-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extLst>
                <c:ext xmlns:c15="http://schemas.microsoft.com/office/drawing/2012/chart" uri="{02D57815-91ED-43cb-92C2-25804820EDAC}">
                  <c15:fullRef>
                    <c15:sqref>'Slide 8 Risqet'!$B$11:$I$11</c15:sqref>
                  </c15:fullRef>
                </c:ext>
              </c:extLst>
              <c:f>'Slide 8 Risqet'!$E$11:$I$11</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'Slide 8 Risqet'!$B$13:$I$13</c15:sqref>
                  </c15:fullRef>
                </c:ext>
              </c:extLst>
              <c:f>'Slide 8 Risqet'!$E$13:$I$13</c:f>
              <c:numCache>
                <c:formatCode>0.0%</c:formatCode>
                <c:ptCount val="5"/>
                <c:pt idx="0">
                  <c:v>0.48</c:v>
                </c:pt>
                <c:pt idx="1">
                  <c:v>0.48</c:v>
                </c:pt>
                <c:pt idx="2">
                  <c:v>0.48</c:v>
                </c:pt>
                <c:pt idx="3">
                  <c:v>0.48</c:v>
                </c:pt>
                <c:pt idx="4">
                  <c:v>0.48</c:v>
                </c:pt>
              </c:numCache>
            </c:numRef>
          </c:val>
          <c:smooth val="0"/>
          <c:extLst xmlns:c16r2="http://schemas.microsoft.com/office/drawing/2015/06/chart">
            <c:ext xmlns:c16="http://schemas.microsoft.com/office/drawing/2014/chart" uri="{C3380CC4-5D6E-409C-BE32-E72D297353CC}">
              <c16:uniqueId val="{00000003-64D0-45B7-BDDD-5E6706FDB4D3}"/>
            </c:ext>
          </c:extLst>
        </c:ser>
        <c:dLbls>
          <c:showLegendKey val="0"/>
          <c:showVal val="0"/>
          <c:showCatName val="0"/>
          <c:showSerName val="0"/>
          <c:showPercent val="0"/>
          <c:showBubbleSize val="0"/>
        </c:dLbls>
        <c:marker val="1"/>
        <c:smooth val="0"/>
        <c:axId val="1929701888"/>
        <c:axId val="1929701344"/>
      </c:lineChart>
      <c:catAx>
        <c:axId val="19297018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crossAx val="1929701344"/>
        <c:crosses val="autoZero"/>
        <c:auto val="1"/>
        <c:lblAlgn val="ctr"/>
        <c:lblOffset val="100"/>
        <c:noMultiLvlLbl val="0"/>
      </c:catAx>
      <c:valAx>
        <c:axId val="1929701344"/>
        <c:scaling>
          <c:orientation val="minMax"/>
          <c:max val="0.70000000000000007"/>
          <c:min val="0.45"/>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crossAx val="1929701888"/>
        <c:crosses val="autoZero"/>
        <c:crossBetween val="between"/>
        <c:majorUnit val="8.0000000000000016E-2"/>
      </c:valAx>
      <c:spPr>
        <a:noFill/>
        <a:ln>
          <a:noFill/>
        </a:ln>
        <a:effectLst/>
      </c:spPr>
    </c:plotArea>
    <c:legend>
      <c:legendPos val="r"/>
      <c:layout>
        <c:manualLayout>
          <c:xMode val="edge"/>
          <c:yMode val="edge"/>
          <c:x val="5.4644876339098099E-2"/>
          <c:y val="0.87690262013280906"/>
          <c:w val="0.9391530185549205"/>
          <c:h val="0.12071621769557545"/>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spc="0" baseline="0">
                <a:solidFill>
                  <a:sysClr val="windowText" lastClr="000000"/>
                </a:solidFill>
                <a:latin typeface="+mj-lt"/>
                <a:ea typeface="+mn-ea"/>
                <a:cs typeface="+mn-cs"/>
              </a:defRPr>
            </a:pPr>
            <a:r>
              <a:rPr lang="en-US" sz="800" b="1">
                <a:solidFill>
                  <a:sysClr val="windowText" lastClr="000000"/>
                </a:solidFill>
                <a:latin typeface="+mj-lt"/>
              </a:rPr>
              <a:t>Koha Mesatare në Rifiksim</a:t>
            </a:r>
          </a:p>
        </c:rich>
      </c:tx>
      <c:layout>
        <c:manualLayout>
          <c:xMode val="edge"/>
          <c:yMode val="edge"/>
          <c:x val="0.30928982501362551"/>
          <c:y val="5.3511705685618728E-2"/>
        </c:manualLayout>
      </c:layout>
      <c:overlay val="0"/>
      <c:spPr>
        <a:noFill/>
        <a:ln>
          <a:noFill/>
        </a:ln>
        <a:effectLst/>
      </c:spPr>
      <c:txPr>
        <a:bodyPr rot="0" spcFirstLastPara="1" vertOverflow="ellipsis" vert="horz" wrap="square" anchor="ctr" anchorCtr="1"/>
        <a:lstStyle/>
        <a:p>
          <a:pPr>
            <a:defRPr sz="8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8.5553149606299214E-2"/>
          <c:y val="0.14189814814814813"/>
          <c:w val="0.871181539807524"/>
          <c:h val="0.63230153061082683"/>
        </c:manualLayout>
      </c:layout>
      <c:lineChart>
        <c:grouping val="standard"/>
        <c:varyColors val="0"/>
        <c:ser>
          <c:idx val="0"/>
          <c:order val="0"/>
          <c:tx>
            <c:strRef>
              <c:f>'Slide 8 Risqet'!$A$15</c:f>
              <c:strCache>
                <c:ptCount val="1"/>
                <c:pt idx="0">
                  <c:v>KMR</c:v>
                </c:pt>
              </c:strCache>
            </c:strRef>
          </c:tx>
          <c:spPr>
            <a:ln w="25400" cap="rnd">
              <a:solidFill>
                <a:schemeClr val="accent1"/>
              </a:solidFill>
              <a:round/>
            </a:ln>
            <a:effectLst/>
          </c:spPr>
          <c:marker>
            <c:symbol val="diamond"/>
            <c:size val="5"/>
            <c:spPr>
              <a:solidFill>
                <a:schemeClr val="accent1"/>
              </a:solidFill>
              <a:ln w="9525">
                <a:solidFill>
                  <a:schemeClr val="accent1"/>
                </a:solid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j-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'Slide 8 Risqet'!$B$11:$I$11</c15:sqref>
                  </c15:fullRef>
                </c:ext>
              </c:extLst>
              <c:f>'Slide 8 Risqet'!$E$11:$I$11</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'Slide 8 Risqet'!$B$15:$I$15</c15:sqref>
                  </c15:fullRef>
                </c:ext>
              </c:extLst>
              <c:f>'Slide 8 Risqet'!$E$15:$I$15</c:f>
              <c:numCache>
                <c:formatCode>0.00</c:formatCode>
                <c:ptCount val="5"/>
                <c:pt idx="0">
                  <c:v>1.9559997436502097</c:v>
                </c:pt>
                <c:pt idx="1">
                  <c:v>2.0556297124619634</c:v>
                </c:pt>
                <c:pt idx="2">
                  <c:v>2.11</c:v>
                </c:pt>
                <c:pt idx="3">
                  <c:v>2.1409463952245251</c:v>
                </c:pt>
                <c:pt idx="4">
                  <c:v>2.1859657206295577</c:v>
                </c:pt>
              </c:numCache>
            </c:numRef>
          </c:val>
          <c:smooth val="1"/>
          <c:extLst xmlns:c16r2="http://schemas.microsoft.com/office/drawing/2015/06/chart">
            <c:ext xmlns:c16="http://schemas.microsoft.com/office/drawing/2014/chart" uri="{C3380CC4-5D6E-409C-BE32-E72D297353CC}">
              <c16:uniqueId val="{00000001-9879-4BFA-99B9-186CF6F96071}"/>
            </c:ext>
          </c:extLst>
        </c:ser>
        <c:ser>
          <c:idx val="1"/>
          <c:order val="1"/>
          <c:tx>
            <c:strRef>
              <c:f>'Slide 8 Risqet'!$A$16</c:f>
              <c:strCache>
                <c:ptCount val="1"/>
                <c:pt idx="0">
                  <c:v>Objektivi strategjik 2023</c:v>
                </c:pt>
              </c:strCache>
            </c:strRef>
          </c:tx>
          <c:spPr>
            <a:ln w="25400" cap="rnd">
              <a:solidFill>
                <a:srgbClr val="C00000"/>
              </a:solidFill>
              <a:prstDash val="sysDash"/>
              <a:round/>
            </a:ln>
            <a:effectLst/>
          </c:spPr>
          <c:marker>
            <c:symbol val="diamond"/>
            <c:size val="4"/>
            <c:spPr>
              <a:solidFill>
                <a:srgbClr val="C00000"/>
              </a:solidFill>
              <a:ln w="9525">
                <a:solidFill>
                  <a:schemeClr val="accent2"/>
                </a:solidFill>
              </a:ln>
              <a:effectLst/>
            </c:spPr>
          </c:marker>
          <c:dLbls>
            <c:dLbl>
              <c:idx val="1"/>
              <c:layout>
                <c:manualLayout>
                  <c:x val="0.29584310464212782"/>
                  <c:y val="-6.0760552654179789E-2"/>
                </c:manualLayout>
              </c:layout>
              <c:tx>
                <c:rich>
                  <a:bodyPr rot="0" spcFirstLastPara="1" vertOverflow="ellipsis" vert="horz" wrap="square" lIns="38100" tIns="19050" rIns="38100" bIns="19050" anchor="ctr" anchorCtr="1">
                    <a:noAutofit/>
                  </a:bodyPr>
                  <a:lstStyle/>
                  <a:p>
                    <a:pPr>
                      <a:defRPr sz="700" b="1" i="0" u="none" strike="noStrike" kern="1200" baseline="0">
                        <a:solidFill>
                          <a:srgbClr val="C00000"/>
                        </a:solidFill>
                        <a:latin typeface="+mn-lt"/>
                        <a:ea typeface="+mn-ea"/>
                        <a:cs typeface="+mn-cs"/>
                      </a:defRPr>
                    </a:pPr>
                    <a:r>
                      <a:rPr lang="en-US" sz="700" b="1">
                        <a:solidFill>
                          <a:srgbClr val="C00000"/>
                        </a:solidFill>
                      </a:rPr>
                      <a:t>Min </a:t>
                    </a:r>
                    <a:r>
                      <a:rPr lang="en-US" sz="700" b="1" baseline="0">
                        <a:solidFill>
                          <a:srgbClr val="C00000"/>
                        </a:solidFill>
                      </a:rPr>
                      <a:t> </a:t>
                    </a:r>
                    <a:r>
                      <a:rPr lang="en-US" sz="700" b="1">
                        <a:solidFill>
                          <a:srgbClr val="C00000"/>
                        </a:solidFill>
                      </a:rPr>
                      <a:t>2.2 vite</a:t>
                    </a:r>
                  </a:p>
                </c:rich>
              </c:tx>
              <c:spPr>
                <a:noFill/>
                <a:ln>
                  <a:noFill/>
                </a:ln>
                <a:effectLst/>
              </c:spPr>
              <c:txPr>
                <a:bodyPr rot="0" spcFirstLastPara="1" vertOverflow="ellipsis" vert="horz" wrap="square" lIns="38100" tIns="19050" rIns="38100" bIns="19050" anchor="ctr" anchorCtr="1">
                  <a:noAutofit/>
                </a:bodyPr>
                <a:lstStyle/>
                <a:p>
                  <a:pPr>
                    <a:defRPr sz="7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879-4BFA-99B9-186CF6F96071}"/>
                </c:ext>
                <c:ext xmlns:c15="http://schemas.microsoft.com/office/drawing/2012/chart" uri="{CE6537A1-D6FC-4f65-9D91-7224C49458BB}">
                  <c15:layout>
                    <c:manualLayout>
                      <c:w val="0.21674965002394417"/>
                      <c:h val="8.3493234932349322E-2"/>
                    </c:manualLayout>
                  </c15:layout>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rgbClr val="C00000"/>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strRef>
              <c:extLst>
                <c:ext xmlns:c15="http://schemas.microsoft.com/office/drawing/2012/chart" uri="{02D57815-91ED-43cb-92C2-25804820EDAC}">
                  <c15:fullRef>
                    <c15:sqref>'Slide 8 Risqet'!$B$11:$I$11</c15:sqref>
                  </c15:fullRef>
                </c:ext>
              </c:extLst>
              <c:f>'Slide 8 Risqet'!$E$11:$I$11</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'Slide 8 Risqet'!$B$16:$I$16</c15:sqref>
                  </c15:fullRef>
                </c:ext>
              </c:extLst>
              <c:f>'Slide 8 Risqet'!$E$16:$I$16</c:f>
              <c:numCache>
                <c:formatCode>0.00</c:formatCode>
                <c:ptCount val="5"/>
                <c:pt idx="0">
                  <c:v>2.2000000000000002</c:v>
                </c:pt>
                <c:pt idx="1">
                  <c:v>2.2000000000000002</c:v>
                </c:pt>
                <c:pt idx="2">
                  <c:v>2.2000000000000002</c:v>
                </c:pt>
                <c:pt idx="3">
                  <c:v>2.2000000000000002</c:v>
                </c:pt>
                <c:pt idx="4">
                  <c:v>2.2000000000000002</c:v>
                </c:pt>
              </c:numCache>
            </c:numRef>
          </c:val>
          <c:smooth val="0"/>
          <c:extLst xmlns:c16r2="http://schemas.microsoft.com/office/drawing/2015/06/chart">
            <c:ext xmlns:c16="http://schemas.microsoft.com/office/drawing/2014/chart" uri="{C3380CC4-5D6E-409C-BE32-E72D297353CC}">
              <c16:uniqueId val="{00000004-9879-4BFA-99B9-186CF6F96071}"/>
            </c:ext>
          </c:extLst>
        </c:ser>
        <c:dLbls>
          <c:showLegendKey val="0"/>
          <c:showVal val="0"/>
          <c:showCatName val="0"/>
          <c:showSerName val="0"/>
          <c:showPercent val="0"/>
          <c:showBubbleSize val="0"/>
        </c:dLbls>
        <c:marker val="1"/>
        <c:smooth val="0"/>
        <c:axId val="1929696448"/>
        <c:axId val="1920895760"/>
      </c:lineChart>
      <c:catAx>
        <c:axId val="19296964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crossAx val="1920895760"/>
        <c:crosses val="autoZero"/>
        <c:auto val="1"/>
        <c:lblAlgn val="ctr"/>
        <c:lblOffset val="100"/>
        <c:noMultiLvlLbl val="0"/>
      </c:catAx>
      <c:valAx>
        <c:axId val="1920895760"/>
        <c:scaling>
          <c:orientation val="minMax"/>
          <c:min val="1.5"/>
        </c:scaling>
        <c:delete val="0"/>
        <c:axPos val="l"/>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crossAx val="1929696448"/>
        <c:crosses val="autoZero"/>
        <c:crossBetween val="between"/>
        <c:majorUnit val="0.5"/>
      </c:valAx>
      <c:spPr>
        <a:noFill/>
        <a:ln>
          <a:noFill/>
        </a:ln>
        <a:effectLst/>
      </c:spPr>
    </c:plotArea>
    <c:legend>
      <c:legendPos val="r"/>
      <c:layout>
        <c:manualLayout>
          <c:xMode val="edge"/>
          <c:yMode val="edge"/>
          <c:x val="0.11506802274715661"/>
          <c:y val="0.8912040601349116"/>
          <c:w val="0.82937642169728787"/>
          <c:h val="9.2940623862186642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370204361503344E-2"/>
          <c:y val="6.4686856806821527E-2"/>
          <c:w val="0.90825576506016736"/>
          <c:h val="0.62688324647451998"/>
        </c:manualLayout>
      </c:layout>
      <c:lineChart>
        <c:grouping val="standard"/>
        <c:varyColors val="0"/>
        <c:ser>
          <c:idx val="0"/>
          <c:order val="0"/>
          <c:tx>
            <c:strRef>
              <c:f>'Slide 8 Risqet'!$A$21</c:f>
              <c:strCache>
                <c:ptCount val="1"/>
                <c:pt idx="0">
                  <c:v>Borxhi në monedhë të huaj/Totalit</c:v>
                </c:pt>
              </c:strCache>
            </c:strRef>
          </c:tx>
          <c:spPr>
            <a:ln w="25400" cap="rnd">
              <a:solidFill>
                <a:schemeClr val="accent1"/>
              </a:solidFill>
              <a:round/>
            </a:ln>
            <a:effectLst/>
          </c:spPr>
          <c:marker>
            <c:symbol val="diamond"/>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'Slide 8 Risqet'!$B$20:$J$20</c15:sqref>
                  </c15:fullRef>
                </c:ext>
              </c:extLst>
              <c:f>'Slide 8 Risqet'!$E$20:$I$20</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'Slide 8 Risqet'!$B$21:$J$21</c15:sqref>
                  </c15:fullRef>
                </c:ext>
              </c:extLst>
              <c:f>'Slide 8 Risqet'!$E$21:$I$21</c:f>
              <c:numCache>
                <c:formatCode>0.0%</c:formatCode>
                <c:ptCount val="5"/>
                <c:pt idx="0">
                  <c:v>0.48742541080493795</c:v>
                </c:pt>
                <c:pt idx="1">
                  <c:v>0.47703536860947149</c:v>
                </c:pt>
                <c:pt idx="2">
                  <c:v>0.45604536389340583</c:v>
                </c:pt>
                <c:pt idx="3">
                  <c:v>0.47378512859384042</c:v>
                </c:pt>
                <c:pt idx="4">
                  <c:v>0.49779901817438588</c:v>
                </c:pt>
              </c:numCache>
            </c:numRef>
          </c:val>
          <c:smooth val="1"/>
          <c:extLst xmlns:c16r2="http://schemas.microsoft.com/office/drawing/2015/06/chart">
            <c:ext xmlns:c16="http://schemas.microsoft.com/office/drawing/2014/chart" uri="{C3380CC4-5D6E-409C-BE32-E72D297353CC}">
              <c16:uniqueId val="{00000000-CF2A-4C26-98EF-312E32D230CF}"/>
            </c:ext>
          </c:extLst>
        </c:ser>
        <c:ser>
          <c:idx val="1"/>
          <c:order val="1"/>
          <c:tx>
            <c:strRef>
              <c:f>'Slide 8 Risqet'!$A$22</c:f>
              <c:strCache>
                <c:ptCount val="1"/>
                <c:pt idx="0">
                  <c:v>Kufiri strategjik 2023</c:v>
                </c:pt>
              </c:strCache>
            </c:strRef>
          </c:tx>
          <c:spPr>
            <a:ln w="25400" cap="rnd">
              <a:solidFill>
                <a:srgbClr val="C00000"/>
              </a:solidFill>
              <a:prstDash val="sysDash"/>
              <a:round/>
            </a:ln>
            <a:effectLst/>
          </c:spPr>
          <c:marker>
            <c:symbol val="diamond"/>
            <c:size val="5"/>
            <c:spPr>
              <a:solidFill>
                <a:schemeClr val="accent2"/>
              </a:solidFill>
              <a:ln w="9525">
                <a:solidFill>
                  <a:schemeClr val="accent2"/>
                </a:solidFill>
              </a:ln>
              <a:effectLst/>
            </c:spPr>
          </c:marker>
          <c:dLbls>
            <c:dLbl>
              <c:idx val="1"/>
              <c:layout>
                <c:manualLayout>
                  <c:x val="0.37388567392931304"/>
                  <c:y val="-4.6830851441546001E-2"/>
                </c:manualLayout>
              </c:layout>
              <c:tx>
                <c:rich>
                  <a:bodyPr/>
                  <a:lstStyle/>
                  <a:p>
                    <a:r>
                      <a:rPr lang="en-US"/>
                      <a:t>Max </a:t>
                    </a:r>
                    <a:fld id="{0C85D8EA-1DCE-4645-BF88-E22F0C792BC5}" type="VALUE">
                      <a:rPr lang="en-US"/>
                      <a:pPr/>
                      <a:t>[VALUE]</a:t>
                    </a:fld>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F2A-4C26-98EF-312E32D230CF}"/>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extLst>
                <c:ext xmlns:c15="http://schemas.microsoft.com/office/drawing/2012/chart" uri="{02D57815-91ED-43cb-92C2-25804820EDAC}">
                  <c15:fullRef>
                    <c15:sqref>'Slide 8 Risqet'!$B$20:$J$20</c15:sqref>
                  </c15:fullRef>
                </c:ext>
              </c:extLst>
              <c:f>'Slide 8 Risqet'!$E$20:$I$20</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'Slide 8 Risqet'!$B$22:$J$22</c15:sqref>
                  </c15:fullRef>
                </c:ext>
              </c:extLst>
              <c:f>'Slide 8 Risqet'!$E$22:$I$22</c:f>
              <c:numCache>
                <c:formatCode>0%</c:formatCode>
                <c:ptCount val="5"/>
                <c:pt idx="0">
                  <c:v>0.55000000000000004</c:v>
                </c:pt>
                <c:pt idx="1">
                  <c:v>0.55000000000000004</c:v>
                </c:pt>
                <c:pt idx="2">
                  <c:v>0.55000000000000004</c:v>
                </c:pt>
                <c:pt idx="3">
                  <c:v>0.55000000000000004</c:v>
                </c:pt>
                <c:pt idx="4">
                  <c:v>0.55000000000000004</c:v>
                </c:pt>
              </c:numCache>
            </c:numRef>
          </c:val>
          <c:smooth val="0"/>
          <c:extLst xmlns:c16r2="http://schemas.microsoft.com/office/drawing/2015/06/chart">
            <c:ext xmlns:c16="http://schemas.microsoft.com/office/drawing/2014/chart" uri="{C3380CC4-5D6E-409C-BE32-E72D297353CC}">
              <c16:uniqueId val="{00000002-CF2A-4C26-98EF-312E32D230CF}"/>
            </c:ext>
          </c:extLst>
        </c:ser>
        <c:ser>
          <c:idx val="2"/>
          <c:order val="2"/>
          <c:tx>
            <c:strRef>
              <c:f>'Slide 8 Risqet'!$A$23</c:f>
              <c:strCache>
                <c:ptCount val="1"/>
                <c:pt idx="0">
                  <c:v>Kufizimi i Qendrueshmërisë së Borxhit</c:v>
                </c:pt>
              </c:strCache>
            </c:strRef>
          </c:tx>
          <c:spPr>
            <a:ln w="25400" cap="rnd">
              <a:solidFill>
                <a:schemeClr val="accent3"/>
              </a:solidFill>
              <a:prstDash val="sysDash"/>
              <a:round/>
            </a:ln>
            <a:effectLst/>
          </c:spPr>
          <c:marker>
            <c:symbol val="diamond"/>
            <c:size val="5"/>
            <c:spPr>
              <a:solidFill>
                <a:schemeClr val="accent3"/>
              </a:solidFill>
              <a:ln w="9525">
                <a:solidFill>
                  <a:schemeClr val="accent3"/>
                </a:solidFill>
              </a:ln>
              <a:effectLst/>
            </c:spPr>
          </c:marker>
          <c:dLbls>
            <c:dLbl>
              <c:idx val="1"/>
              <c:layout>
                <c:manualLayout>
                  <c:x val="0.37888175624633263"/>
                  <c:y val="-6.0612660780938125E-2"/>
                </c:manualLayout>
              </c:layout>
              <c:tx>
                <c:rich>
                  <a:bodyPr/>
                  <a:lstStyle/>
                  <a:p>
                    <a:r>
                      <a:rPr lang="en-US"/>
                      <a:t>Max </a:t>
                    </a:r>
                    <a:fld id="{AE11AB0C-9A5D-4C95-B250-0BE2682539DD}" type="VALUE">
                      <a:rPr lang="en-US"/>
                      <a:pPr/>
                      <a:t>[VALUE]</a:t>
                    </a:fld>
                    <a:endParaRPr lang="en-US"/>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F2A-4C26-98EF-312E32D230CF}"/>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3">
                        <a:lumMod val="75000"/>
                      </a:schemeClr>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extLst>
                <c:ext xmlns:c15="http://schemas.microsoft.com/office/drawing/2012/chart" uri="{02D57815-91ED-43cb-92C2-25804820EDAC}">
                  <c15:fullRef>
                    <c15:sqref>'Slide 8 Risqet'!$B$20:$J$20</c15:sqref>
                  </c15:fullRef>
                </c:ext>
              </c:extLst>
              <c:f>'Slide 8 Risqet'!$E$20:$I$20</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'Slide 8 Risqet'!$B$23:$J$23</c15:sqref>
                  </c15:fullRef>
                </c:ext>
              </c:extLst>
              <c:f>'Slide 8 Risqet'!$E$23:$I$23</c:f>
              <c:numCache>
                <c:formatCode>0%</c:formatCode>
                <c:ptCount val="5"/>
                <c:pt idx="0">
                  <c:v>0.6</c:v>
                </c:pt>
                <c:pt idx="1">
                  <c:v>0.6</c:v>
                </c:pt>
                <c:pt idx="2">
                  <c:v>0.6</c:v>
                </c:pt>
                <c:pt idx="3">
                  <c:v>0.6</c:v>
                </c:pt>
                <c:pt idx="4">
                  <c:v>0.6</c:v>
                </c:pt>
              </c:numCache>
            </c:numRef>
          </c:val>
          <c:smooth val="0"/>
          <c:extLst xmlns:c16r2="http://schemas.microsoft.com/office/drawing/2015/06/chart">
            <c:ext xmlns:c16="http://schemas.microsoft.com/office/drawing/2014/chart" uri="{C3380CC4-5D6E-409C-BE32-E72D297353CC}">
              <c16:uniqueId val="{00000004-CF2A-4C26-98EF-312E32D230CF}"/>
            </c:ext>
          </c:extLst>
        </c:ser>
        <c:dLbls>
          <c:showLegendKey val="0"/>
          <c:showVal val="0"/>
          <c:showCatName val="0"/>
          <c:showSerName val="0"/>
          <c:showPercent val="0"/>
          <c:showBubbleSize val="0"/>
        </c:dLbls>
        <c:marker val="1"/>
        <c:smooth val="0"/>
        <c:axId val="1920897392"/>
        <c:axId val="1920895216"/>
      </c:lineChart>
      <c:catAx>
        <c:axId val="192089739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20895216"/>
        <c:crosses val="autoZero"/>
        <c:auto val="1"/>
        <c:lblAlgn val="ctr"/>
        <c:lblOffset val="100"/>
        <c:noMultiLvlLbl val="0"/>
      </c:catAx>
      <c:valAx>
        <c:axId val="1920895216"/>
        <c:scaling>
          <c:orientation val="minMax"/>
          <c:min val="0.4"/>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20897392"/>
        <c:crosses val="autoZero"/>
        <c:crossBetween val="between"/>
      </c:valAx>
      <c:spPr>
        <a:noFill/>
        <a:ln>
          <a:noFill/>
        </a:ln>
        <a:effectLst/>
      </c:spPr>
    </c:plotArea>
    <c:legend>
      <c:legendPos val="b"/>
      <c:layout>
        <c:manualLayout>
          <c:xMode val="edge"/>
          <c:yMode val="edge"/>
          <c:x val="3.1559142123809107E-2"/>
          <c:y val="0.86508460920479624"/>
          <c:w val="0.95067912330894333"/>
          <c:h val="0.1349153907952038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712803971792685E-2"/>
          <c:y val="5.3527980535279802E-2"/>
          <c:w val="0.85513882300856969"/>
          <c:h val="0.6865335834698516"/>
        </c:manualLayout>
      </c:layout>
      <c:barChart>
        <c:barDir val="col"/>
        <c:grouping val="clustered"/>
        <c:varyColors val="0"/>
        <c:ser>
          <c:idx val="0"/>
          <c:order val="0"/>
          <c:tx>
            <c:strRef>
              <c:f>'Tregu primar ankandet'!$A$119</c:f>
              <c:strCache>
                <c:ptCount val="1"/>
                <c:pt idx="0">
                  <c:v>Kërkesa</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'Tregu primar ankandet'!$B$118:$G$118</c15:sqref>
                  </c15:fullRef>
                </c:ext>
              </c:extLst>
              <c:f>'Tregu primar ankandet'!$C$118:$G$118</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'Tregu primar ankandet'!$B$119:$G$119</c15:sqref>
                  </c15:fullRef>
                </c:ext>
              </c:extLst>
              <c:f>'Tregu primar ankandet'!$C$119:$G$119</c:f>
              <c:numCache>
                <c:formatCode>0.0</c:formatCode>
                <c:ptCount val="5"/>
                <c:pt idx="0">
                  <c:v>422.54903517000002</c:v>
                </c:pt>
                <c:pt idx="1">
                  <c:v>401.13025000000005</c:v>
                </c:pt>
                <c:pt idx="2">
                  <c:v>398.39225999999996</c:v>
                </c:pt>
                <c:pt idx="3">
                  <c:v>470.71059103999994</c:v>
                </c:pt>
                <c:pt idx="4">
                  <c:v>463.24852000000004</c:v>
                </c:pt>
              </c:numCache>
            </c:numRef>
          </c:val>
          <c:extLst xmlns:c16r2="http://schemas.microsoft.com/office/drawing/2015/06/chart">
            <c:ext xmlns:c16="http://schemas.microsoft.com/office/drawing/2014/chart" uri="{C3380CC4-5D6E-409C-BE32-E72D297353CC}">
              <c16:uniqueId val="{00000000-AF0E-43C7-AA97-782A5054793D}"/>
            </c:ext>
          </c:extLst>
        </c:ser>
        <c:ser>
          <c:idx val="1"/>
          <c:order val="1"/>
          <c:tx>
            <c:strRef>
              <c:f>'Tregu primar ankandet'!$A$120</c:f>
              <c:strCache>
                <c:ptCount val="1"/>
                <c:pt idx="0">
                  <c:v>Oferta</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xmlns:c15="http://schemas.microsoft.com/office/drawing/2012/chart" uri="{02D57815-91ED-43cb-92C2-25804820EDAC}">
                  <c15:fullRef>
                    <c15:sqref>'Tregu primar ankandet'!$B$118:$G$118</c15:sqref>
                  </c15:fullRef>
                </c:ext>
              </c:extLst>
              <c:f>'Tregu primar ankandet'!$C$118:$G$118</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'Tregu primar ankandet'!$B$120:$G$120</c15:sqref>
                  </c15:fullRef>
                </c:ext>
              </c:extLst>
              <c:f>'Tregu primar ankandet'!$C$120:$G$120</c:f>
              <c:numCache>
                <c:formatCode>0.0</c:formatCode>
                <c:ptCount val="5"/>
                <c:pt idx="0">
                  <c:v>339.99564999999996</c:v>
                </c:pt>
                <c:pt idx="1">
                  <c:v>311.3</c:v>
                </c:pt>
                <c:pt idx="2">
                  <c:v>308.59999999999997</c:v>
                </c:pt>
                <c:pt idx="3">
                  <c:v>364.16320000000002</c:v>
                </c:pt>
                <c:pt idx="4">
                  <c:v>343</c:v>
                </c:pt>
              </c:numCache>
            </c:numRef>
          </c:val>
          <c:extLst xmlns:c16r2="http://schemas.microsoft.com/office/drawing/2015/06/chart">
            <c:ext xmlns:c16="http://schemas.microsoft.com/office/drawing/2014/chart" uri="{C3380CC4-5D6E-409C-BE32-E72D297353CC}">
              <c16:uniqueId val="{00000001-AF0E-43C7-AA97-782A5054793D}"/>
            </c:ext>
          </c:extLst>
        </c:ser>
        <c:dLbls>
          <c:showLegendKey val="0"/>
          <c:showVal val="0"/>
          <c:showCatName val="0"/>
          <c:showSerName val="0"/>
          <c:showPercent val="0"/>
          <c:showBubbleSize val="0"/>
        </c:dLbls>
        <c:gapWidth val="336"/>
        <c:axId val="1920897936"/>
        <c:axId val="1920898480"/>
      </c:barChart>
      <c:lineChart>
        <c:grouping val="standard"/>
        <c:varyColors val="0"/>
        <c:ser>
          <c:idx val="2"/>
          <c:order val="2"/>
          <c:tx>
            <c:strRef>
              <c:f>'Tregu primar ankandet'!$A$121</c:f>
              <c:strCache>
                <c:ptCount val="1"/>
                <c:pt idx="0">
                  <c:v>Raporti i Mbulimit</c:v>
                </c:pt>
              </c:strCache>
            </c:strRef>
          </c:tx>
          <c:spPr>
            <a:ln w="25400" cap="rnd">
              <a:solidFill>
                <a:schemeClr val="accent6">
                  <a:lumMod val="75000"/>
                </a:schemeClr>
              </a:solidFill>
              <a:round/>
            </a:ln>
            <a:effectLst/>
          </c:spPr>
          <c:marker>
            <c:symbol val="diamond"/>
            <c:size val="5"/>
            <c:spPr>
              <a:solidFill>
                <a:schemeClr val="accent6">
                  <a:lumMod val="75000"/>
                </a:schemeClr>
              </a:solidFill>
              <a:ln w="9525">
                <a:noFill/>
              </a:ln>
              <a:effectLst/>
            </c:spPr>
          </c:marker>
          <c:dLbls>
            <c:dLbl>
              <c:idx val="0"/>
              <c:layout>
                <c:manualLayout>
                  <c:x val="-2.1296296296296296E-2"/>
                  <c:y val="-6.656873773131299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F0E-43C7-AA97-782A5054793D}"/>
                </c:ext>
                <c:ext xmlns:c15="http://schemas.microsoft.com/office/drawing/2012/chart" uri="{CE6537A1-D6FC-4f65-9D91-7224C49458BB}"/>
              </c:extLst>
            </c:dLbl>
            <c:dLbl>
              <c:idx val="1"/>
              <c:layout>
                <c:manualLayout>
                  <c:x val="-2.3669370874095284E-2"/>
                  <c:y val="-6.414301153532278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F0E-43C7-AA97-782A5054793D}"/>
                </c:ext>
                <c:ext xmlns:c15="http://schemas.microsoft.com/office/drawing/2012/chart" uri="{CE6537A1-D6FC-4f65-9D91-7224C49458BB}"/>
              </c:extLst>
            </c:dLbl>
            <c:dLbl>
              <c:idx val="2"/>
              <c:layout>
                <c:manualLayout>
                  <c:x val="-2.4483416845621695E-2"/>
                  <c:y val="-7.36059463155340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F0E-43C7-AA97-782A5054793D}"/>
                </c:ext>
                <c:ext xmlns:c15="http://schemas.microsoft.com/office/drawing/2012/chart" uri="{CE6537A1-D6FC-4f65-9D91-7224C49458BB}"/>
              </c:extLst>
            </c:dLbl>
            <c:dLbl>
              <c:idx val="3"/>
              <c:layout>
                <c:manualLayout>
                  <c:x val="-4.5305681486783975E-2"/>
                  <c:y val="-6.769492048788018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F0E-43C7-AA97-782A5054793D}"/>
                </c:ext>
                <c:ext xmlns:c15="http://schemas.microsoft.com/office/drawing/2012/chart" uri="{CE6537A1-D6FC-4f65-9D91-7224C49458BB}"/>
              </c:extLst>
            </c:dLbl>
            <c:dLbl>
              <c:idx val="4"/>
              <c:layout>
                <c:manualLayout>
                  <c:x val="-1.2787524366471735E-2"/>
                  <c:y val="8.7949242565151797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F0E-43C7-AA97-782A5054793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lumMod val="75000"/>
                      </a:schemeClr>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extLst>
                <c:ext xmlns:c15="http://schemas.microsoft.com/office/drawing/2012/chart" uri="{02D57815-91ED-43cb-92C2-25804820EDAC}">
                  <c15:fullRef>
                    <c15:sqref>'Tregu primar ankandet'!$B$118:$G$118</c15:sqref>
                  </c15:fullRef>
                </c:ext>
              </c:extLst>
              <c:f>'Tregu primar ankandet'!$C$118:$G$118</c:f>
              <c:numCache>
                <c:formatCode>General</c:formatCode>
                <c:ptCount val="5"/>
                <c:pt idx="0">
                  <c:v>2017</c:v>
                </c:pt>
                <c:pt idx="1">
                  <c:v>2018</c:v>
                </c:pt>
                <c:pt idx="2">
                  <c:v>2019</c:v>
                </c:pt>
                <c:pt idx="3">
                  <c:v>2020</c:v>
                </c:pt>
                <c:pt idx="4">
                  <c:v>2021</c:v>
                </c:pt>
              </c:numCache>
            </c:numRef>
          </c:cat>
          <c:val>
            <c:numRef>
              <c:extLst>
                <c:ext xmlns:c15="http://schemas.microsoft.com/office/drawing/2012/chart" uri="{02D57815-91ED-43cb-92C2-25804820EDAC}">
                  <c15:fullRef>
                    <c15:sqref>'Tregu primar ankandet'!$B$121:$G$121</c15:sqref>
                  </c15:fullRef>
                </c:ext>
              </c:extLst>
              <c:f>'Tregu primar ankandet'!$C$121:$G$121</c:f>
              <c:numCache>
                <c:formatCode>0.00</c:formatCode>
                <c:ptCount val="5"/>
                <c:pt idx="0">
                  <c:v>1.2428071805330454</c:v>
                </c:pt>
                <c:pt idx="1">
                  <c:v>1.2885648891744299</c:v>
                </c:pt>
                <c:pt idx="2">
                  <c:v>1.2909664938431626</c:v>
                </c:pt>
                <c:pt idx="3">
                  <c:v>1.2925814333793197</c:v>
                </c:pt>
                <c:pt idx="4">
                  <c:v>1.3505787755102041</c:v>
                </c:pt>
              </c:numCache>
            </c:numRef>
          </c:val>
          <c:smooth val="1"/>
          <c:extLst xmlns:c16r2="http://schemas.microsoft.com/office/drawing/2015/06/chart">
            <c:ext xmlns:c16="http://schemas.microsoft.com/office/drawing/2014/chart" uri="{C3380CC4-5D6E-409C-BE32-E72D297353CC}">
              <c16:uniqueId val="{00000008-AF0E-43C7-AA97-782A5054793D}"/>
            </c:ext>
          </c:extLst>
        </c:ser>
        <c:dLbls>
          <c:showLegendKey val="0"/>
          <c:showVal val="0"/>
          <c:showCatName val="0"/>
          <c:showSerName val="0"/>
          <c:showPercent val="0"/>
          <c:showBubbleSize val="0"/>
        </c:dLbls>
        <c:marker val="1"/>
        <c:smooth val="0"/>
        <c:axId val="1920894128"/>
        <c:axId val="1920899024"/>
      </c:lineChart>
      <c:catAx>
        <c:axId val="19208979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20898480"/>
        <c:crosses val="autoZero"/>
        <c:auto val="1"/>
        <c:lblAlgn val="ctr"/>
        <c:lblOffset val="100"/>
        <c:noMultiLvlLbl val="0"/>
      </c:catAx>
      <c:valAx>
        <c:axId val="1920898480"/>
        <c:scaling>
          <c:orientation val="minMax"/>
          <c:max val="5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7.9493885555464439E-3"/>
              <c:y val="7.1572292976800719E-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20897936"/>
        <c:crosses val="autoZero"/>
        <c:crossBetween val="between"/>
        <c:majorUnit val="100"/>
      </c:valAx>
      <c:valAx>
        <c:axId val="1920899024"/>
        <c:scaling>
          <c:orientation val="minMax"/>
          <c:max val="1.5"/>
          <c:min val="0"/>
        </c:scaling>
        <c:delete val="0"/>
        <c:axPos val="r"/>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20894128"/>
        <c:crosses val="max"/>
        <c:crossBetween val="between"/>
        <c:majorUnit val="0.30000000000000004"/>
      </c:valAx>
      <c:catAx>
        <c:axId val="1920894128"/>
        <c:scaling>
          <c:orientation val="minMax"/>
        </c:scaling>
        <c:delete val="1"/>
        <c:axPos val="b"/>
        <c:numFmt formatCode="General" sourceLinked="1"/>
        <c:majorTickMark val="out"/>
        <c:minorTickMark val="none"/>
        <c:tickLblPos val="nextTo"/>
        <c:crossAx val="1920899024"/>
        <c:crosses val="autoZero"/>
        <c:auto val="1"/>
        <c:lblAlgn val="ctr"/>
        <c:lblOffset val="100"/>
        <c:noMultiLvlLbl val="0"/>
      </c:catAx>
      <c:spPr>
        <a:noFill/>
        <a:ln>
          <a:noFill/>
        </a:ln>
        <a:effectLst/>
      </c:spPr>
    </c:plotArea>
    <c:legend>
      <c:legendPos val="b"/>
      <c:layout>
        <c:manualLayout>
          <c:xMode val="edge"/>
          <c:yMode val="edge"/>
          <c:x val="0.27279658025202985"/>
          <c:y val="0.90815027683583349"/>
          <c:w val="0.44660956854077449"/>
          <c:h val="8.211736306684291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028178769320498E-2"/>
          <c:y val="5.7172017352253905E-2"/>
          <c:w val="0.91671314523184599"/>
          <c:h val="0.65627747451813923"/>
        </c:manualLayout>
      </c:layout>
      <c:lineChart>
        <c:grouping val="standard"/>
        <c:varyColors val="0"/>
        <c:ser>
          <c:idx val="0"/>
          <c:order val="0"/>
          <c:tx>
            <c:strRef>
              <c:f>'Yeld Mesatar i Ponderuar'!$E$4</c:f>
              <c:strCache>
                <c:ptCount val="1"/>
                <c:pt idx="0">
                  <c:v>2019</c:v>
                </c:pt>
              </c:strCache>
            </c:strRef>
          </c:tx>
          <c:spPr>
            <a:ln w="25400" cap="rnd">
              <a:solidFill>
                <a:srgbClr val="C00000"/>
              </a:solidFill>
              <a:round/>
            </a:ln>
            <a:effectLst/>
          </c:spPr>
          <c:marker>
            <c:symbol val="diamond"/>
            <c:size val="5"/>
            <c:spPr>
              <a:solidFill>
                <a:srgbClr val="C00000"/>
              </a:solidFill>
              <a:ln w="9525">
                <a:noFill/>
              </a:ln>
              <a:effectLst/>
            </c:spPr>
          </c:marker>
          <c:dLbls>
            <c:dLbl>
              <c:idx val="0"/>
              <c:layout>
                <c:manualLayout>
                  <c:x val="-2.6733503934837609E-2"/>
                  <c:y val="-3.92878839027563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E02-4BA6-89F2-DAE0C728CCFC}"/>
                </c:ext>
                <c:ext xmlns:c15="http://schemas.microsoft.com/office/drawing/2012/chart" uri="{CE6537A1-D6FC-4f65-9D91-7224C49458BB}"/>
              </c:extLst>
            </c:dLbl>
            <c:dLbl>
              <c:idx val="1"/>
              <c:layout>
                <c:manualLayout>
                  <c:x val="-6.2109287081414848E-3"/>
                  <c:y val="2.241300930376202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E02-4BA6-89F2-DAE0C728CCFC}"/>
                </c:ext>
                <c:ext xmlns:c15="http://schemas.microsoft.com/office/drawing/2012/chart" uri="{CE6537A1-D6FC-4f65-9D91-7224C49458BB}"/>
              </c:extLst>
            </c:dLbl>
            <c:dLbl>
              <c:idx val="2"/>
              <c:layout>
                <c:manualLayout>
                  <c:x val="-5.0124661738355164E-3"/>
                  <c:y val="3.51315054326891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E02-4BA6-89F2-DAE0C728CCFC}"/>
                </c:ext>
                <c:ext xmlns:c15="http://schemas.microsoft.com/office/drawing/2012/chart" uri="{CE6537A1-D6FC-4f65-9D91-7224C49458BB}"/>
              </c:extLst>
            </c:dLbl>
            <c:dLbl>
              <c:idx val="3"/>
              <c:layout>
                <c:manualLayout>
                  <c:x val="-3.9225265244237561E-3"/>
                  <c:y val="3.31159794977147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E02-4BA6-89F2-DAE0C728CCFC}"/>
                </c:ext>
                <c:ext xmlns:c15="http://schemas.microsoft.com/office/drawing/2012/chart" uri="{CE6537A1-D6FC-4f65-9D91-7224C49458BB}"/>
              </c:extLst>
            </c:dLbl>
            <c:dLbl>
              <c:idx val="4"/>
              <c:layout>
                <c:manualLayout>
                  <c:x val="-2.5562024667147132E-2"/>
                  <c:y val="3.51315054326891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E02-4BA6-89F2-DAE0C728CCFC}"/>
                </c:ext>
                <c:ext xmlns:c15="http://schemas.microsoft.com/office/drawing/2012/chart" uri="{CE6537A1-D6FC-4f65-9D91-7224C49458BB}"/>
              </c:extLst>
            </c:dLbl>
            <c:dLbl>
              <c:idx val="5"/>
              <c:layout>
                <c:manualLayout>
                  <c:x val="-2.1677359020572239E-2"/>
                  <c:y val="7.42926746320658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E02-4BA6-89F2-DAE0C728CCFC}"/>
                </c:ext>
                <c:ext xmlns:c15="http://schemas.microsoft.com/office/drawing/2012/chart" uri="{CE6537A1-D6FC-4f65-9D91-7224C49458BB}"/>
              </c:extLst>
            </c:dLbl>
            <c:dLbl>
              <c:idx val="6"/>
              <c:layout>
                <c:manualLayout>
                  <c:x val="-2.6640972448796298E-2"/>
                  <c:y val="7.92037839694894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E02-4BA6-89F2-DAE0C728CCFC}"/>
                </c:ext>
                <c:ext xmlns:c15="http://schemas.microsoft.com/office/drawing/2012/chart" uri="{CE6537A1-D6FC-4f65-9D91-7224C49458BB}"/>
              </c:extLst>
            </c:dLbl>
            <c:dLbl>
              <c:idx val="7"/>
              <c:layout>
                <c:manualLayout>
                  <c:x val="-5.4002697369454122E-2"/>
                  <c:y val="-6.862713117228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E02-4BA6-89F2-DAE0C728CCFC}"/>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Ponderuar'!$E$5:$E$13</c:f>
              <c:numCache>
                <c:formatCode>0.00%</c:formatCode>
                <c:ptCount val="9"/>
                <c:pt idx="1">
                  <c:v>1.0291233866495501E-2</c:v>
                </c:pt>
                <c:pt idx="2">
                  <c:v>1.5713999999999999E-2</c:v>
                </c:pt>
                <c:pt idx="3">
                  <c:v>1.9650000000000001E-2</c:v>
                </c:pt>
                <c:pt idx="4">
                  <c:v>2.2409999999999999E-2</c:v>
                </c:pt>
                <c:pt idx="5">
                  <c:v>3.2759000000000003E-2</c:v>
                </c:pt>
                <c:pt idx="6">
                  <c:v>3.9320000000000001E-2</c:v>
                </c:pt>
                <c:pt idx="7">
                  <c:v>5.3969999999999997E-2</c:v>
                </c:pt>
              </c:numCache>
            </c:numRef>
          </c:val>
          <c:smooth val="1"/>
          <c:extLst xmlns:c16r2="http://schemas.microsoft.com/office/drawing/2015/06/chart">
            <c:ext xmlns:c16="http://schemas.microsoft.com/office/drawing/2014/chart" uri="{C3380CC4-5D6E-409C-BE32-E72D297353CC}">
              <c16:uniqueId val="{00000008-6E02-4BA6-89F2-DAE0C728CCFC}"/>
            </c:ext>
          </c:extLst>
        </c:ser>
        <c:ser>
          <c:idx val="1"/>
          <c:order val="1"/>
          <c:tx>
            <c:strRef>
              <c:f>'Yeld Mesatar i Ponderuar'!$F$4</c:f>
              <c:strCache>
                <c:ptCount val="1"/>
                <c:pt idx="0">
                  <c:v>2020</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2.3838046169334083E-2"/>
                  <c:y val="-4.304994048507268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E02-4BA6-89F2-DAE0C728CCFC}"/>
                </c:ext>
                <c:ext xmlns:c15="http://schemas.microsoft.com/office/drawing/2012/chart" uri="{CE6537A1-D6FC-4f65-9D91-7224C49458BB}"/>
              </c:extLst>
            </c:dLbl>
            <c:dLbl>
              <c:idx val="1"/>
              <c:layout>
                <c:manualLayout>
                  <c:x val="-2.1760583162203369E-2"/>
                  <c:y val="-0.11998417562282458"/>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6E02-4BA6-89F2-DAE0C728CCFC}"/>
                </c:ext>
                <c:ext xmlns:c15="http://schemas.microsoft.com/office/drawing/2012/chart" uri="{CE6537A1-D6FC-4f65-9D91-7224C49458BB}"/>
              </c:extLst>
            </c:dLbl>
            <c:dLbl>
              <c:idx val="2"/>
              <c:layout>
                <c:manualLayout>
                  <c:x val="-1.4112860310808188E-2"/>
                  <c:y val="-0.14672598494602018"/>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E02-4BA6-89F2-DAE0C728CCFC}"/>
                </c:ext>
                <c:ext xmlns:c15="http://schemas.microsoft.com/office/drawing/2012/chart" uri="{CE6537A1-D6FC-4f65-9D91-7224C49458BB}"/>
              </c:extLst>
            </c:dLbl>
            <c:dLbl>
              <c:idx val="3"/>
              <c:layout>
                <c:manualLayout>
                  <c:x val="-7.2392790032644099E-3"/>
                  <c:y val="-6.1928144834694256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6E02-4BA6-89F2-DAE0C728CCFC}"/>
                </c:ext>
                <c:ext xmlns:c15="http://schemas.microsoft.com/office/drawing/2012/chart" uri="{CE6537A1-D6FC-4f65-9D91-7224C49458BB}"/>
              </c:extLst>
            </c:dLbl>
            <c:dLbl>
              <c:idx val="4"/>
              <c:layout>
                <c:manualLayout>
                  <c:x val="-2.8050199685597686E-3"/>
                  <c:y val="-1.3450720599106176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6E02-4BA6-89F2-DAE0C728CCFC}"/>
                </c:ext>
                <c:ext xmlns:c15="http://schemas.microsoft.com/office/drawing/2012/chart" uri="{CE6537A1-D6FC-4f65-9D91-7224C49458BB}"/>
              </c:extLst>
            </c:dLbl>
            <c:dLbl>
              <c:idx val="5"/>
              <c:layout>
                <c:manualLayout>
                  <c:x val="-4.5653065248076066E-2"/>
                  <c:y val="-0.10406263121913641"/>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6E02-4BA6-89F2-DAE0C728CCFC}"/>
                </c:ext>
                <c:ext xmlns:c15="http://schemas.microsoft.com/office/drawing/2012/chart" uri="{CE6537A1-D6FC-4f65-9D91-7224C49458BB}"/>
              </c:extLst>
            </c:dLbl>
            <c:dLbl>
              <c:idx val="6"/>
              <c:layout>
                <c:manualLayout>
                  <c:x val="-4.0145441602649212E-2"/>
                  <c:y val="-0.11519452532073861"/>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6E02-4BA6-89F2-DAE0C728CCFC}"/>
                </c:ext>
                <c:ext xmlns:c15="http://schemas.microsoft.com/office/drawing/2012/chart" uri="{CE6537A1-D6FC-4f65-9D91-7224C49458BB}"/>
              </c:extLst>
            </c:dLbl>
            <c:dLbl>
              <c:idx val="7"/>
              <c:layout>
                <c:manualLayout>
                  <c:x val="-1.850472214128563E-2"/>
                  <c:y val="-4.105037773759991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6E02-4BA6-89F2-DAE0C728CCFC}"/>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Ponderuar'!$F$5:$F$13</c:f>
              <c:numCache>
                <c:formatCode>0.00%</c:formatCode>
                <c:ptCount val="9"/>
                <c:pt idx="0">
                  <c:v>1.10495314917365E-2</c:v>
                </c:pt>
                <c:pt idx="1">
                  <c:v>1.55506743027926E-2</c:v>
                </c:pt>
                <c:pt idx="2">
                  <c:v>1.86097615618422E-2</c:v>
                </c:pt>
                <c:pt idx="3">
                  <c:v>2.2169346984901899E-2</c:v>
                </c:pt>
                <c:pt idx="4">
                  <c:v>2.6867573980642202E-2</c:v>
                </c:pt>
                <c:pt idx="5">
                  <c:v>3.99277767827158E-2</c:v>
                </c:pt>
                <c:pt idx="6">
                  <c:v>4.2000000000000003E-2</c:v>
                </c:pt>
                <c:pt idx="7">
                  <c:v>5.1951844828480212E-2</c:v>
                </c:pt>
              </c:numCache>
            </c:numRef>
          </c:val>
          <c:smooth val="1"/>
          <c:extLst xmlns:c16r2="http://schemas.microsoft.com/office/drawing/2015/06/chart">
            <c:ext xmlns:c16="http://schemas.microsoft.com/office/drawing/2014/chart" uri="{C3380CC4-5D6E-409C-BE32-E72D297353CC}">
              <c16:uniqueId val="{00000011-6E02-4BA6-89F2-DAE0C728CCFC}"/>
            </c:ext>
          </c:extLst>
        </c:ser>
        <c:ser>
          <c:idx val="2"/>
          <c:order val="2"/>
          <c:tx>
            <c:strRef>
              <c:f>'Yeld Mesatar i Ponderuar'!$G$4</c:f>
              <c:strCache>
                <c:ptCount val="1"/>
                <c:pt idx="0">
                  <c:v>2021</c:v>
                </c:pt>
              </c:strCache>
            </c:strRef>
          </c:tx>
          <c:spPr>
            <a:ln w="25400" cap="rnd">
              <a:solidFill>
                <a:schemeClr val="accent1"/>
              </a:solidFill>
              <a:round/>
            </a:ln>
            <a:effectLst/>
          </c:spPr>
          <c:marker>
            <c:symbol val="diamond"/>
            <c:size val="5"/>
            <c:spPr>
              <a:solidFill>
                <a:schemeClr val="accent1"/>
              </a:solidFill>
              <a:ln w="9525">
                <a:noFill/>
              </a:ln>
              <a:effectLst/>
            </c:spPr>
          </c:marker>
          <c:dLbls>
            <c:dLbl>
              <c:idx val="0"/>
              <c:layout>
                <c:manualLayout>
                  <c:x val="3.7641040493691688E-3"/>
                  <c:y val="-0.1344849963388777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6E02-4BA6-89F2-DAE0C728CCFC}"/>
                </c:ext>
                <c:ext xmlns:c15="http://schemas.microsoft.com/office/drawing/2012/chart" uri="{CE6537A1-D6FC-4f65-9D91-7224C49458BB}"/>
              </c:extLst>
            </c:dLbl>
            <c:dLbl>
              <c:idx val="1"/>
              <c:layout>
                <c:manualLayout>
                  <c:x val="-1.0400400592514422E-3"/>
                  <c:y val="-7.0768974504013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6E02-4BA6-89F2-DAE0C728CCFC}"/>
                </c:ext>
                <c:ext xmlns:c15="http://schemas.microsoft.com/office/drawing/2012/chart" uri="{CE6537A1-D6FC-4f65-9D91-7224C49458BB}"/>
              </c:extLst>
            </c:dLbl>
            <c:dLbl>
              <c:idx val="2"/>
              <c:layout>
                <c:manualLayout>
                  <c:x val="-9.0286852853785887E-3"/>
                  <c:y val="-6.15748725547693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6E02-4BA6-89F2-DAE0C728CCFC}"/>
                </c:ext>
                <c:ext xmlns:c15="http://schemas.microsoft.com/office/drawing/2012/chart" uri="{CE6537A1-D6FC-4f65-9D91-7224C49458BB}"/>
              </c:extLst>
            </c:dLbl>
            <c:dLbl>
              <c:idx val="3"/>
              <c:layout>
                <c:manualLayout>
                  <c:x val="-6.268505158326514E-3"/>
                  <c:y val="-0.131336084091295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6E02-4BA6-89F2-DAE0C728CCFC}"/>
                </c:ext>
                <c:ext xmlns:c15="http://schemas.microsoft.com/office/drawing/2012/chart" uri="{CE6537A1-D6FC-4f65-9D91-7224C49458BB}"/>
              </c:extLst>
            </c:dLbl>
            <c:dLbl>
              <c:idx val="4"/>
              <c:layout>
                <c:manualLayout>
                  <c:x val="-2.2639234686845176E-2"/>
                  <c:y val="-0.1030042024826227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6E02-4BA6-89F2-DAE0C728CCFC}"/>
                </c:ext>
                <c:ext xmlns:c15="http://schemas.microsoft.com/office/drawing/2012/chart" uri="{CE6537A1-D6FC-4f65-9D91-7224C49458BB}"/>
              </c:extLst>
            </c:dLbl>
            <c:dLbl>
              <c:idx val="5"/>
              <c:layout>
                <c:manualLayout>
                  <c:x val="-3.665718109189376E-2"/>
                  <c:y val="-7.94564187629917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6E02-4BA6-89F2-DAE0C728CCFC}"/>
                </c:ext>
                <c:ext xmlns:c15="http://schemas.microsoft.com/office/drawing/2012/chart" uri="{CE6537A1-D6FC-4f65-9D91-7224C49458BB}"/>
              </c:extLst>
            </c:dLbl>
            <c:dLbl>
              <c:idx val="6"/>
              <c:layout>
                <c:manualLayout>
                  <c:x val="-3.7123899286575522E-2"/>
                  <c:y val="-5.86785951006895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6E02-4BA6-89F2-DAE0C728CCFC}"/>
                </c:ext>
                <c:ext xmlns:c15="http://schemas.microsoft.com/office/drawing/2012/chart" uri="{CE6537A1-D6FC-4f65-9D91-7224C49458BB}"/>
              </c:extLst>
            </c:dLbl>
            <c:dLbl>
              <c:idx val="7"/>
              <c:layout>
                <c:manualLayout>
                  <c:x val="-3.3516211260209081E-2"/>
                  <c:y val="7.5553072393055323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6E02-4BA6-89F2-DAE0C728CCFC}"/>
                </c:ext>
                <c:ext xmlns:c15="http://schemas.microsoft.com/office/drawing/2012/chart" uri="{CE6537A1-D6FC-4f65-9D91-7224C49458BB}">
                  <c15:layout>
                    <c:manualLayout>
                      <c:w val="6.5242417614464865E-2"/>
                      <c:h val="7.0595609733650574E-2"/>
                    </c:manualLayout>
                  </c15:layout>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Ponderuar'!$G$5:$G$13</c:f>
              <c:numCache>
                <c:formatCode>0.00%</c:formatCode>
                <c:ptCount val="9"/>
                <c:pt idx="0">
                  <c:v>1.07038231737743E-2</c:v>
                </c:pt>
                <c:pt idx="1">
                  <c:v>1.44148696718552E-2</c:v>
                </c:pt>
                <c:pt idx="2">
                  <c:v>1.7801615213184699E-2</c:v>
                </c:pt>
                <c:pt idx="3">
                  <c:v>2.26018483115152E-2</c:v>
                </c:pt>
                <c:pt idx="4">
                  <c:v>2.6911267441860499E-2</c:v>
                </c:pt>
                <c:pt idx="5">
                  <c:v>3.6181434829957899E-2</c:v>
                </c:pt>
                <c:pt idx="6">
                  <c:v>3.9764857585310544E-2</c:v>
                </c:pt>
                <c:pt idx="7">
                  <c:v>5.0122785211632846E-2</c:v>
                </c:pt>
                <c:pt idx="8">
                  <c:v>5.8799999999999998E-2</c:v>
                </c:pt>
              </c:numCache>
            </c:numRef>
          </c:val>
          <c:smooth val="1"/>
          <c:extLst xmlns:c16r2="http://schemas.microsoft.com/office/drawing/2015/06/chart">
            <c:ext xmlns:c16="http://schemas.microsoft.com/office/drawing/2014/chart" uri="{C3380CC4-5D6E-409C-BE32-E72D297353CC}">
              <c16:uniqueId val="{0000001A-6E02-4BA6-89F2-DAE0C728CCFC}"/>
            </c:ext>
          </c:extLst>
        </c:ser>
        <c:dLbls>
          <c:showLegendKey val="0"/>
          <c:showVal val="0"/>
          <c:showCatName val="0"/>
          <c:showSerName val="0"/>
          <c:showPercent val="0"/>
          <c:showBubbleSize val="0"/>
        </c:dLbls>
        <c:marker val="1"/>
        <c:smooth val="0"/>
        <c:axId val="1920894672"/>
        <c:axId val="50366736"/>
      </c:lineChart>
      <c:catAx>
        <c:axId val="1920894672"/>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50366736"/>
        <c:crosses val="autoZero"/>
        <c:auto val="1"/>
        <c:lblAlgn val="ctr"/>
        <c:lblOffset val="100"/>
        <c:noMultiLvlLbl val="0"/>
      </c:catAx>
      <c:valAx>
        <c:axId val="50366736"/>
        <c:scaling>
          <c:orientation val="minMax"/>
          <c:max val="6.0000000000000012E-2"/>
          <c:min val="5.000000000000001E-3"/>
        </c:scaling>
        <c:delete val="0"/>
        <c:axPos val="l"/>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20894672"/>
        <c:crosses val="autoZero"/>
        <c:crossBetween val="between"/>
        <c:majorUnit val="2.0000000000000004E-2"/>
      </c:valAx>
      <c:spPr>
        <a:noFill/>
        <a:ln>
          <a:noFill/>
        </a:ln>
        <a:effectLst/>
      </c:spPr>
    </c:plotArea>
    <c:legend>
      <c:legendPos val="b"/>
      <c:layout>
        <c:manualLayout>
          <c:xMode val="edge"/>
          <c:yMode val="edge"/>
          <c:x val="0.30758124822254518"/>
          <c:y val="0.91674278091359396"/>
          <c:w val="0.30270714000324517"/>
          <c:h val="8.287346014503262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a:solidFill>
                  <a:sysClr val="windowText" lastClr="000000"/>
                </a:solidFill>
              </a:rPr>
              <a:t> 2021</a:t>
            </a:r>
            <a:endParaRPr lang="en-US" sz="1000" baseline="0">
              <a:solidFill>
                <a:sysClr val="windowText" lastClr="000000"/>
              </a:solidFill>
            </a:endParaRPr>
          </a:p>
        </c:rich>
      </c:tx>
      <c:layout>
        <c:manualLayout>
          <c:xMode val="edge"/>
          <c:yMode val="edge"/>
          <c:x val="0.52180139031983308"/>
          <c:y val="6.3219897714602022E-3"/>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9540874584819554"/>
          <c:y val="0.14671836555243911"/>
          <c:w val="0.47329269245217753"/>
          <c:h val="0.67404011430962651"/>
        </c:manualLayout>
      </c:layout>
      <c:pieChart>
        <c:varyColors val="1"/>
        <c:ser>
          <c:idx val="0"/>
          <c:order val="0"/>
          <c:dPt>
            <c:idx val="0"/>
            <c:bubble3D val="0"/>
            <c:spPr>
              <a:solidFill>
                <a:srgbClr val="C0000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2B79-4C18-A92B-7689F3992F25}"/>
              </c:ext>
            </c:extLst>
          </c:dPt>
          <c:dPt>
            <c:idx val="1"/>
            <c:bubble3D val="0"/>
            <c:spPr>
              <a:solidFill>
                <a:schemeClr val="accent3"/>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2B79-4C18-A92B-7689F3992F25}"/>
              </c:ext>
            </c:extLst>
          </c:dPt>
          <c:dPt>
            <c:idx val="2"/>
            <c:bubble3D val="0"/>
            <c:spPr>
              <a:solidFill>
                <a:srgbClr val="7030A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2B79-4C18-A92B-7689F3992F25}"/>
              </c:ext>
            </c:extLst>
          </c:dPt>
          <c:dPt>
            <c:idx val="3"/>
            <c:bubble3D val="0"/>
            <c:spPr>
              <a:solidFill>
                <a:schemeClr val="accent6"/>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2B79-4C18-A92B-7689F3992F25}"/>
              </c:ext>
            </c:extLst>
          </c:dPt>
          <c:dLbls>
            <c:dLbl>
              <c:idx val="0"/>
              <c:layout>
                <c:manualLayout>
                  <c:x val="-0.16488183698808104"/>
                  <c:y val="-0.1092191774801645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B79-4C18-A92B-7689F3992F25}"/>
                </c:ext>
                <c:ext xmlns:c15="http://schemas.microsoft.com/office/drawing/2012/chart" uri="{CE6537A1-D6FC-4f65-9D91-7224C49458BB}"/>
              </c:extLst>
            </c:dLbl>
            <c:dLbl>
              <c:idx val="1"/>
              <c:layout>
                <c:manualLayout>
                  <c:x val="0.12822036829713715"/>
                  <c:y val="9.39860317662108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B79-4C18-A92B-7689F3992F25}"/>
                </c:ext>
                <c:ext xmlns:c15="http://schemas.microsoft.com/office/drawing/2012/chart" uri="{CE6537A1-D6FC-4f65-9D91-7224C49458BB}"/>
              </c:extLst>
            </c:dLbl>
            <c:dLbl>
              <c:idx val="2"/>
              <c:layout>
                <c:manualLayout>
                  <c:x val="3.2019013683752408E-2"/>
                  <c:y val="7.51863887851556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B79-4C18-A92B-7689F3992F25}"/>
                </c:ext>
                <c:ext xmlns:c15="http://schemas.microsoft.com/office/drawing/2012/chart" uri="{CE6537A1-D6FC-4f65-9D91-7224C49458BB}"/>
              </c:extLst>
            </c:dLbl>
            <c:dLbl>
              <c:idx val="3"/>
              <c:layout>
                <c:manualLayout>
                  <c:x val="6.02226445832202E-2"/>
                  <c:y val="9.69942077119270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'B.Shteteror sipas Monedhes '!$A$42:$A$45</c:f>
              <c:strCache>
                <c:ptCount val="4"/>
                <c:pt idx="0">
                  <c:v>EUR</c:v>
                </c:pt>
                <c:pt idx="1">
                  <c:v>USD</c:v>
                </c:pt>
                <c:pt idx="2">
                  <c:v>JPY</c:v>
                </c:pt>
                <c:pt idx="3">
                  <c:v>Të tjera</c:v>
                </c:pt>
              </c:strCache>
            </c:strRef>
          </c:cat>
          <c:val>
            <c:numRef>
              <c:f>'B.Shteteror sipas Monedhes '!$O$42:$O$45</c:f>
              <c:numCache>
                <c:formatCode>0.0%</c:formatCode>
                <c:ptCount val="4"/>
                <c:pt idx="0">
                  <c:v>0.7394399699248605</c:v>
                </c:pt>
                <c:pt idx="1">
                  <c:v>0.17899207269812201</c:v>
                </c:pt>
                <c:pt idx="2">
                  <c:v>2.5012541767801374E-2</c:v>
                </c:pt>
                <c:pt idx="3">
                  <c:v>5.6555415609216023E-2</c:v>
                </c:pt>
              </c:numCache>
            </c:numRef>
          </c:val>
          <c:extLst xmlns:c16r2="http://schemas.microsoft.com/office/drawing/2015/06/chart">
            <c:ext xmlns:c16="http://schemas.microsoft.com/office/drawing/2014/chart" uri="{C3380CC4-5D6E-409C-BE32-E72D297353CC}">
              <c16:uniqueId val="{00000008-2B79-4C18-A92B-7689F3992F25}"/>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7967475478529499"/>
          <c:y val="0.88578600263799512"/>
          <c:w val="0.64065010810283818"/>
          <c:h val="0.1142139973620048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n-US" sz="1000" b="1" i="0" u="none" strike="noStrike" kern="1200" baseline="0">
                <a:solidFill>
                  <a:sysClr val="windowText" lastClr="000000"/>
                </a:solidFill>
                <a:latin typeface="+mn-lt"/>
                <a:ea typeface="+mn-ea"/>
                <a:cs typeface="+mn-cs"/>
              </a:defRPr>
            </a:pPr>
            <a:r>
              <a:rPr lang="en-US" sz="1000" b="1" i="0" u="none" strike="noStrike" kern="1200" baseline="0">
                <a:solidFill>
                  <a:sysClr val="windowText" lastClr="000000"/>
                </a:solidFill>
                <a:latin typeface="+mn-lt"/>
                <a:ea typeface="+mn-ea"/>
                <a:cs typeface="+mn-cs"/>
              </a:rPr>
              <a:t> 2020</a:t>
            </a:r>
          </a:p>
        </c:rich>
      </c:tx>
      <c:layout>
        <c:manualLayout>
          <c:xMode val="edge"/>
          <c:yMode val="edge"/>
          <c:x val="0.39687679934279291"/>
          <c:y val="2.3232716495705406E-3"/>
        </c:manualLayout>
      </c:layout>
      <c:overlay val="0"/>
      <c:spPr>
        <a:noFill/>
        <a:ln>
          <a:noFill/>
        </a:ln>
        <a:effectLst/>
      </c:spPr>
      <c:txPr>
        <a:bodyPr rot="0" spcFirstLastPara="1" vertOverflow="ellipsis" vert="horz" wrap="square" anchor="ctr" anchorCtr="1"/>
        <a:lstStyle/>
        <a:p>
          <a:pPr algn="ctr" rtl="0">
            <a:defRPr lang="en-US" sz="10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2490712182169589"/>
          <c:y val="0.14564413050790448"/>
          <c:w val="0.46169018113536925"/>
          <c:h val="0.666834052403389"/>
        </c:manualLayout>
      </c:layout>
      <c:pieChart>
        <c:varyColors val="1"/>
        <c:ser>
          <c:idx val="0"/>
          <c:order val="0"/>
          <c:dPt>
            <c:idx val="0"/>
            <c:bubble3D val="0"/>
            <c:spPr>
              <a:solidFill>
                <a:srgbClr val="C0000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CDA5-48FD-AC07-F62A77EE264E}"/>
              </c:ext>
            </c:extLst>
          </c:dPt>
          <c:dPt>
            <c:idx val="1"/>
            <c:bubble3D val="0"/>
            <c:spPr>
              <a:solidFill>
                <a:schemeClr val="accent3"/>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CDA5-48FD-AC07-F62A77EE264E}"/>
              </c:ext>
            </c:extLst>
          </c:dPt>
          <c:dPt>
            <c:idx val="2"/>
            <c:bubble3D val="0"/>
            <c:spPr>
              <a:solidFill>
                <a:srgbClr val="7030A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CDA5-48FD-AC07-F62A77EE264E}"/>
              </c:ext>
            </c:extLst>
          </c:dPt>
          <c:dPt>
            <c:idx val="3"/>
            <c:bubble3D val="0"/>
            <c:spPr>
              <a:solidFill>
                <a:schemeClr val="accent6"/>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CDA5-48FD-AC07-F62A77EE264E}"/>
              </c:ext>
            </c:extLst>
          </c:dPt>
          <c:dLbls>
            <c:dLbl>
              <c:idx val="2"/>
              <c:layout>
                <c:manualLayout>
                  <c:x val="8.9444846421224369E-2"/>
                  <c:y val="0.12091389617964421"/>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CDA5-48FD-AC07-F62A77EE264E}"/>
                </c:ext>
                <c:ext xmlns:c15="http://schemas.microsoft.com/office/drawing/2012/chart" uri="{CE6537A1-D6FC-4f65-9D91-7224C49458BB}"/>
              </c:extLst>
            </c:dLbl>
            <c:dLbl>
              <c:idx val="3"/>
              <c:layout>
                <c:manualLayout>
                  <c:x val="6.2147690998084697E-2"/>
                  <c:y val="9.1297389909594587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CDA5-48FD-AC07-F62A77EE264E}"/>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'B.Shteteror sipas Monedhes '!$A$42:$A$45</c:f>
              <c:strCache>
                <c:ptCount val="4"/>
                <c:pt idx="0">
                  <c:v>EUR</c:v>
                </c:pt>
                <c:pt idx="1">
                  <c:v>USD</c:v>
                </c:pt>
                <c:pt idx="2">
                  <c:v>JPY</c:v>
                </c:pt>
                <c:pt idx="3">
                  <c:v>Të tjera</c:v>
                </c:pt>
              </c:strCache>
            </c:strRef>
          </c:cat>
          <c:val>
            <c:numRef>
              <c:f>'B.Shteteror sipas Monedhes '!$K$42:$K$45</c:f>
              <c:numCache>
                <c:formatCode>0.0%</c:formatCode>
                <c:ptCount val="4"/>
                <c:pt idx="0">
                  <c:v>0.70104252446967996</c:v>
                </c:pt>
                <c:pt idx="1">
                  <c:v>0.19724602444778017</c:v>
                </c:pt>
                <c:pt idx="2">
                  <c:v>3.2780659889188705E-2</c:v>
                </c:pt>
                <c:pt idx="3">
                  <c:v>6.8930791193351132E-2</c:v>
                </c:pt>
              </c:numCache>
            </c:numRef>
          </c:val>
          <c:extLst xmlns:c16r2="http://schemas.microsoft.com/office/drawing/2015/06/chart">
            <c:ext xmlns:c16="http://schemas.microsoft.com/office/drawing/2014/chart" uri="{C3380CC4-5D6E-409C-BE32-E72D297353CC}">
              <c16:uniqueId val="{00000008-CDA5-48FD-AC07-F62A77EE264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49618778320626E-2"/>
          <c:y val="5.0925925925925923E-2"/>
          <c:w val="0.88937625868155079"/>
          <c:h val="0.70025667880419151"/>
        </c:manualLayout>
      </c:layout>
      <c:barChart>
        <c:barDir val="col"/>
        <c:grouping val="stacked"/>
        <c:varyColors val="0"/>
        <c:ser>
          <c:idx val="0"/>
          <c:order val="0"/>
          <c:tx>
            <c:strRef>
              <c:f>'Kompozimi '!$A$46</c:f>
              <c:strCache>
                <c:ptCount val="1"/>
                <c:pt idx="0">
                  <c:v>Tituj Shtetërorë Vendas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'!$B$45:$G$45</c15:sqref>
                  </c15:fullRef>
                </c:ext>
              </c:extLst>
              <c:f>'Kompozimi '!$C$45:$G$45</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'Kompozimi '!$B$46:$G$46</c15:sqref>
                  </c15:fullRef>
                </c:ext>
              </c:extLst>
              <c:f>'Kompozimi '!$C$46:$G$46</c:f>
              <c:numCache>
                <c:formatCode>0.0%</c:formatCode>
                <c:ptCount val="5"/>
                <c:pt idx="0">
                  <c:v>0.52719188125054073</c:v>
                </c:pt>
                <c:pt idx="1">
                  <c:v>0.53215391762817255</c:v>
                </c:pt>
                <c:pt idx="2">
                  <c:v>0.54395463759693086</c:v>
                </c:pt>
                <c:pt idx="3">
                  <c:v>0.53674051046029114</c:v>
                </c:pt>
                <c:pt idx="4">
                  <c:v>0.51129596548004841</c:v>
                </c:pt>
              </c:numCache>
            </c:numRef>
          </c:val>
          <c:extLst xmlns:c16r2="http://schemas.microsoft.com/office/drawing/2015/06/chart">
            <c:ext xmlns:c16="http://schemas.microsoft.com/office/drawing/2014/chart" uri="{C3380CC4-5D6E-409C-BE32-E72D297353CC}">
              <c16:uniqueId val="{00000000-F05C-4477-BC14-617F3DBE7433}"/>
            </c:ext>
          </c:extLst>
        </c:ser>
        <c:ser>
          <c:idx val="1"/>
          <c:order val="1"/>
          <c:tx>
            <c:strRef>
              <c:f>'Kompozimi '!$A$47</c:f>
              <c:strCache>
                <c:ptCount val="1"/>
                <c:pt idx="0">
                  <c:v>Tituj Ndërkombëtarë</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'!$B$45:$G$45</c15:sqref>
                  </c15:fullRef>
                </c:ext>
              </c:extLst>
              <c:f>'Kompozimi '!$C$45:$G$45</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'Kompozimi '!$B$47:$G$47</c15:sqref>
                  </c15:fullRef>
                </c:ext>
              </c:extLst>
              <c:f>'Kompozimi '!$C$47:$G$47</c:f>
              <c:numCache>
                <c:formatCode>0.0%</c:formatCode>
                <c:ptCount val="5"/>
                <c:pt idx="0">
                  <c:v>5.766746724111086E-2</c:v>
                </c:pt>
                <c:pt idx="1">
                  <c:v>8.7169490773162925E-2</c:v>
                </c:pt>
                <c:pt idx="2">
                  <c:v>8.5337538486562989E-2</c:v>
                </c:pt>
                <c:pt idx="3">
                  <c:v>0.12104485195545694</c:v>
                </c:pt>
                <c:pt idx="4">
                  <c:v>0.16370969396470803</c:v>
                </c:pt>
              </c:numCache>
            </c:numRef>
          </c:val>
          <c:extLst xmlns:c16r2="http://schemas.microsoft.com/office/drawing/2015/06/chart">
            <c:ext xmlns:c16="http://schemas.microsoft.com/office/drawing/2014/chart" uri="{C3380CC4-5D6E-409C-BE32-E72D297353CC}">
              <c16:uniqueId val="{00000001-F05C-4477-BC14-617F3DBE7433}"/>
            </c:ext>
          </c:extLst>
        </c:ser>
        <c:ser>
          <c:idx val="2"/>
          <c:order val="2"/>
          <c:tx>
            <c:strRef>
              <c:f>'Kompozimi '!$A$48</c:f>
              <c:strCache>
                <c:ptCount val="1"/>
                <c:pt idx="0">
                  <c:v>Hua (terma konsesionale)</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'!$B$45:$G$45</c15:sqref>
                  </c15:fullRef>
                </c:ext>
              </c:extLst>
              <c:f>'Kompozimi '!$C$45:$G$45</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'Kompozimi '!$B$48:$G$48</c15:sqref>
                  </c15:fullRef>
                </c:ext>
              </c:extLst>
              <c:f>'Kompozimi '!$C$48:$G$48</c:f>
              <c:numCache>
                <c:formatCode>0.0%</c:formatCode>
                <c:ptCount val="5"/>
                <c:pt idx="0">
                  <c:v>0.23874347488201014</c:v>
                </c:pt>
                <c:pt idx="1">
                  <c:v>0.21839607793531565</c:v>
                </c:pt>
                <c:pt idx="2">
                  <c:v>0.21027132013156263</c:v>
                </c:pt>
                <c:pt idx="3">
                  <c:v>0.18489105018654081</c:v>
                </c:pt>
                <c:pt idx="4">
                  <c:v>0.15467906045675939</c:v>
                </c:pt>
              </c:numCache>
            </c:numRef>
          </c:val>
          <c:extLst xmlns:c16r2="http://schemas.microsoft.com/office/drawing/2015/06/chart">
            <c:ext xmlns:c16="http://schemas.microsoft.com/office/drawing/2014/chart" uri="{C3380CC4-5D6E-409C-BE32-E72D297353CC}">
              <c16:uniqueId val="{00000002-F05C-4477-BC14-617F3DBE7433}"/>
            </c:ext>
          </c:extLst>
        </c:ser>
        <c:ser>
          <c:idx val="3"/>
          <c:order val="3"/>
          <c:tx>
            <c:strRef>
              <c:f>'Kompozimi '!$A$49</c:f>
              <c:strCache>
                <c:ptCount val="1"/>
                <c:pt idx="0">
                  <c:v>Hua (terma jo-konsesionale)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xmlns:c15="http://schemas.microsoft.com/office/drawing/2012/chart" uri="{02D57815-91ED-43cb-92C2-25804820EDAC}">
                  <c15:fullRef>
                    <c15:sqref>'Kompozimi '!$B$45:$G$45</c15:sqref>
                  </c15:fullRef>
                </c:ext>
              </c:extLst>
              <c:f>'Kompozimi '!$C$45:$G$45</c:f>
              <c:strCache>
                <c:ptCount val="5"/>
                <c:pt idx="0">
                  <c:v>2017</c:v>
                </c:pt>
                <c:pt idx="1">
                  <c:v>2018</c:v>
                </c:pt>
                <c:pt idx="2">
                  <c:v>2019</c:v>
                </c:pt>
                <c:pt idx="3">
                  <c:v>2020</c:v>
                </c:pt>
                <c:pt idx="4">
                  <c:v>2021</c:v>
                </c:pt>
              </c:strCache>
            </c:strRef>
          </c:cat>
          <c:val>
            <c:numRef>
              <c:extLst>
                <c:ext xmlns:c15="http://schemas.microsoft.com/office/drawing/2012/chart" uri="{02D57815-91ED-43cb-92C2-25804820EDAC}">
                  <c15:fullRef>
                    <c15:sqref>'Kompozimi '!$B$49:$G$49</c15:sqref>
                  </c15:fullRef>
                </c:ext>
              </c:extLst>
              <c:f>'Kompozimi '!$C$49:$G$49</c:f>
              <c:numCache>
                <c:formatCode>0.0%</c:formatCode>
                <c:ptCount val="5"/>
                <c:pt idx="0">
                  <c:v>0.17639717662633841</c:v>
                </c:pt>
                <c:pt idx="1">
                  <c:v>0.16228051366334897</c:v>
                </c:pt>
                <c:pt idx="2">
                  <c:v>0.16043650378494348</c:v>
                </c:pt>
                <c:pt idx="3">
                  <c:v>0.15732358739771113</c:v>
                </c:pt>
                <c:pt idx="4">
                  <c:v>0.17031528009848423</c:v>
                </c:pt>
              </c:numCache>
            </c:numRef>
          </c:val>
          <c:extLst xmlns:c16r2="http://schemas.microsoft.com/office/drawing/2015/06/chart">
            <c:ext xmlns:c16="http://schemas.microsoft.com/office/drawing/2014/chart" uri="{C3380CC4-5D6E-409C-BE32-E72D297353CC}">
              <c16:uniqueId val="{00000003-F05C-4477-BC14-617F3DBE7433}"/>
            </c:ext>
          </c:extLst>
        </c:ser>
        <c:dLbls>
          <c:showLegendKey val="0"/>
          <c:showVal val="0"/>
          <c:showCatName val="0"/>
          <c:showSerName val="0"/>
          <c:showPercent val="0"/>
          <c:showBubbleSize val="0"/>
        </c:dLbls>
        <c:gapWidth val="177"/>
        <c:overlap val="100"/>
        <c:axId val="1895065472"/>
        <c:axId val="1895058400"/>
      </c:barChart>
      <c:catAx>
        <c:axId val="189506547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95058400"/>
        <c:crosses val="autoZero"/>
        <c:auto val="1"/>
        <c:lblAlgn val="ctr"/>
        <c:lblOffset val="100"/>
        <c:noMultiLvlLbl val="0"/>
      </c:catAx>
      <c:valAx>
        <c:axId val="1895058400"/>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95065472"/>
        <c:crosses val="autoZero"/>
        <c:crossBetween val="between"/>
        <c:majorUnit val="0.2"/>
      </c:valAx>
      <c:spPr>
        <a:noFill/>
        <a:ln>
          <a:noFill/>
        </a:ln>
        <a:effectLst/>
      </c:spPr>
    </c:plotArea>
    <c:legend>
      <c:legendPos val="b"/>
      <c:layout>
        <c:manualLayout>
          <c:xMode val="edge"/>
          <c:yMode val="edge"/>
          <c:x val="4.7963911616654163E-2"/>
          <c:y val="0.88275483857200776"/>
          <c:w val="0.95078397957752026"/>
          <c:h val="9.014489042528221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306184823940286"/>
          <c:y val="0.10296360124795723"/>
          <c:w val="0.74774840298162826"/>
          <c:h val="0.59790267992816692"/>
        </c:manualLayout>
      </c:layout>
      <c:barChart>
        <c:barDir val="col"/>
        <c:grouping val="clustered"/>
        <c:varyColors val="0"/>
        <c:ser>
          <c:idx val="0"/>
          <c:order val="0"/>
          <c:tx>
            <c:strRef>
              <c:f>'BJ qendror sipas interesit'!$A$4</c:f>
              <c:strCache>
                <c:ptCount val="1"/>
                <c:pt idx="0">
                  <c:v>Interes Fiks</c:v>
                </c:pt>
              </c:strCache>
            </c:strRef>
          </c:tx>
          <c:spPr>
            <a:solidFill>
              <a:schemeClr val="accent1"/>
            </a:solidFill>
            <a:ln>
              <a:solidFill>
                <a:schemeClr val="bg1">
                  <a:lumMod val="65000"/>
                </a:schemeClr>
              </a:solidFill>
            </a:ln>
            <a:effectLst/>
          </c:spPr>
          <c:invertIfNegative val="0"/>
          <c:cat>
            <c:numRef>
              <c:f>'BJ qendror sipas interesit'!$B$3:$G$3</c:f>
              <c:numCache>
                <c:formatCode>General</c:formatCode>
                <c:ptCount val="6"/>
                <c:pt idx="0">
                  <c:v>2016</c:v>
                </c:pt>
                <c:pt idx="1">
                  <c:v>2017</c:v>
                </c:pt>
                <c:pt idx="2">
                  <c:v>2018</c:v>
                </c:pt>
                <c:pt idx="3">
                  <c:v>2019</c:v>
                </c:pt>
                <c:pt idx="4">
                  <c:v>2020</c:v>
                </c:pt>
                <c:pt idx="5">
                  <c:v>2021</c:v>
                </c:pt>
              </c:numCache>
            </c:numRef>
          </c:cat>
          <c:val>
            <c:numRef>
              <c:f>'BJ qendror sipas interesit'!$B$4:$G$4</c:f>
              <c:numCache>
                <c:formatCode>_(* #,##0.0_);_(* \(#,##0.0\);_(* "-"??_);_(@_)</c:formatCode>
                <c:ptCount val="6"/>
                <c:pt idx="0">
                  <c:v>2031.7084</c:v>
                </c:pt>
                <c:pt idx="1">
                  <c:v>1951.181</c:v>
                </c:pt>
                <c:pt idx="2">
                  <c:v>2218.1145000000001</c:v>
                </c:pt>
                <c:pt idx="3">
                  <c:v>2170.9146999999998</c:v>
                </c:pt>
                <c:pt idx="4">
                  <c:v>2504.7314000000001</c:v>
                </c:pt>
                <c:pt idx="5">
                  <c:v>3397.5983200000001</c:v>
                </c:pt>
              </c:numCache>
            </c:numRef>
          </c:val>
          <c:extLst xmlns:c16r2="http://schemas.microsoft.com/office/drawing/2015/06/chart">
            <c:ext xmlns:c16="http://schemas.microsoft.com/office/drawing/2014/chart" uri="{C3380CC4-5D6E-409C-BE32-E72D297353CC}">
              <c16:uniqueId val="{00000000-9AED-4F08-AD48-D8BA5F64442A}"/>
            </c:ext>
          </c:extLst>
        </c:ser>
        <c:ser>
          <c:idx val="1"/>
          <c:order val="1"/>
          <c:tx>
            <c:strRef>
              <c:f>'BJ qendror sipas interesit'!$A$5</c:f>
              <c:strCache>
                <c:ptCount val="1"/>
                <c:pt idx="0">
                  <c:v>Interes i ndryshueshëm</c:v>
                </c:pt>
              </c:strCache>
            </c:strRef>
          </c:tx>
          <c:spPr>
            <a:solidFill>
              <a:srgbClr val="C00000"/>
            </a:solidFill>
            <a:ln>
              <a:noFill/>
            </a:ln>
            <a:effectLst/>
          </c:spPr>
          <c:invertIfNegative val="0"/>
          <c:cat>
            <c:numRef>
              <c:f>'BJ qendror sipas interesit'!$B$3:$G$3</c:f>
              <c:numCache>
                <c:formatCode>General</c:formatCode>
                <c:ptCount val="6"/>
                <c:pt idx="0">
                  <c:v>2016</c:v>
                </c:pt>
                <c:pt idx="1">
                  <c:v>2017</c:v>
                </c:pt>
                <c:pt idx="2">
                  <c:v>2018</c:v>
                </c:pt>
                <c:pt idx="3">
                  <c:v>2019</c:v>
                </c:pt>
                <c:pt idx="4">
                  <c:v>2020</c:v>
                </c:pt>
                <c:pt idx="5">
                  <c:v>2021</c:v>
                </c:pt>
              </c:numCache>
            </c:numRef>
          </c:cat>
          <c:val>
            <c:numRef>
              <c:f>'BJ qendror sipas interesit'!$B$5:$G$5</c:f>
              <c:numCache>
                <c:formatCode>_(* #,##0.0_);_(* \(#,##0.0\);_(* "-"??_);_(@_)</c:formatCode>
                <c:ptCount val="6"/>
                <c:pt idx="0">
                  <c:v>1699.6310000000001</c:v>
                </c:pt>
                <c:pt idx="1">
                  <c:v>1886.999</c:v>
                </c:pt>
                <c:pt idx="2">
                  <c:v>2045.8501000000001</c:v>
                </c:pt>
                <c:pt idx="3">
                  <c:v>2056.3513899999998</c:v>
                </c:pt>
                <c:pt idx="4">
                  <c:v>2183.6307000000002</c:v>
                </c:pt>
                <c:pt idx="5">
                  <c:v>2236.7635599999999</c:v>
                </c:pt>
              </c:numCache>
            </c:numRef>
          </c:val>
          <c:extLst xmlns:c16r2="http://schemas.microsoft.com/office/drawing/2015/06/chart">
            <c:ext xmlns:c16="http://schemas.microsoft.com/office/drawing/2014/chart" uri="{C3380CC4-5D6E-409C-BE32-E72D297353CC}">
              <c16:uniqueId val="{00000001-9AED-4F08-AD48-D8BA5F64442A}"/>
            </c:ext>
          </c:extLst>
        </c:ser>
        <c:dLbls>
          <c:showLegendKey val="0"/>
          <c:showVal val="0"/>
          <c:showCatName val="0"/>
          <c:showSerName val="0"/>
          <c:showPercent val="0"/>
          <c:showBubbleSize val="0"/>
        </c:dLbls>
        <c:gapWidth val="219"/>
        <c:overlap val="-27"/>
        <c:axId val="50370000"/>
        <c:axId val="50367824"/>
      </c:barChart>
      <c:catAx>
        <c:axId val="5037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367824"/>
        <c:crosses val="autoZero"/>
        <c:auto val="1"/>
        <c:lblAlgn val="ctr"/>
        <c:lblOffset val="100"/>
        <c:tickMarkSkip val="1"/>
        <c:noMultiLvlLbl val="0"/>
      </c:catAx>
      <c:valAx>
        <c:axId val="50367824"/>
        <c:scaling>
          <c:orientation val="minMax"/>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sq-AL" sz="900" b="1">
                    <a:solidFill>
                      <a:sysClr val="windowText" lastClr="000000"/>
                    </a:solidFill>
                  </a:rPr>
                  <a:t>në milion Euro</a:t>
                </a:r>
                <a:endParaRPr lang="en-US" sz="900" b="1">
                  <a:solidFill>
                    <a:sysClr val="windowText" lastClr="000000"/>
                  </a:solidFill>
                </a:endParaRPr>
              </a:p>
            </c:rich>
          </c:tx>
          <c:layout>
            <c:manualLayout>
              <c:xMode val="edge"/>
              <c:yMode val="edge"/>
              <c:x val="0.12960281676525751"/>
              <c:y val="0.20733402664289605"/>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rgbClr val="000000"/>
            </a:solidFill>
          </a:ln>
          <a:effectLst/>
        </c:spPr>
        <c:txPr>
          <a:bodyPr rot="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50370000"/>
        <c:crosses val="autoZero"/>
        <c:crossBetween val="between"/>
      </c:valAx>
      <c:dTable>
        <c:showHorzBorder val="1"/>
        <c:showVertBorder val="1"/>
        <c:showOutline val="1"/>
        <c:showKeys val="1"/>
        <c:spPr>
          <a:noFill/>
          <a:ln w="9525" cap="flat" cmpd="sng" algn="ctr">
            <a:solidFill>
              <a:srgbClr val="000000"/>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954751375256176"/>
          <c:y val="0.16951619236571805"/>
          <c:w val="0.8218353285370773"/>
          <c:h val="0.53365160063653461"/>
        </c:manualLayout>
      </c:layout>
      <c:barChart>
        <c:barDir val="col"/>
        <c:grouping val="clustered"/>
        <c:varyColors val="0"/>
        <c:ser>
          <c:idx val="0"/>
          <c:order val="0"/>
          <c:tx>
            <c:strRef>
              <c:f>'BJ Qendror sipas Koncesionalite'!$A$4</c:f>
              <c:strCache>
                <c:ptCount val="1"/>
                <c:pt idx="0">
                  <c:v>Koncesionale</c:v>
                </c:pt>
              </c:strCache>
            </c:strRef>
          </c:tx>
          <c:spPr>
            <a:solidFill>
              <a:schemeClr val="accent1"/>
            </a:solidFill>
            <a:ln>
              <a:noFill/>
            </a:ln>
            <a:effectLst/>
          </c:spPr>
          <c:invertIfNegative val="0"/>
          <c:cat>
            <c:numRef>
              <c:f>'BJ Qendror sipas Koncesionalite'!$B$3:$G$3</c:f>
              <c:numCache>
                <c:formatCode>General</c:formatCode>
                <c:ptCount val="6"/>
                <c:pt idx="0">
                  <c:v>2016</c:v>
                </c:pt>
                <c:pt idx="1">
                  <c:v>2017</c:v>
                </c:pt>
                <c:pt idx="2">
                  <c:v>2018</c:v>
                </c:pt>
                <c:pt idx="3">
                  <c:v>2019</c:v>
                </c:pt>
                <c:pt idx="4">
                  <c:v>2020</c:v>
                </c:pt>
                <c:pt idx="5">
                  <c:v>2021</c:v>
                </c:pt>
              </c:numCache>
            </c:numRef>
          </c:cat>
          <c:val>
            <c:numRef>
              <c:f>'BJ Qendror sipas Koncesionalite'!$B$4:$G$4</c:f>
              <c:numCache>
                <c:formatCode>_(* #,##0.0_);_(* \(#,##0.0\);_(* "-"??_);_(@_)</c:formatCode>
                <c:ptCount val="6"/>
                <c:pt idx="0">
                  <c:v>1865.3915</c:v>
                </c:pt>
                <c:pt idx="1">
                  <c:v>1939.6977999999999</c:v>
                </c:pt>
                <c:pt idx="2">
                  <c:v>1952.69</c:v>
                </c:pt>
                <c:pt idx="3">
                  <c:v>1927.5329999999999</c:v>
                </c:pt>
                <c:pt idx="4">
                  <c:v>1834.7692</c:v>
                </c:pt>
                <c:pt idx="5">
                  <c:v>1951.81574</c:v>
                </c:pt>
              </c:numCache>
            </c:numRef>
          </c:val>
          <c:extLst xmlns:c16r2="http://schemas.microsoft.com/office/drawing/2015/06/chart">
            <c:ext xmlns:c16="http://schemas.microsoft.com/office/drawing/2014/chart" uri="{C3380CC4-5D6E-409C-BE32-E72D297353CC}">
              <c16:uniqueId val="{00000000-0735-43A5-9B59-3142A62D20D1}"/>
            </c:ext>
          </c:extLst>
        </c:ser>
        <c:ser>
          <c:idx val="1"/>
          <c:order val="1"/>
          <c:tx>
            <c:strRef>
              <c:f>'BJ Qendror sipas Koncesionalite'!$A$5</c:f>
              <c:strCache>
                <c:ptCount val="1"/>
                <c:pt idx="0">
                  <c:v>Jo-koncesionale</c:v>
                </c:pt>
              </c:strCache>
            </c:strRef>
          </c:tx>
          <c:spPr>
            <a:solidFill>
              <a:srgbClr val="C00000"/>
            </a:solidFill>
            <a:ln>
              <a:noFill/>
            </a:ln>
            <a:effectLst/>
          </c:spPr>
          <c:invertIfNegative val="0"/>
          <c:cat>
            <c:numRef>
              <c:f>'BJ Qendror sipas Koncesionalite'!$B$3:$G$3</c:f>
              <c:numCache>
                <c:formatCode>General</c:formatCode>
                <c:ptCount val="6"/>
                <c:pt idx="0">
                  <c:v>2016</c:v>
                </c:pt>
                <c:pt idx="1">
                  <c:v>2017</c:v>
                </c:pt>
                <c:pt idx="2">
                  <c:v>2018</c:v>
                </c:pt>
                <c:pt idx="3">
                  <c:v>2019</c:v>
                </c:pt>
                <c:pt idx="4">
                  <c:v>2020</c:v>
                </c:pt>
                <c:pt idx="5">
                  <c:v>2021</c:v>
                </c:pt>
              </c:numCache>
            </c:numRef>
          </c:cat>
          <c:val>
            <c:numRef>
              <c:f>'BJ Qendror sipas Koncesionalite'!$B$5:$G$5</c:f>
              <c:numCache>
                <c:formatCode>_(* #,##0.0_);_(* \(#,##0.0\);_(* "-"??_);_(@_)</c:formatCode>
                <c:ptCount val="6"/>
                <c:pt idx="0">
                  <c:v>1865.9490000000001</c:v>
                </c:pt>
                <c:pt idx="1">
                  <c:v>1898.4829999999999</c:v>
                </c:pt>
                <c:pt idx="2">
                  <c:v>2311.2739999999999</c:v>
                </c:pt>
                <c:pt idx="3">
                  <c:v>2299.7330999999999</c:v>
                </c:pt>
                <c:pt idx="4">
                  <c:v>2853.5929000000001</c:v>
                </c:pt>
                <c:pt idx="5">
                  <c:v>3682.5461500000001</c:v>
                </c:pt>
              </c:numCache>
            </c:numRef>
          </c:val>
          <c:extLst xmlns:c16r2="http://schemas.microsoft.com/office/drawing/2015/06/chart">
            <c:ext xmlns:c16="http://schemas.microsoft.com/office/drawing/2014/chart" uri="{C3380CC4-5D6E-409C-BE32-E72D297353CC}">
              <c16:uniqueId val="{00000001-0735-43A5-9B59-3142A62D20D1}"/>
            </c:ext>
          </c:extLst>
        </c:ser>
        <c:dLbls>
          <c:showLegendKey val="0"/>
          <c:showVal val="0"/>
          <c:showCatName val="0"/>
          <c:showSerName val="0"/>
          <c:showPercent val="0"/>
          <c:showBubbleSize val="0"/>
        </c:dLbls>
        <c:gapWidth val="219"/>
        <c:overlap val="-27"/>
        <c:axId val="50371632"/>
        <c:axId val="50365648"/>
      </c:barChart>
      <c:catAx>
        <c:axId val="503716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365648"/>
        <c:crosses val="autoZero"/>
        <c:auto val="1"/>
        <c:lblAlgn val="ctr"/>
        <c:lblOffset val="100"/>
        <c:tickMarkSkip val="1"/>
        <c:noMultiLvlLbl val="0"/>
      </c:catAx>
      <c:valAx>
        <c:axId val="50365648"/>
        <c:scaling>
          <c:orientation val="minMax"/>
          <c:max val="20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sq-AL" sz="900" b="1">
                    <a:solidFill>
                      <a:sysClr val="windowText" lastClr="000000"/>
                    </a:solidFill>
                  </a:rPr>
                  <a:t>në milion Euro</a:t>
                </a:r>
                <a:endParaRPr lang="en-US" sz="900" b="1">
                  <a:solidFill>
                    <a:sysClr val="windowText" lastClr="000000"/>
                  </a:solidFill>
                </a:endParaRPr>
              </a:p>
            </c:rich>
          </c:tx>
          <c:layout>
            <c:manualLayout>
              <c:xMode val="edge"/>
              <c:yMode val="edge"/>
              <c:x val="7.9515642356871058E-2"/>
              <c:y val="0.26501498336330004"/>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crossAx val="50371632"/>
        <c:crosses val="autoZero"/>
        <c:crossBetween val="between"/>
        <c:majorUnit val="500"/>
      </c:valAx>
      <c:dTable>
        <c:showHorzBorder val="1"/>
        <c:showVertBorder val="1"/>
        <c:showOutline val="1"/>
        <c:showKeys val="1"/>
        <c:spPr>
          <a:noFill/>
          <a:ln w="9525" cap="flat" cmpd="sng" algn="ctr">
            <a:solidFill>
              <a:schemeClr val="tx1"/>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0586933390083"/>
          <c:y val="0.15324225744908604"/>
          <c:w val="0.81318294672625369"/>
          <c:h val="0.47165415754391693"/>
        </c:manualLayout>
      </c:layout>
      <c:barChart>
        <c:barDir val="col"/>
        <c:grouping val="clustered"/>
        <c:varyColors val="0"/>
        <c:ser>
          <c:idx val="0"/>
          <c:order val="0"/>
          <c:tx>
            <c:strRef>
              <c:f>'BJ qendror sipas kreditoreve'!$A$5</c:f>
              <c:strCache>
                <c:ptCount val="1"/>
                <c:pt idx="0">
                  <c:v>Shumëpalësh </c:v>
                </c:pt>
              </c:strCache>
            </c:strRef>
          </c:tx>
          <c:spPr>
            <a:solidFill>
              <a:srgbClr val="C00000"/>
            </a:solidFill>
            <a:ln>
              <a:noFill/>
            </a:ln>
            <a:effectLst/>
          </c:spPr>
          <c:invertIfNegative val="0"/>
          <c:cat>
            <c:numRef>
              <c:f>'BJ qendror sipas kreditoreve'!$C$4:$H$4</c:f>
              <c:numCache>
                <c:formatCode>General</c:formatCode>
                <c:ptCount val="5"/>
                <c:pt idx="0">
                  <c:v>2017</c:v>
                </c:pt>
                <c:pt idx="1">
                  <c:v>2018</c:v>
                </c:pt>
                <c:pt idx="2">
                  <c:v>2019</c:v>
                </c:pt>
                <c:pt idx="3">
                  <c:v>2020</c:v>
                </c:pt>
                <c:pt idx="4">
                  <c:v>2021</c:v>
                </c:pt>
              </c:numCache>
            </c:numRef>
          </c:cat>
          <c:val>
            <c:numRef>
              <c:f>'BJ qendror sipas kreditoreve'!$C$5:$H$5</c:f>
              <c:numCache>
                <c:formatCode>_(* #,##0.0_);_(* \(#,##0.0\);_(* "-"??_);_(@_)</c:formatCode>
                <c:ptCount val="5"/>
                <c:pt idx="0">
                  <c:v>2252.7105999999999</c:v>
                </c:pt>
                <c:pt idx="1">
                  <c:v>2417.4804999999997</c:v>
                </c:pt>
                <c:pt idx="2">
                  <c:v>2426.3351300000004</c:v>
                </c:pt>
                <c:pt idx="3">
                  <c:v>2532.7607800000005</c:v>
                </c:pt>
                <c:pt idx="4">
                  <c:v>2754.9140499999999</c:v>
                </c:pt>
              </c:numCache>
            </c:numRef>
          </c:val>
          <c:extLst xmlns:c16r2="http://schemas.microsoft.com/office/drawing/2015/06/chart">
            <c:ext xmlns:c16="http://schemas.microsoft.com/office/drawing/2014/chart" uri="{C3380CC4-5D6E-409C-BE32-E72D297353CC}">
              <c16:uniqueId val="{00000000-94D7-48E2-BFA0-0DBD713F3E8A}"/>
            </c:ext>
          </c:extLst>
        </c:ser>
        <c:ser>
          <c:idx val="1"/>
          <c:order val="1"/>
          <c:tx>
            <c:strRef>
              <c:f>'BJ qendror sipas kreditoreve'!$A$6</c:f>
              <c:strCache>
                <c:ptCount val="1"/>
                <c:pt idx="0">
                  <c:v>Dypalësh </c:v>
                </c:pt>
              </c:strCache>
            </c:strRef>
          </c:tx>
          <c:spPr>
            <a:solidFill>
              <a:schemeClr val="accent1">
                <a:lumMod val="75000"/>
              </a:schemeClr>
            </a:solidFill>
            <a:ln>
              <a:noFill/>
            </a:ln>
            <a:effectLst/>
          </c:spPr>
          <c:invertIfNegative val="0"/>
          <c:cat>
            <c:numRef>
              <c:f>'BJ qendror sipas kreditoreve'!$C$4:$H$4</c:f>
              <c:numCache>
                <c:formatCode>General</c:formatCode>
                <c:ptCount val="5"/>
                <c:pt idx="0">
                  <c:v>2017</c:v>
                </c:pt>
                <c:pt idx="1">
                  <c:v>2018</c:v>
                </c:pt>
                <c:pt idx="2">
                  <c:v>2019</c:v>
                </c:pt>
                <c:pt idx="3">
                  <c:v>2020</c:v>
                </c:pt>
                <c:pt idx="4">
                  <c:v>2021</c:v>
                </c:pt>
              </c:numCache>
            </c:numRef>
          </c:cat>
          <c:val>
            <c:numRef>
              <c:f>'BJ qendror sipas kreditoreve'!$C$6:$H$6</c:f>
              <c:numCache>
                <c:formatCode>_(* #,##0.0_);_(* \(#,##0.0\);_(* "-"??_);_(@_)</c:formatCode>
                <c:ptCount val="5"/>
                <c:pt idx="0">
                  <c:v>728.93702699999994</c:v>
                </c:pt>
                <c:pt idx="1">
                  <c:v>735.16870000000006</c:v>
                </c:pt>
                <c:pt idx="2">
                  <c:v>739.13948000000016</c:v>
                </c:pt>
                <c:pt idx="3">
                  <c:v>723.46079999999995</c:v>
                </c:pt>
                <c:pt idx="4">
                  <c:v>825.44753000000003</c:v>
                </c:pt>
              </c:numCache>
            </c:numRef>
          </c:val>
          <c:extLst xmlns:c16r2="http://schemas.microsoft.com/office/drawing/2015/06/chart">
            <c:ext xmlns:c16="http://schemas.microsoft.com/office/drawing/2014/chart" uri="{C3380CC4-5D6E-409C-BE32-E72D297353CC}">
              <c16:uniqueId val="{00000001-94D7-48E2-BFA0-0DBD713F3E8A}"/>
            </c:ext>
          </c:extLst>
        </c:ser>
        <c:ser>
          <c:idx val="2"/>
          <c:order val="2"/>
          <c:tx>
            <c:strRef>
              <c:f>'BJ qendror sipas kreditoreve'!$A$7</c:f>
              <c:strCache>
                <c:ptCount val="1"/>
                <c:pt idx="0">
                  <c:v>Kreditorë privatë </c:v>
                </c:pt>
              </c:strCache>
            </c:strRef>
          </c:tx>
          <c:spPr>
            <a:solidFill>
              <a:schemeClr val="bg1">
                <a:lumMod val="65000"/>
              </a:schemeClr>
            </a:solidFill>
            <a:ln>
              <a:noFill/>
            </a:ln>
            <a:effectLst/>
          </c:spPr>
          <c:invertIfNegative val="0"/>
          <c:cat>
            <c:numRef>
              <c:f>'BJ qendror sipas kreditoreve'!$C$4:$H$4</c:f>
              <c:numCache>
                <c:formatCode>General</c:formatCode>
                <c:ptCount val="5"/>
                <c:pt idx="0">
                  <c:v>2017</c:v>
                </c:pt>
                <c:pt idx="1">
                  <c:v>2018</c:v>
                </c:pt>
                <c:pt idx="2">
                  <c:v>2019</c:v>
                </c:pt>
                <c:pt idx="3">
                  <c:v>2020</c:v>
                </c:pt>
                <c:pt idx="4">
                  <c:v>2021</c:v>
                </c:pt>
              </c:numCache>
            </c:numRef>
          </c:cat>
          <c:val>
            <c:numRef>
              <c:f>'BJ qendror sipas kreditoreve'!$C$7:$H$7</c:f>
              <c:numCache>
                <c:formatCode>_(* #,##0.0_);_(* \(#,##0.0\);_(* "-"??_);_(@_)</c:formatCode>
                <c:ptCount val="5"/>
                <c:pt idx="0">
                  <c:v>840.048</c:v>
                </c:pt>
                <c:pt idx="1">
                  <c:v>1099.6125</c:v>
                </c:pt>
                <c:pt idx="2">
                  <c:v>1054.1770999999999</c:v>
                </c:pt>
                <c:pt idx="3">
                  <c:v>1429.6666</c:v>
                </c:pt>
                <c:pt idx="4">
                  <c:v>2053.9999499999999</c:v>
                </c:pt>
              </c:numCache>
            </c:numRef>
          </c:val>
          <c:extLst xmlns:c16r2="http://schemas.microsoft.com/office/drawing/2015/06/chart">
            <c:ext xmlns:c16="http://schemas.microsoft.com/office/drawing/2014/chart" uri="{C3380CC4-5D6E-409C-BE32-E72D297353CC}">
              <c16:uniqueId val="{00000002-94D7-48E2-BFA0-0DBD713F3E8A}"/>
            </c:ext>
          </c:extLst>
        </c:ser>
        <c:ser>
          <c:idx val="3"/>
          <c:order val="3"/>
          <c:tx>
            <c:strRef>
              <c:f>'BJ qendror sipas kreditoreve'!$A$8</c:f>
              <c:strCache>
                <c:ptCount val="1"/>
                <c:pt idx="0">
                  <c:v>Borxhi i riskeduluar </c:v>
                </c:pt>
              </c:strCache>
            </c:strRef>
          </c:tx>
          <c:spPr>
            <a:solidFill>
              <a:schemeClr val="accent6"/>
            </a:solidFill>
            <a:ln>
              <a:noFill/>
            </a:ln>
            <a:effectLst/>
          </c:spPr>
          <c:invertIfNegative val="0"/>
          <c:cat>
            <c:numRef>
              <c:f>'BJ qendror sipas kreditoreve'!$C$4:$H$4</c:f>
              <c:numCache>
                <c:formatCode>General</c:formatCode>
                <c:ptCount val="5"/>
                <c:pt idx="0">
                  <c:v>2017</c:v>
                </c:pt>
                <c:pt idx="1">
                  <c:v>2018</c:v>
                </c:pt>
                <c:pt idx="2">
                  <c:v>2019</c:v>
                </c:pt>
                <c:pt idx="3">
                  <c:v>2020</c:v>
                </c:pt>
                <c:pt idx="4">
                  <c:v>2021</c:v>
                </c:pt>
              </c:numCache>
            </c:numRef>
          </c:cat>
          <c:val>
            <c:numRef>
              <c:f>'BJ qendror sipas kreditoreve'!$C$8:$H$8</c:f>
              <c:numCache>
                <c:formatCode>_(* #,##0.0_);_(* \(#,##0.0\);_(* "-"??_);_(@_)</c:formatCode>
                <c:ptCount val="5"/>
                <c:pt idx="0">
                  <c:v>16.481120000000001</c:v>
                </c:pt>
                <c:pt idx="1">
                  <c:v>11.7012</c:v>
                </c:pt>
                <c:pt idx="2">
                  <c:v>7.6142000000000003</c:v>
                </c:pt>
                <c:pt idx="3">
                  <c:v>2.4729000000000001</c:v>
                </c:pt>
                <c:pt idx="4">
                  <c:v>0</c:v>
                </c:pt>
              </c:numCache>
            </c:numRef>
          </c:val>
          <c:extLst xmlns:c16r2="http://schemas.microsoft.com/office/drawing/2015/06/chart">
            <c:ext xmlns:c16="http://schemas.microsoft.com/office/drawing/2014/chart" uri="{C3380CC4-5D6E-409C-BE32-E72D297353CC}">
              <c16:uniqueId val="{00000003-94D7-48E2-BFA0-0DBD713F3E8A}"/>
            </c:ext>
          </c:extLst>
        </c:ser>
        <c:dLbls>
          <c:showLegendKey val="0"/>
          <c:showVal val="0"/>
          <c:showCatName val="0"/>
          <c:showSerName val="0"/>
          <c:showPercent val="0"/>
          <c:showBubbleSize val="0"/>
        </c:dLbls>
        <c:gapWidth val="150"/>
        <c:axId val="1930911696"/>
        <c:axId val="1930899728"/>
      </c:barChart>
      <c:catAx>
        <c:axId val="1930911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0899728"/>
        <c:crosses val="autoZero"/>
        <c:auto val="1"/>
        <c:lblAlgn val="ctr"/>
        <c:lblOffset val="100"/>
        <c:noMultiLvlLbl val="0"/>
      </c:catAx>
      <c:valAx>
        <c:axId val="1930899728"/>
        <c:scaling>
          <c:orientation val="minMax"/>
          <c:max val="20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sq-AL" sz="900" b="1">
                    <a:solidFill>
                      <a:sysClr val="windowText" lastClr="000000"/>
                    </a:solidFill>
                  </a:rPr>
                  <a:t>në </a:t>
                </a:r>
                <a:r>
                  <a:rPr lang="en-US" sz="900" b="1">
                    <a:solidFill>
                      <a:sysClr val="windowText" lastClr="000000"/>
                    </a:solidFill>
                  </a:rPr>
                  <a:t> million E</a:t>
                </a:r>
                <a:r>
                  <a:rPr lang="sq-AL" sz="900" b="1">
                    <a:solidFill>
                      <a:sysClr val="windowText" lastClr="000000"/>
                    </a:solidFill>
                  </a:rPr>
                  <a:t>uro</a:t>
                </a:r>
                <a:endParaRPr lang="en-US" sz="900" b="1">
                  <a:solidFill>
                    <a:sysClr val="windowText" lastClr="000000"/>
                  </a:solidFill>
                </a:endParaRPr>
              </a:p>
            </c:rich>
          </c:tx>
          <c:layout>
            <c:manualLayout>
              <c:xMode val="edge"/>
              <c:yMode val="edge"/>
              <c:x val="9.5983253234898147E-2"/>
              <c:y val="0.20705422263234655"/>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rgbClr val="000000"/>
            </a:solidFill>
          </a:ln>
          <a:effectLst/>
        </c:spPr>
        <c:txPr>
          <a:bodyPr rot="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1930911696"/>
        <c:crosses val="autoZero"/>
        <c:crossBetween val="between"/>
        <c:majorUnit val="500"/>
      </c:valAx>
      <c:dTable>
        <c:showHorzBorder val="1"/>
        <c:showVertBorder val="1"/>
        <c:showOutline val="1"/>
        <c:showKeys val="1"/>
        <c:spPr>
          <a:noFill/>
          <a:ln w="9525" cap="flat" cmpd="sng" algn="ctr">
            <a:solidFill>
              <a:srgbClr val="000000"/>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59254350264166"/>
          <c:y val="6.9466371960846221E-2"/>
          <c:w val="0.81407695509086619"/>
          <c:h val="0.69009544788903276"/>
        </c:manualLayout>
      </c:layout>
      <c:barChart>
        <c:barDir val="col"/>
        <c:grouping val="stacked"/>
        <c:varyColors val="0"/>
        <c:ser>
          <c:idx val="0"/>
          <c:order val="0"/>
          <c:tx>
            <c:strRef>
              <c:f>'Kompozimi sipas interesit'!$A$9</c:f>
              <c:strCache>
                <c:ptCount val="1"/>
                <c:pt idx="0">
                  <c:v>Fiks</c:v>
                </c:pt>
              </c:strCache>
            </c:strRef>
          </c:tx>
          <c:spPr>
            <a:solidFill>
              <a:schemeClr val="accent1"/>
            </a:solidFill>
            <a:ln>
              <a:noFill/>
            </a:ln>
            <a:effectLst/>
          </c:spPr>
          <c:invertIfNegative val="0"/>
          <c:dLbls>
            <c:dLbl>
              <c:idx val="0"/>
              <c:layout>
                <c:manualLayout>
                  <c:x val="-8.7931413497472372E-3"/>
                  <c:y val="2.498438475952529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3965706748735987E-3"/>
                  <c:y val="3.123048094940662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0602864574846295E-17"/>
                  <c:y val="3.747657713928794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0602864574846295E-17"/>
                  <c:y val="3.747657713928794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6120572914969259E-16"/>
                  <c:y val="1.873828856964397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interesit'!$C$8:$G$8</c:f>
              <c:strCache>
                <c:ptCount val="5"/>
                <c:pt idx="0">
                  <c:v>2017</c:v>
                </c:pt>
                <c:pt idx="1">
                  <c:v>2018</c:v>
                </c:pt>
                <c:pt idx="2">
                  <c:v>2019</c:v>
                </c:pt>
                <c:pt idx="3">
                  <c:v>2020*</c:v>
                </c:pt>
                <c:pt idx="4">
                  <c:v>2021</c:v>
                </c:pt>
              </c:strCache>
            </c:strRef>
          </c:cat>
          <c:val>
            <c:numRef>
              <c:f>'Kompozimi sipas interesit'!$C$9:$G$9</c:f>
              <c:numCache>
                <c:formatCode>0.0%</c:formatCode>
                <c:ptCount val="5"/>
                <c:pt idx="0">
                  <c:v>0.9120890588503141</c:v>
                </c:pt>
                <c:pt idx="1">
                  <c:v>0.93514088654326621</c:v>
                </c:pt>
                <c:pt idx="2">
                  <c:v>0.95232828722443164</c:v>
                </c:pt>
                <c:pt idx="3">
                  <c:v>0.97079033208960674</c:v>
                </c:pt>
                <c:pt idx="4">
                  <c:v>0.98250768239977171</c:v>
                </c:pt>
              </c:numCache>
            </c:numRef>
          </c:val>
          <c:extLst xmlns:c16r2="http://schemas.microsoft.com/office/drawing/2015/06/chart">
            <c:ext xmlns:c16="http://schemas.microsoft.com/office/drawing/2014/chart" uri="{C3380CC4-5D6E-409C-BE32-E72D297353CC}">
              <c16:uniqueId val="{00000000-6BAA-4C17-8BED-28EED24692CB}"/>
            </c:ext>
          </c:extLst>
        </c:ser>
        <c:ser>
          <c:idx val="1"/>
          <c:order val="1"/>
          <c:tx>
            <c:strRef>
              <c:f>'Kompozimi sipas interesit'!$A$10</c:f>
              <c:strCache>
                <c:ptCount val="1"/>
                <c:pt idx="0">
                  <c:v>Me norma të ndryshueshme</c:v>
                </c:pt>
              </c:strCache>
            </c:strRef>
          </c:tx>
          <c:spPr>
            <a:solidFill>
              <a:srgbClr val="C00000"/>
            </a:solidFill>
            <a:ln>
              <a:noFill/>
            </a:ln>
            <a:effectLst/>
          </c:spPr>
          <c:invertIfNegative val="0"/>
          <c:dLbls>
            <c:dLbl>
              <c:idx val="4"/>
              <c:layout>
                <c:manualLayout>
                  <c:x val="-1.6120572914969259E-16"/>
                  <c:y val="3.123048094940662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interesit'!$C$8:$G$8</c:f>
              <c:strCache>
                <c:ptCount val="5"/>
                <c:pt idx="0">
                  <c:v>2017</c:v>
                </c:pt>
                <c:pt idx="1">
                  <c:v>2018</c:v>
                </c:pt>
                <c:pt idx="2">
                  <c:v>2019</c:v>
                </c:pt>
                <c:pt idx="3">
                  <c:v>2020*</c:v>
                </c:pt>
                <c:pt idx="4">
                  <c:v>2021</c:v>
                </c:pt>
              </c:strCache>
            </c:strRef>
          </c:cat>
          <c:val>
            <c:numRef>
              <c:f>'Kompozimi sipas interesit'!$C$10:$G$10</c:f>
              <c:numCache>
                <c:formatCode>0.0%</c:formatCode>
                <c:ptCount val="5"/>
                <c:pt idx="0">
                  <c:v>8.7910941149686006E-2</c:v>
                </c:pt>
                <c:pt idx="1">
                  <c:v>6.485911345673373E-2</c:v>
                </c:pt>
                <c:pt idx="2">
                  <c:v>4.7671712775568281E-2</c:v>
                </c:pt>
                <c:pt idx="3">
                  <c:v>2.9209667910393308E-2</c:v>
                </c:pt>
                <c:pt idx="4">
                  <c:v>1.7492317600228364E-2</c:v>
                </c:pt>
              </c:numCache>
            </c:numRef>
          </c:val>
          <c:extLst xmlns:c16r2="http://schemas.microsoft.com/office/drawing/2015/06/chart">
            <c:ext xmlns:c16="http://schemas.microsoft.com/office/drawing/2014/chart" uri="{C3380CC4-5D6E-409C-BE32-E72D297353CC}">
              <c16:uniqueId val="{00000001-6BAA-4C17-8BED-28EED24692CB}"/>
            </c:ext>
          </c:extLst>
        </c:ser>
        <c:dLbls>
          <c:showLegendKey val="0"/>
          <c:showVal val="0"/>
          <c:showCatName val="0"/>
          <c:showSerName val="0"/>
          <c:showPercent val="0"/>
          <c:showBubbleSize val="0"/>
        </c:dLbls>
        <c:gapWidth val="78"/>
        <c:overlap val="100"/>
        <c:axId val="1895058944"/>
        <c:axId val="1895064928"/>
      </c:barChart>
      <c:catAx>
        <c:axId val="18950589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895064928"/>
        <c:crosses val="autoZero"/>
        <c:auto val="1"/>
        <c:lblAlgn val="ctr"/>
        <c:lblOffset val="100"/>
        <c:noMultiLvlLbl val="0"/>
      </c:catAx>
      <c:valAx>
        <c:axId val="1895064928"/>
        <c:scaling>
          <c:orientation val="minMax"/>
          <c:max val="1"/>
          <c:min val="0.2"/>
        </c:scaling>
        <c:delete val="0"/>
        <c:axPos val="l"/>
        <c:numFmt formatCode="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895058944"/>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60519473847936"/>
          <c:y val="7.6332493836500537E-2"/>
          <c:w val="0.87962875122537387"/>
          <c:h val="0.66675856049171678"/>
        </c:manualLayout>
      </c:layout>
      <c:barChart>
        <c:barDir val="col"/>
        <c:grouping val="stacked"/>
        <c:varyColors val="0"/>
        <c:ser>
          <c:idx val="0"/>
          <c:order val="0"/>
          <c:tx>
            <c:strRef>
              <c:f>'BB sipas titujve'!$A$23</c:f>
              <c:strCache>
                <c:ptCount val="1"/>
                <c:pt idx="0">
                  <c:v>Deri në 1 vit</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titujve'!$B$22:$H$22</c:f>
              <c:strCache>
                <c:ptCount val="5"/>
                <c:pt idx="0">
                  <c:v>2017</c:v>
                </c:pt>
                <c:pt idx="1">
                  <c:v>2018</c:v>
                </c:pt>
                <c:pt idx="2">
                  <c:v>2019</c:v>
                </c:pt>
                <c:pt idx="3">
                  <c:v>2020</c:v>
                </c:pt>
                <c:pt idx="4">
                  <c:v>2021</c:v>
                </c:pt>
              </c:strCache>
              <c:extLst/>
            </c:strRef>
          </c:cat>
          <c:val>
            <c:numRef>
              <c:f>'BB sipas titujve'!$B$23:$H$23</c:f>
              <c:numCache>
                <c:formatCode>0.0%</c:formatCode>
                <c:ptCount val="5"/>
                <c:pt idx="0">
                  <c:v>0.35661495929817533</c:v>
                </c:pt>
                <c:pt idx="1">
                  <c:v>0.3442709566429682</c:v>
                </c:pt>
                <c:pt idx="2">
                  <c:v>0.33280782747200321</c:v>
                </c:pt>
                <c:pt idx="3">
                  <c:v>0.31775421977996743</c:v>
                </c:pt>
                <c:pt idx="4">
                  <c:v>0.2977131737423338</c:v>
                </c:pt>
              </c:numCache>
              <c:extLst/>
            </c:numRef>
          </c:val>
          <c:extLst xmlns:c16r2="http://schemas.microsoft.com/office/drawing/2015/06/chart">
            <c:ext xmlns:c16="http://schemas.microsoft.com/office/drawing/2014/chart" uri="{C3380CC4-5D6E-409C-BE32-E72D297353CC}">
              <c16:uniqueId val="{00000000-7447-4BBD-BE0A-A4A8D4EDE943}"/>
            </c:ext>
          </c:extLst>
        </c:ser>
        <c:ser>
          <c:idx val="1"/>
          <c:order val="1"/>
          <c:tx>
            <c:strRef>
              <c:f>'BB sipas titujve'!$A$24</c:f>
              <c:strCache>
                <c:ptCount val="1"/>
                <c:pt idx="0">
                  <c:v>1 deri në 3 vite</c:v>
                </c:pt>
              </c:strCache>
            </c:strRef>
          </c:tx>
          <c:spPr>
            <a:solidFill>
              <a:srgbClr val="C000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titujve'!$B$22:$H$22</c:f>
              <c:strCache>
                <c:ptCount val="5"/>
                <c:pt idx="0">
                  <c:v>2017</c:v>
                </c:pt>
                <c:pt idx="1">
                  <c:v>2018</c:v>
                </c:pt>
                <c:pt idx="2">
                  <c:v>2019</c:v>
                </c:pt>
                <c:pt idx="3">
                  <c:v>2020</c:v>
                </c:pt>
                <c:pt idx="4">
                  <c:v>2021</c:v>
                </c:pt>
              </c:strCache>
              <c:extLst/>
            </c:strRef>
          </c:cat>
          <c:val>
            <c:numRef>
              <c:f>'BB sipas titujve'!$B$24:$H$24</c:f>
              <c:numCache>
                <c:formatCode>0.0%</c:formatCode>
                <c:ptCount val="5"/>
                <c:pt idx="0">
                  <c:v>0.21967232831650157</c:v>
                </c:pt>
                <c:pt idx="1">
                  <c:v>0.211345530552463</c:v>
                </c:pt>
                <c:pt idx="2">
                  <c:v>0.19409928641828114</c:v>
                </c:pt>
                <c:pt idx="3">
                  <c:v>0.22323347449328904</c:v>
                </c:pt>
                <c:pt idx="4">
                  <c:v>0.23831912828720589</c:v>
                </c:pt>
              </c:numCache>
              <c:extLst/>
            </c:numRef>
          </c:val>
          <c:extLst xmlns:c16r2="http://schemas.microsoft.com/office/drawing/2015/06/chart">
            <c:ext xmlns:c16="http://schemas.microsoft.com/office/drawing/2014/chart" uri="{C3380CC4-5D6E-409C-BE32-E72D297353CC}">
              <c16:uniqueId val="{00000001-7447-4BBD-BE0A-A4A8D4EDE943}"/>
            </c:ext>
          </c:extLst>
        </c:ser>
        <c:ser>
          <c:idx val="2"/>
          <c:order val="2"/>
          <c:tx>
            <c:strRef>
              <c:f>'BB sipas titujve'!$A$25</c:f>
              <c:strCache>
                <c:ptCount val="1"/>
                <c:pt idx="0">
                  <c:v>3 deri në 5 vite</c:v>
                </c:pt>
              </c:strCache>
            </c:strRef>
          </c:tx>
          <c:spPr>
            <a:solidFill>
              <a:schemeClr val="bg1">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titujve'!$B$22:$H$22</c:f>
              <c:strCache>
                <c:ptCount val="5"/>
                <c:pt idx="0">
                  <c:v>2017</c:v>
                </c:pt>
                <c:pt idx="1">
                  <c:v>2018</c:v>
                </c:pt>
                <c:pt idx="2">
                  <c:v>2019</c:v>
                </c:pt>
                <c:pt idx="3">
                  <c:v>2020</c:v>
                </c:pt>
                <c:pt idx="4">
                  <c:v>2021</c:v>
                </c:pt>
              </c:strCache>
              <c:extLst/>
            </c:strRef>
          </c:cat>
          <c:val>
            <c:numRef>
              <c:f>'BB sipas titujve'!$B$25:$H$25</c:f>
              <c:numCache>
                <c:formatCode>0.0%</c:formatCode>
                <c:ptCount val="5"/>
                <c:pt idx="0">
                  <c:v>0.18854049117130847</c:v>
                </c:pt>
                <c:pt idx="1">
                  <c:v>0.17920198206823099</c:v>
                </c:pt>
                <c:pt idx="2">
                  <c:v>0.18478358708844891</c:v>
                </c:pt>
                <c:pt idx="3">
                  <c:v>0.17888171080938328</c:v>
                </c:pt>
                <c:pt idx="4">
                  <c:v>0.17345296226299609</c:v>
                </c:pt>
              </c:numCache>
              <c:extLst/>
            </c:numRef>
          </c:val>
          <c:extLst xmlns:c16r2="http://schemas.microsoft.com/office/drawing/2015/06/chart">
            <c:ext xmlns:c16="http://schemas.microsoft.com/office/drawing/2014/chart" uri="{C3380CC4-5D6E-409C-BE32-E72D297353CC}">
              <c16:uniqueId val="{00000002-7447-4BBD-BE0A-A4A8D4EDE943}"/>
            </c:ext>
          </c:extLst>
        </c:ser>
        <c:ser>
          <c:idx val="3"/>
          <c:order val="3"/>
          <c:tx>
            <c:strRef>
              <c:f>'BB sipas titujve'!$A$26</c:f>
              <c:strCache>
                <c:ptCount val="1"/>
                <c:pt idx="0">
                  <c:v>Mbi 5 vite</c:v>
                </c:pt>
              </c:strCache>
            </c:strRef>
          </c:tx>
          <c:spPr>
            <a:solidFill>
              <a:schemeClr val="accent6">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titujve'!$B$22:$H$22</c:f>
              <c:strCache>
                <c:ptCount val="5"/>
                <c:pt idx="0">
                  <c:v>2017</c:v>
                </c:pt>
                <c:pt idx="1">
                  <c:v>2018</c:v>
                </c:pt>
                <c:pt idx="2">
                  <c:v>2019</c:v>
                </c:pt>
                <c:pt idx="3">
                  <c:v>2020</c:v>
                </c:pt>
                <c:pt idx="4">
                  <c:v>2021</c:v>
                </c:pt>
              </c:strCache>
              <c:extLst/>
            </c:strRef>
          </c:cat>
          <c:val>
            <c:numRef>
              <c:f>'BB sipas titujve'!$B$26:$H$26</c:f>
              <c:numCache>
                <c:formatCode>0.0%</c:formatCode>
                <c:ptCount val="5"/>
                <c:pt idx="0">
                  <c:v>0.23517222121401465</c:v>
                </c:pt>
                <c:pt idx="1">
                  <c:v>0.26518153073633771</c:v>
                </c:pt>
                <c:pt idx="2">
                  <c:v>0.28830929902126662</c:v>
                </c:pt>
                <c:pt idx="3">
                  <c:v>0.28013059491736025</c:v>
                </c:pt>
                <c:pt idx="4">
                  <c:v>0.29051473570746428</c:v>
                </c:pt>
              </c:numCache>
              <c:extLst/>
            </c:numRef>
          </c:val>
          <c:extLst xmlns:c16r2="http://schemas.microsoft.com/office/drawing/2015/06/chart">
            <c:ext xmlns:c16="http://schemas.microsoft.com/office/drawing/2014/chart" uri="{C3380CC4-5D6E-409C-BE32-E72D297353CC}">
              <c16:uniqueId val="{00000003-7447-4BBD-BE0A-A4A8D4EDE943}"/>
            </c:ext>
          </c:extLst>
        </c:ser>
        <c:dLbls>
          <c:showLegendKey val="0"/>
          <c:showVal val="0"/>
          <c:showCatName val="0"/>
          <c:showSerName val="0"/>
          <c:showPercent val="0"/>
          <c:showBubbleSize val="0"/>
        </c:dLbls>
        <c:gapWidth val="78"/>
        <c:overlap val="100"/>
        <c:axId val="1762848144"/>
        <c:axId val="1959525712"/>
      </c:barChart>
      <c:catAx>
        <c:axId val="17628481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59525712"/>
        <c:crosses val="autoZero"/>
        <c:auto val="1"/>
        <c:lblAlgn val="ctr"/>
        <c:lblOffset val="100"/>
        <c:noMultiLvlLbl val="0"/>
      </c:catAx>
      <c:valAx>
        <c:axId val="1959525712"/>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762848144"/>
        <c:crosses val="autoZero"/>
        <c:crossBetween val="between"/>
        <c:majorUnit val="0.2"/>
      </c:valAx>
      <c:spPr>
        <a:noFill/>
        <a:ln>
          <a:noFill/>
        </a:ln>
        <a:effectLst/>
      </c:spPr>
    </c:plotArea>
    <c:legend>
      <c:legendPos val="b"/>
      <c:layout>
        <c:manualLayout>
          <c:xMode val="edge"/>
          <c:yMode val="edge"/>
          <c:x val="6.0160761154855635E-2"/>
          <c:y val="0.84645472563899526"/>
          <c:w val="0.91074183435403888"/>
          <c:h val="0.1186335312083491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94980131673485"/>
          <c:y val="5.0926077749364175E-2"/>
          <c:w val="0.87232174103237092"/>
          <c:h val="0.72979175300455856"/>
        </c:manualLayout>
      </c:layout>
      <c:barChart>
        <c:barDir val="col"/>
        <c:grouping val="percentStacked"/>
        <c:varyColors val="0"/>
        <c:ser>
          <c:idx val="0"/>
          <c:order val="0"/>
          <c:tx>
            <c:strRef>
              <c:f>'B.Jashtem sipas instr'!$A$13</c:f>
              <c:strCache>
                <c:ptCount val="1"/>
                <c:pt idx="0">
                  <c:v>Kredi</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instr'!$C$12:$H$12</c:f>
              <c:strCache>
                <c:ptCount val="5"/>
                <c:pt idx="0">
                  <c:v>2017</c:v>
                </c:pt>
                <c:pt idx="1">
                  <c:v>2018</c:v>
                </c:pt>
                <c:pt idx="2">
                  <c:v>2019</c:v>
                </c:pt>
                <c:pt idx="3">
                  <c:v>2020</c:v>
                </c:pt>
                <c:pt idx="4">
                  <c:v>2021</c:v>
                </c:pt>
              </c:strCache>
              <c:extLst/>
            </c:strRef>
          </c:cat>
          <c:val>
            <c:numRef>
              <c:f>'B.Jashtem sipas instr'!$C$13:$H$13</c:f>
              <c:numCache>
                <c:formatCode>0.0%</c:formatCode>
                <c:ptCount val="5"/>
                <c:pt idx="0">
                  <c:v>0.57612819477198618</c:v>
                </c:pt>
                <c:pt idx="1">
                  <c:v>0.53914670138026288</c:v>
                </c:pt>
                <c:pt idx="2">
                  <c:v>0.54409157434764577</c:v>
                </c:pt>
                <c:pt idx="3">
                  <c:v>0.47132575321232667</c:v>
                </c:pt>
                <c:pt idx="4">
                  <c:v>0.39211358445332251</c:v>
                </c:pt>
              </c:numCache>
              <c:extLst/>
            </c:numRef>
          </c:val>
          <c:extLst xmlns:c16r2="http://schemas.microsoft.com/office/drawing/2015/06/chart">
            <c:ext xmlns:c16="http://schemas.microsoft.com/office/drawing/2014/chart" uri="{C3380CC4-5D6E-409C-BE32-E72D297353CC}">
              <c16:uniqueId val="{00000000-0ED5-4306-9A98-07FE9996DBD4}"/>
            </c:ext>
          </c:extLst>
        </c:ser>
        <c:ser>
          <c:idx val="1"/>
          <c:order val="1"/>
          <c:tx>
            <c:strRef>
              <c:f>'B.Jashtem sipas instr'!$A$14</c:f>
              <c:strCache>
                <c:ptCount val="1"/>
                <c:pt idx="0">
                  <c:v>Mbështetje buxhetore</c:v>
                </c:pt>
              </c:strCache>
            </c:strRef>
          </c:tx>
          <c:spPr>
            <a:solidFill>
              <a:srgbClr val="C00000"/>
            </a:solidFill>
            <a:ln>
              <a:noFill/>
            </a:ln>
            <a:effectLst/>
          </c:spPr>
          <c:invertIfNegative val="0"/>
          <c:dLbls>
            <c:dLbl>
              <c:idx val="0"/>
              <c:layout>
                <c:manualLayout>
                  <c:x val="0"/>
                  <c:y val="1.38888888888888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ED5-4306-9A98-07FE9996DBD4}"/>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instr'!$C$12:$H$12</c:f>
              <c:strCache>
                <c:ptCount val="5"/>
                <c:pt idx="0">
                  <c:v>2017</c:v>
                </c:pt>
                <c:pt idx="1">
                  <c:v>2018</c:v>
                </c:pt>
                <c:pt idx="2">
                  <c:v>2019</c:v>
                </c:pt>
                <c:pt idx="3">
                  <c:v>2020</c:v>
                </c:pt>
                <c:pt idx="4">
                  <c:v>2021</c:v>
                </c:pt>
              </c:strCache>
              <c:extLst/>
            </c:strRef>
          </c:cat>
          <c:val>
            <c:numRef>
              <c:f>'B.Jashtem sipas instr'!$C$14:$H$14</c:f>
              <c:numCache>
                <c:formatCode>0.0%</c:formatCode>
                <c:ptCount val="5"/>
                <c:pt idx="0">
                  <c:v>0.23820938393569469</c:v>
                </c:pt>
                <c:pt idx="1">
                  <c:v>0.21987866803136147</c:v>
                </c:pt>
                <c:pt idx="2">
                  <c:v>0.21888377858205368</c:v>
                </c:pt>
                <c:pt idx="3">
                  <c:v>0.2219431347783323</c:v>
                </c:pt>
                <c:pt idx="4">
                  <c:v>0.23567850988798214</c:v>
                </c:pt>
              </c:numCache>
              <c:extLst/>
            </c:numRef>
          </c:val>
          <c:extLst xmlns:c16r2="http://schemas.microsoft.com/office/drawing/2015/06/chart">
            <c:ext xmlns:c16="http://schemas.microsoft.com/office/drawing/2014/chart" uri="{C3380CC4-5D6E-409C-BE32-E72D297353CC}">
              <c16:uniqueId val="{00000002-0ED5-4306-9A98-07FE9996DBD4}"/>
            </c:ext>
          </c:extLst>
        </c:ser>
        <c:ser>
          <c:idx val="2"/>
          <c:order val="2"/>
          <c:tx>
            <c:strRef>
              <c:f>'B.Jashtem sipas instr'!$A$15</c:f>
              <c:strCache>
                <c:ptCount val="1"/>
                <c:pt idx="0">
                  <c:v>Eurobond</c:v>
                </c:pt>
              </c:strCache>
            </c:strRef>
          </c:tx>
          <c:spPr>
            <a:solidFill>
              <a:schemeClr val="bg1">
                <a:lumMod val="65000"/>
              </a:schemeClr>
            </a:solidFill>
            <a:ln>
              <a:noFill/>
            </a:ln>
            <a:effectLst/>
          </c:spPr>
          <c:invertIfNegative val="0"/>
          <c:dLbls>
            <c:dLbl>
              <c:idx val="4"/>
              <c:layout>
                <c:manualLayout>
                  <c:x val="-5.5555555555555558E-3"/>
                  <c:y val="1.8518518518518517E-2"/>
                </c:manualLayout>
              </c:layout>
              <c:showLegendKey val="0"/>
              <c:showVal val="1"/>
              <c:showCatName val="0"/>
              <c:showSerName val="0"/>
              <c:showPercent val="0"/>
              <c:showBubbleSize val="0"/>
              <c:extLst xmlns:c15="http://schemas.microsoft.com/office/drawing/2012/chart" xmlns:c16r2="http://schemas.microsoft.com/office/drawing/2015/06/chart">
                <c:ext xmlns:c16="http://schemas.microsoft.com/office/drawing/2014/chart" uri="{C3380CC4-5D6E-409C-BE32-E72D297353CC}">
                  <c16:uniqueId val="{00000004-0ED5-4306-9A98-07FE9996DBD4}"/>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instr'!$C$12:$H$12</c:f>
              <c:strCache>
                <c:ptCount val="5"/>
                <c:pt idx="0">
                  <c:v>2017</c:v>
                </c:pt>
                <c:pt idx="1">
                  <c:v>2018</c:v>
                </c:pt>
                <c:pt idx="2">
                  <c:v>2019</c:v>
                </c:pt>
                <c:pt idx="3">
                  <c:v>2020</c:v>
                </c:pt>
                <c:pt idx="4">
                  <c:v>2021</c:v>
                </c:pt>
              </c:strCache>
              <c:extLst/>
            </c:strRef>
          </c:cat>
          <c:val>
            <c:numRef>
              <c:f>'B.Jashtem sipas instr'!$C$15:$H$15</c:f>
              <c:numCache>
                <c:formatCode>0.0%</c:formatCode>
                <c:ptCount val="5"/>
                <c:pt idx="0">
                  <c:v>0.12196801398765489</c:v>
                </c:pt>
                <c:pt idx="1">
                  <c:v>0.18632059066111512</c:v>
                </c:pt>
                <c:pt idx="2">
                  <c:v>0.18712472137128988</c:v>
                </c:pt>
                <c:pt idx="3">
                  <c:v>0.26128946578573492</c:v>
                </c:pt>
                <c:pt idx="4">
                  <c:v>0.33498711509282586</c:v>
                </c:pt>
              </c:numCache>
              <c:extLst/>
            </c:numRef>
          </c:val>
          <c:extLst xmlns:c16r2="http://schemas.microsoft.com/office/drawing/2015/06/chart">
            <c:ext xmlns:c16="http://schemas.microsoft.com/office/drawing/2014/chart" uri="{C3380CC4-5D6E-409C-BE32-E72D297353CC}">
              <c16:uniqueId val="{00000005-0ED5-4306-9A98-07FE9996DBD4}"/>
            </c:ext>
          </c:extLst>
        </c:ser>
        <c:ser>
          <c:idx val="3"/>
          <c:order val="3"/>
          <c:tx>
            <c:strRef>
              <c:f>'B.Jashtem sipas instr'!$A$16</c:f>
              <c:strCache>
                <c:ptCount val="1"/>
                <c:pt idx="0">
                  <c:v>PBG</c:v>
                </c:pt>
              </c:strCache>
            </c:strRef>
          </c:tx>
          <c:spPr>
            <a:solidFill>
              <a:schemeClr val="accent6"/>
            </a:solidFill>
            <a:ln>
              <a:noFill/>
            </a:ln>
            <a:effectLst/>
          </c:spPr>
          <c:invertIfNegative val="0"/>
          <c:dLbls>
            <c:dLbl>
              <c:idx val="2"/>
              <c:layout>
                <c:manualLayout>
                  <c:x val="-1.0303123017562329E-16"/>
                  <c:y val="-1.388888888888888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ED5-4306-9A98-07FE9996DBD4}"/>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instr'!$C$12:$H$12</c:f>
              <c:strCache>
                <c:ptCount val="5"/>
                <c:pt idx="0">
                  <c:v>2017</c:v>
                </c:pt>
                <c:pt idx="1">
                  <c:v>2018</c:v>
                </c:pt>
                <c:pt idx="2">
                  <c:v>2019</c:v>
                </c:pt>
                <c:pt idx="3">
                  <c:v>2020</c:v>
                </c:pt>
                <c:pt idx="4">
                  <c:v>2021</c:v>
                </c:pt>
              </c:strCache>
              <c:extLst/>
            </c:strRef>
          </c:cat>
          <c:val>
            <c:numRef>
              <c:f>'B.Jashtem sipas instr'!$C$16:$H$16</c:f>
              <c:numCache>
                <c:formatCode>0.0%</c:formatCode>
                <c:ptCount val="5"/>
                <c:pt idx="0">
                  <c:v>6.3694407304664219E-2</c:v>
                </c:pt>
                <c:pt idx="1">
                  <c:v>5.465403992726043E-2</c:v>
                </c:pt>
                <c:pt idx="2">
                  <c:v>4.9899925699010632E-2</c:v>
                </c:pt>
                <c:pt idx="3">
                  <c:v>4.5441646223606073E-2</c:v>
                </c:pt>
                <c:pt idx="4">
                  <c:v>3.7220790565869535E-2</c:v>
                </c:pt>
              </c:numCache>
              <c:extLst/>
            </c:numRef>
          </c:val>
          <c:extLst xmlns:c16r2="http://schemas.microsoft.com/office/drawing/2015/06/chart">
            <c:ext xmlns:c16="http://schemas.microsoft.com/office/drawing/2014/chart" uri="{C3380CC4-5D6E-409C-BE32-E72D297353CC}">
              <c16:uniqueId val="{00000008-0ED5-4306-9A98-07FE9996DBD4}"/>
            </c:ext>
          </c:extLst>
        </c:ser>
        <c:dLbls>
          <c:showLegendKey val="0"/>
          <c:showVal val="0"/>
          <c:showCatName val="0"/>
          <c:showSerName val="0"/>
          <c:showPercent val="0"/>
          <c:showBubbleSize val="0"/>
        </c:dLbls>
        <c:gapWidth val="78"/>
        <c:overlap val="100"/>
        <c:axId val="1858443552"/>
        <c:axId val="1858440832"/>
      </c:barChart>
      <c:catAx>
        <c:axId val="18584435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58440832"/>
        <c:crosses val="autoZero"/>
        <c:auto val="1"/>
        <c:lblAlgn val="ctr"/>
        <c:lblOffset val="100"/>
        <c:noMultiLvlLbl val="0"/>
      </c:catAx>
      <c:valAx>
        <c:axId val="1858440832"/>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858443552"/>
        <c:crosses val="autoZero"/>
        <c:crossBetween val="between"/>
        <c:majorUnit val="0.2"/>
      </c:valAx>
      <c:spPr>
        <a:noFill/>
        <a:ln>
          <a:noFill/>
        </a:ln>
        <a:effectLst/>
      </c:spPr>
    </c:plotArea>
    <c:legend>
      <c:legendPos val="b"/>
      <c:layout>
        <c:manualLayout>
          <c:xMode val="edge"/>
          <c:yMode val="edge"/>
          <c:x val="2.8070175438596492E-2"/>
          <c:y val="0.89616544809621712"/>
          <c:w val="0.9"/>
          <c:h val="9.80256643057578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 lastClr="FFFFFF">
          <a:lumMod val="75000"/>
        </a:sys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42498145178661"/>
          <c:y val="7.2895957587806495E-2"/>
          <c:w val="0.83081123218260333"/>
          <c:h val="0.72783266150086678"/>
        </c:manualLayout>
      </c:layout>
      <c:barChart>
        <c:barDir val="col"/>
        <c:grouping val="percentStacked"/>
        <c:varyColors val="0"/>
        <c:ser>
          <c:idx val="0"/>
          <c:order val="0"/>
          <c:tx>
            <c:strRef>
              <c:f>'Kompozimi sipas interesit'!$A$21</c:f>
              <c:strCache>
                <c:ptCount val="1"/>
                <c:pt idx="0">
                  <c:v>Fiks</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interesit'!$B$20:$H$20</c:f>
              <c:strCache>
                <c:ptCount val="5"/>
                <c:pt idx="0">
                  <c:v>2017</c:v>
                </c:pt>
                <c:pt idx="1">
                  <c:v>2018</c:v>
                </c:pt>
                <c:pt idx="2">
                  <c:v>2019</c:v>
                </c:pt>
                <c:pt idx="3">
                  <c:v>2020*</c:v>
                </c:pt>
                <c:pt idx="4">
                  <c:v>2021</c:v>
                </c:pt>
              </c:strCache>
              <c:extLst/>
            </c:strRef>
          </c:cat>
          <c:val>
            <c:numRef>
              <c:f>'Kompozimi sipas interesit'!$B$21:$H$21</c:f>
              <c:numCache>
                <c:formatCode>0.0%</c:formatCode>
                <c:ptCount val="5"/>
                <c:pt idx="0">
                  <c:v>0.49920566515941572</c:v>
                </c:pt>
                <c:pt idx="1">
                  <c:v>0.52621890666633608</c:v>
                </c:pt>
                <c:pt idx="2">
                  <c:v>0.51683051110632583</c:v>
                </c:pt>
                <c:pt idx="3">
                  <c:v>0.54825421035407129</c:v>
                </c:pt>
                <c:pt idx="4">
                  <c:v>0.61621651799833654</c:v>
                </c:pt>
              </c:numCache>
              <c:extLst/>
            </c:numRef>
          </c:val>
          <c:extLst xmlns:c16r2="http://schemas.microsoft.com/office/drawing/2015/06/chart">
            <c:ext xmlns:c16="http://schemas.microsoft.com/office/drawing/2014/chart" uri="{C3380CC4-5D6E-409C-BE32-E72D297353CC}">
              <c16:uniqueId val="{00000000-4E52-446C-875A-DD534A15C5FC}"/>
            </c:ext>
          </c:extLst>
        </c:ser>
        <c:ser>
          <c:idx val="1"/>
          <c:order val="1"/>
          <c:tx>
            <c:strRef>
              <c:f>'Kompozimi sipas interesit'!$A$22</c:f>
              <c:strCache>
                <c:ptCount val="1"/>
                <c:pt idx="0">
                  <c:v>Me norma të ndryshueshme</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interesit'!$B$20:$H$20</c:f>
              <c:strCache>
                <c:ptCount val="5"/>
                <c:pt idx="0">
                  <c:v>2017</c:v>
                </c:pt>
                <c:pt idx="1">
                  <c:v>2018</c:v>
                </c:pt>
                <c:pt idx="2">
                  <c:v>2019</c:v>
                </c:pt>
                <c:pt idx="3">
                  <c:v>2020*</c:v>
                </c:pt>
                <c:pt idx="4">
                  <c:v>2021</c:v>
                </c:pt>
              </c:strCache>
              <c:extLst/>
            </c:strRef>
          </c:cat>
          <c:val>
            <c:numRef>
              <c:f>'Kompozimi sipas interesit'!$B$22:$H$22</c:f>
              <c:numCache>
                <c:formatCode>0.0%</c:formatCode>
                <c:ptCount val="5"/>
                <c:pt idx="0">
                  <c:v>0.50079433484058422</c:v>
                </c:pt>
                <c:pt idx="1">
                  <c:v>0.47378109333366392</c:v>
                </c:pt>
                <c:pt idx="2">
                  <c:v>0.48316948889367417</c:v>
                </c:pt>
                <c:pt idx="3">
                  <c:v>0.45174578964592865</c:v>
                </c:pt>
                <c:pt idx="4">
                  <c:v>0.3837834820016634</c:v>
                </c:pt>
              </c:numCache>
              <c:extLst/>
            </c:numRef>
          </c:val>
          <c:extLst xmlns:c16r2="http://schemas.microsoft.com/office/drawing/2015/06/chart">
            <c:ext xmlns:c16="http://schemas.microsoft.com/office/drawing/2014/chart" uri="{C3380CC4-5D6E-409C-BE32-E72D297353CC}">
              <c16:uniqueId val="{00000001-4E52-446C-875A-DD534A15C5FC}"/>
            </c:ext>
          </c:extLst>
        </c:ser>
        <c:dLbls>
          <c:showLegendKey val="0"/>
          <c:showVal val="0"/>
          <c:showCatName val="0"/>
          <c:showSerName val="0"/>
          <c:showPercent val="0"/>
          <c:showBubbleSize val="0"/>
        </c:dLbls>
        <c:gapWidth val="78"/>
        <c:overlap val="100"/>
        <c:axId val="1858444096"/>
        <c:axId val="1858441920"/>
      </c:barChart>
      <c:catAx>
        <c:axId val="18584440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58441920"/>
        <c:crosses val="autoZero"/>
        <c:auto val="1"/>
        <c:lblAlgn val="ctr"/>
        <c:lblOffset val="100"/>
        <c:noMultiLvlLbl val="0"/>
      </c:catAx>
      <c:valAx>
        <c:axId val="1858441920"/>
        <c:scaling>
          <c:orientation val="minMax"/>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858444096"/>
        <c:crosses val="autoZero"/>
        <c:crossBetween val="between"/>
        <c:majorUnit val="0.2"/>
      </c:valAx>
      <c:spPr>
        <a:noFill/>
        <a:ln>
          <a:noFill/>
        </a:ln>
        <a:effectLst/>
      </c:spPr>
    </c:plotArea>
    <c:legend>
      <c:legendPos val="b"/>
      <c:layout>
        <c:manualLayout>
          <c:xMode val="edge"/>
          <c:yMode val="edge"/>
          <c:x val="0.1373552470074979"/>
          <c:y val="0.88809603375174917"/>
          <c:w val="0.71660483928870589"/>
          <c:h val="0.111903966248250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900">
                <a:solidFill>
                  <a:sysClr val="windowText" lastClr="000000"/>
                </a:solidFill>
              </a:rPr>
              <a:t>Borxhi</a:t>
            </a:r>
            <a:r>
              <a:rPr lang="en-US" sz="900" baseline="0">
                <a:solidFill>
                  <a:sysClr val="windowText" lastClr="000000"/>
                </a:solidFill>
              </a:rPr>
              <a:t> Shtetëror </a:t>
            </a:r>
          </a:p>
        </c:rich>
      </c:tx>
      <c:layout>
        <c:manualLayout>
          <c:xMode val="edge"/>
          <c:yMode val="edge"/>
          <c:x val="0.28316697822844089"/>
          <c:y val="4.2876714224430214E-3"/>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742214433227195"/>
          <c:y val="0.21328813065033536"/>
          <c:w val="0.62689408338064312"/>
          <c:h val="0.69437226596675405"/>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2011-41AE-A923-EC043AB816F1}"/>
              </c:ext>
            </c:extLst>
          </c:dPt>
          <c:dPt>
            <c:idx val="1"/>
            <c:bubble3D val="0"/>
            <c:spPr>
              <a:solidFill>
                <a:srgbClr val="C0000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2011-41AE-A923-EC043AB816F1}"/>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2011-41AE-A923-EC043AB816F1}"/>
              </c:ext>
            </c:extLst>
          </c:dPt>
          <c:dPt>
            <c:idx val="3"/>
            <c:bubble3D val="0"/>
            <c:spPr>
              <a:solidFill>
                <a:srgbClr val="7030A0"/>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2011-41AE-A923-EC043AB816F1}"/>
              </c:ext>
            </c:extLst>
          </c:dPt>
          <c:dPt>
            <c:idx val="4"/>
            <c:bubble3D val="0"/>
            <c:spPr>
              <a:solidFill>
                <a:schemeClr val="accent6"/>
              </a:soli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9-2011-41AE-A923-EC043AB816F1}"/>
              </c:ext>
            </c:extLst>
          </c:dPt>
          <c:dLbls>
            <c:dLbl>
              <c:idx val="0"/>
              <c:layout>
                <c:manualLayout>
                  <c:x val="-0.21972246194734874"/>
                  <c:y val="-4.273276816007765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011-41AE-A923-EC043AB816F1}"/>
                </c:ext>
                <c:ext xmlns:c15="http://schemas.microsoft.com/office/drawing/2012/chart" uri="{CE6537A1-D6FC-4f65-9D91-7224C49458BB}"/>
              </c:extLst>
            </c:dLbl>
            <c:dLbl>
              <c:idx val="1"/>
              <c:layout>
                <c:manualLayout>
                  <c:x val="0.16845341824434956"/>
                  <c:y val="-0.1114246135899679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011-41AE-A923-EC043AB816F1}"/>
                </c:ext>
                <c:ext xmlns:c15="http://schemas.microsoft.com/office/drawing/2012/chart" uri="{CE6537A1-D6FC-4f65-9D91-7224C49458BB}"/>
              </c:extLst>
            </c:dLbl>
            <c:dLbl>
              <c:idx val="3"/>
              <c:layout>
                <c:manualLayout>
                  <c:x val="1.5409509916982932E-2"/>
                  <c:y val="-1.5364847686722086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011-41AE-A923-EC043AB816F1}"/>
                </c:ext>
                <c:ext xmlns:c15="http://schemas.microsoft.com/office/drawing/2012/chart" uri="{CE6537A1-D6FC-4f65-9D91-7224C49458BB}">
                  <c15:layout>
                    <c:manualLayout>
                      <c:w val="0.12510772484374705"/>
                      <c:h val="7.7223475360834723E-2"/>
                    </c:manualLayout>
                  </c15:layout>
                </c:ext>
              </c:extLst>
            </c:dLbl>
            <c:dLbl>
              <c:idx val="4"/>
              <c:layout>
                <c:manualLayout>
                  <c:x val="8.0318595073340285E-2"/>
                  <c:y val="8.555701370661993E-3"/>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011-41AE-A923-EC043AB816F1}"/>
                </c:ext>
                <c:ext xmlns:c15="http://schemas.microsoft.com/office/drawing/2012/chart" uri="{CE6537A1-D6FC-4f65-9D91-7224C49458BB}">
                  <c15:layout>
                    <c:manualLayout>
                      <c:w val="0.13470005098283577"/>
                      <c:h val="9.8313106292293409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'B.Shteteror sipas Monedhes '!$A$32:$A$36</c:f>
              <c:strCache>
                <c:ptCount val="5"/>
                <c:pt idx="0">
                  <c:v>LEK</c:v>
                </c:pt>
                <c:pt idx="1">
                  <c:v>EUR</c:v>
                </c:pt>
                <c:pt idx="2">
                  <c:v>USD</c:v>
                </c:pt>
                <c:pt idx="3">
                  <c:v>JPY</c:v>
                </c:pt>
                <c:pt idx="4">
                  <c:v>Të tjera</c:v>
                </c:pt>
              </c:strCache>
            </c:strRef>
          </c:cat>
          <c:val>
            <c:numRef>
              <c:f>'B.Shteteror sipas Monedhes '!$O$32:$O$36</c:f>
              <c:numCache>
                <c:formatCode>0.0%</c:formatCode>
                <c:ptCount val="5"/>
                <c:pt idx="0">
                  <c:v>0.50220098248200906</c:v>
                </c:pt>
                <c:pt idx="1">
                  <c:v>0.37046227958563033</c:v>
                </c:pt>
                <c:pt idx="2">
                  <c:v>8.7474148074660696E-2</c:v>
                </c:pt>
                <c:pt idx="3">
                  <c:v>1.2223730075523333E-2</c:v>
                </c:pt>
                <c:pt idx="4">
                  <c:v>2.7638859782176513E-2</c:v>
                </c:pt>
              </c:numCache>
            </c:numRef>
          </c:val>
          <c:extLst xmlns:c16r2="http://schemas.microsoft.com/office/drawing/2015/06/chart">
            <c:ext xmlns:c16="http://schemas.microsoft.com/office/drawing/2014/chart" uri="{C3380CC4-5D6E-409C-BE32-E72D297353CC}">
              <c16:uniqueId val="{0000000A-2011-41AE-A923-EC043AB816F1}"/>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797661655929372"/>
          <c:y val="0.89872630504520268"/>
          <c:w val="0.66554570960761572"/>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r>
              <a:rPr lang="en-US" sz="800">
                <a:solidFill>
                  <a:sysClr val="windowText" lastClr="000000"/>
                </a:solidFill>
              </a:rPr>
              <a:t>Borxhi i Brendshëm </a:t>
            </a:r>
          </a:p>
        </c:rich>
      </c:tx>
      <c:layout>
        <c:manualLayout>
          <c:xMode val="edge"/>
          <c:yMode val="edge"/>
          <c:x val="0.15555282152230973"/>
          <c:y val="6.4640281091948026E-3"/>
        </c:manualLayout>
      </c:layout>
      <c:overlay val="0"/>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815644138232721"/>
          <c:y val="0.18401380103507764"/>
          <c:w val="0.60543047353455814"/>
          <c:h val="0.80213445142243922"/>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9D38-4D88-9314-6DE7529D5888}"/>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9D38-4D88-9314-6DE7529D5888}"/>
              </c:ext>
            </c:extLst>
          </c:dPt>
          <c:dLbls>
            <c:dLbl>
              <c:idx val="0"/>
              <c:layout>
                <c:manualLayout>
                  <c:x val="-0.14909230096237971"/>
                  <c:y val="-0.205857289690427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D38-4D88-9314-6DE7529D5888}"/>
                </c:ext>
                <c:ext xmlns:c15="http://schemas.microsoft.com/office/drawing/2012/chart" uri="{CE6537A1-D6FC-4f65-9D91-7224C49458BB}">
                  <c15:layout>
                    <c:manualLayout>
                      <c:w val="0.26302083333333331"/>
                      <c:h val="0.25911443358251862"/>
                    </c:manualLayout>
                  </c15:layout>
                </c:ext>
              </c:extLst>
            </c:dLbl>
            <c:dLbl>
              <c:idx val="1"/>
              <c:layout>
                <c:manualLayout>
                  <c:x val="4.7820101492434151E-3"/>
                  <c:y val="0.1383812010443864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D38-4D88-9314-6DE7529D5888}"/>
                </c:ex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'B.Shteteror sipas Monedhes '!$A$6:$A$7</c:f>
              <c:strCache>
                <c:ptCount val="2"/>
                <c:pt idx="0">
                  <c:v>LEK</c:v>
                </c:pt>
                <c:pt idx="1">
                  <c:v>EUR</c:v>
                </c:pt>
              </c:strCache>
            </c:strRef>
          </c:cat>
          <c:val>
            <c:numRef>
              <c:f>'B.Shteteror sipas Monedhes '!$R$6:$R$7</c:f>
              <c:numCache>
                <c:formatCode>General</c:formatCode>
                <c:ptCount val="2"/>
                <c:pt idx="0">
                  <c:v>0.98201806959506455</c:v>
                </c:pt>
                <c:pt idx="1">
                  <c:v>1.7981930404935415E-2</c:v>
                </c:pt>
              </c:numCache>
            </c:numRef>
          </c:val>
          <c:extLst xmlns:c16r2="http://schemas.microsoft.com/office/drawing/2015/06/chart">
            <c:ext xmlns:c16="http://schemas.microsoft.com/office/drawing/2014/chart" uri="{C3380CC4-5D6E-409C-BE32-E72D297353CC}">
              <c16:uniqueId val="{00000004-9D38-4D88-9314-6DE7529D5888}"/>
            </c:ext>
          </c:extLst>
        </c:ser>
        <c:dLbls>
          <c:showLegendKey val="0"/>
          <c:showVal val="0"/>
          <c:showCatName val="0"/>
          <c:showSerName val="0"/>
          <c:showPercent val="0"/>
          <c:showBubbleSize val="0"/>
          <c:showLeaderLines val="1"/>
        </c:dLbls>
        <c:firstSliceAng val="34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8.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rawings/drawing1.xml><?xml version="1.0" encoding="utf-8"?>
<c:userShapes xmlns:c="http://schemas.openxmlformats.org/drawingml/2006/chart">
  <cdr:relSizeAnchor xmlns:cdr="http://schemas.openxmlformats.org/drawingml/2006/chartDrawing">
    <cdr:from>
      <cdr:x>0.503</cdr:x>
      <cdr:y>0.50225</cdr:y>
    </cdr:from>
    <cdr:to>
      <cdr:x>0.5125</cdr:x>
      <cdr:y>0.535</cdr:y>
    </cdr:to>
    <cdr:sp macro="" textlink="">
      <cdr:nvSpPr>
        <cdr:cNvPr id="106497" name="Text Box 1"/>
        <cdr:cNvSpPr txBox="1">
          <a:spLocks xmlns:a="http://schemas.openxmlformats.org/drawingml/2006/main" noChangeArrowheads="1"/>
        </cdr:cNvSpPr>
      </cdr:nvSpPr>
      <cdr:spPr bwMode="auto">
        <a:xfrm xmlns:a="http://schemas.openxmlformats.org/drawingml/2006/main">
          <a:off x="4632970" y="2822519"/>
          <a:ext cx="87501" cy="18404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22860" rIns="27432" bIns="22860" anchor="ctr" upright="1"/>
        <a:lstStyle xmlns:a="http://schemas.openxmlformats.org/drawingml/2006/main"/>
        <a:p xmlns:a="http://schemas.openxmlformats.org/drawingml/2006/main">
          <a:pPr algn="ctr" rtl="0">
            <a:defRPr sz="1000"/>
          </a:pPr>
          <a:r>
            <a:rPr lang="en-US" sz="1000" b="0" i="0" u="none" strike="noStrike" baseline="0">
              <a:solidFill>
                <a:srgbClr val="000000"/>
              </a:solidFill>
              <a:latin typeface="Times New Roman"/>
              <a:cs typeface="Times New Roman"/>
            </a:rPr>
            <a:t>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A69008-AC96-4643-B799-E5AD987589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5310</Words>
  <Characters>30273</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35512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Erla Kadiu</dc:creator>
  <cp:keywords/>
  <dc:description/>
  <cp:lastModifiedBy>EK</cp:lastModifiedBy>
  <cp:revision>2</cp:revision>
  <cp:lastPrinted>2021-11-01T08:22:00Z</cp:lastPrinted>
  <dcterms:created xsi:type="dcterms:W3CDTF">2022-05-16T11:40:00Z</dcterms:created>
  <dcterms:modified xsi:type="dcterms:W3CDTF">2022-05-16T11:40:00Z</dcterms:modified>
</cp:coreProperties>
</file>