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F5" w:rsidRPr="0082547E" w:rsidRDefault="00802411" w:rsidP="00595373">
      <w:pPr>
        <w:widowControl w:val="0"/>
        <w:spacing w:line="276" w:lineRule="auto"/>
        <w:jc w:val="center"/>
        <w:rPr>
          <w:b/>
        </w:rPr>
      </w:pPr>
      <w:r w:rsidRPr="0082547E">
        <w:rPr>
          <w:noProof/>
          <w:lang w:eastAsia="sq-AL"/>
        </w:rPr>
        <w:drawing>
          <wp:anchor distT="0" distB="0" distL="114300" distR="114300" simplePos="0" relativeHeight="251659264" behindDoc="0" locked="0" layoutInCell="1" allowOverlap="1" wp14:anchorId="242ED0D2" wp14:editId="330DC189">
            <wp:simplePos x="0" y="0"/>
            <wp:positionH relativeFrom="margin">
              <wp:posOffset>-332517</wp:posOffset>
            </wp:positionH>
            <wp:positionV relativeFrom="paragraph">
              <wp:posOffset>0</wp:posOffset>
            </wp:positionV>
            <wp:extent cx="6587490" cy="863600"/>
            <wp:effectExtent l="0" t="0" r="3810" b="0"/>
            <wp:wrapTopAndBottom/>
            <wp:docPr id="2" name="Picture 2"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rotWithShape="1">
                    <a:blip r:embed="rId8"/>
                    <a:srcRect l="4" t="15433" r="4" b="14101"/>
                    <a:stretch/>
                  </pic:blipFill>
                  <pic:spPr bwMode="auto">
                    <a:xfrm>
                      <a:off x="0" y="0"/>
                      <a:ext cx="6587490" cy="863600"/>
                    </a:xfrm>
                    <a:prstGeom prst="rect">
                      <a:avLst/>
                    </a:prstGeom>
                    <a:noFill/>
                    <a:ln>
                      <a:noFill/>
                    </a:ln>
                    <a:extLst>
                      <a:ext uri="{53640926-AAD7-44D8-BBD7-CCE9431645EC}">
                        <a14:shadowObscured xmlns:a14="http://schemas.microsoft.com/office/drawing/2010/main"/>
                      </a:ext>
                    </a:extLst>
                  </pic:spPr>
                </pic:pic>
              </a:graphicData>
            </a:graphic>
          </wp:anchor>
        </w:drawing>
      </w:r>
      <w:r w:rsidR="00C62507" w:rsidRPr="0082547E">
        <w:rPr>
          <w:b/>
        </w:rPr>
        <w:t>MINISTRIA E FINANCAVE</w:t>
      </w:r>
      <w:r w:rsidR="00AB69F5" w:rsidRPr="0082547E">
        <w:rPr>
          <w:b/>
        </w:rPr>
        <w:t xml:space="preserve"> </w:t>
      </w:r>
      <w:r w:rsidR="004A1FAE" w:rsidRPr="0082547E">
        <w:rPr>
          <w:b/>
        </w:rPr>
        <w:t>DHE EKONOMISË</w:t>
      </w:r>
    </w:p>
    <w:p w:rsidR="00C62507" w:rsidRPr="0082547E" w:rsidRDefault="00C62507" w:rsidP="00595373">
      <w:pPr>
        <w:widowControl w:val="0"/>
        <w:spacing w:line="276" w:lineRule="auto"/>
        <w:jc w:val="center"/>
        <w:rPr>
          <w:b/>
        </w:rPr>
      </w:pPr>
      <w:r w:rsidRPr="0082547E">
        <w:rPr>
          <w:b/>
        </w:rPr>
        <w:t>DREJTORIA E APELIMIT TATIMOR</w:t>
      </w:r>
    </w:p>
    <w:p w:rsidR="00C62507" w:rsidRPr="0082547E" w:rsidRDefault="00C62507" w:rsidP="00595373">
      <w:pPr>
        <w:widowControl w:val="0"/>
        <w:spacing w:line="276" w:lineRule="auto"/>
        <w:jc w:val="center"/>
        <w:rPr>
          <w:b/>
        </w:rPr>
      </w:pPr>
    </w:p>
    <w:p w:rsidR="00C62507" w:rsidRPr="0082547E" w:rsidRDefault="00C62507" w:rsidP="00595373">
      <w:pPr>
        <w:widowControl w:val="0"/>
        <w:spacing w:line="276" w:lineRule="auto"/>
        <w:jc w:val="both"/>
      </w:pPr>
      <w:r w:rsidRPr="0082547E">
        <w:t>Nr.</w:t>
      </w:r>
      <w:r w:rsidR="000345A7" w:rsidRPr="0082547E">
        <w:t xml:space="preserve"> </w:t>
      </w:r>
      <w:r w:rsidR="00C11D70">
        <w:t>____</w:t>
      </w:r>
      <w:r w:rsidR="00660D59">
        <w:t xml:space="preserve"> </w:t>
      </w:r>
      <w:r w:rsidR="009A42C3" w:rsidRPr="0082547E">
        <w:t xml:space="preserve">/           </w:t>
      </w:r>
      <w:r w:rsidR="00E979ED" w:rsidRPr="0082547E">
        <w:t>prot.</w:t>
      </w:r>
      <w:r w:rsidR="00E979ED" w:rsidRPr="0082547E">
        <w:tab/>
      </w:r>
      <w:r w:rsidR="00E979ED" w:rsidRPr="0082547E">
        <w:tab/>
      </w:r>
      <w:r w:rsidR="00E979ED" w:rsidRPr="0082547E">
        <w:tab/>
      </w:r>
      <w:r w:rsidR="00E979ED" w:rsidRPr="0082547E">
        <w:tab/>
      </w:r>
      <w:r w:rsidR="00E979ED" w:rsidRPr="0082547E">
        <w:tab/>
      </w:r>
      <w:r w:rsidR="00E979ED" w:rsidRPr="0082547E">
        <w:tab/>
        <w:t xml:space="preserve">  </w:t>
      </w:r>
      <w:r w:rsidR="0082547E" w:rsidRPr="0082547E">
        <w:t xml:space="preserve">                 </w:t>
      </w:r>
      <w:r w:rsidR="00711B45">
        <w:t xml:space="preserve">   </w:t>
      </w:r>
      <w:r w:rsidRPr="0082547E">
        <w:t>Tiran</w:t>
      </w:r>
      <w:r w:rsidR="00E5790F" w:rsidRPr="0082547E">
        <w:t>ë</w:t>
      </w:r>
      <w:r w:rsidRPr="0082547E">
        <w:t>, m</w:t>
      </w:r>
      <w:r w:rsidR="00E5790F" w:rsidRPr="0082547E">
        <w:t>ë</w:t>
      </w:r>
      <w:r w:rsidRPr="0082547E">
        <w:t>___.___.20</w:t>
      </w:r>
      <w:r w:rsidR="00CD1B0F" w:rsidRPr="0082547E">
        <w:t>2</w:t>
      </w:r>
      <w:r w:rsidR="00CF3F95" w:rsidRPr="0082547E">
        <w:t>2</w:t>
      </w:r>
    </w:p>
    <w:p w:rsidR="00C32813" w:rsidRPr="0082547E" w:rsidRDefault="00C32813" w:rsidP="00595373">
      <w:pPr>
        <w:widowControl w:val="0"/>
        <w:spacing w:line="276" w:lineRule="auto"/>
        <w:jc w:val="both"/>
      </w:pPr>
    </w:p>
    <w:p w:rsidR="00FB32DE" w:rsidRPr="0082547E" w:rsidRDefault="00FB32DE" w:rsidP="00595373">
      <w:pPr>
        <w:widowControl w:val="0"/>
        <w:spacing w:line="276" w:lineRule="auto"/>
        <w:jc w:val="center"/>
        <w:rPr>
          <w:b/>
        </w:rPr>
      </w:pPr>
    </w:p>
    <w:p w:rsidR="00F20E35" w:rsidRPr="0082547E" w:rsidRDefault="00E20F5F" w:rsidP="00595373">
      <w:pPr>
        <w:widowControl w:val="0"/>
        <w:spacing w:line="276" w:lineRule="auto"/>
        <w:jc w:val="center"/>
        <w:rPr>
          <w:b/>
          <w:u w:val="single"/>
        </w:rPr>
      </w:pPr>
      <w:r w:rsidRPr="0082547E">
        <w:rPr>
          <w:b/>
          <w:u w:val="single"/>
        </w:rPr>
        <w:t>V E N D I M</w:t>
      </w:r>
    </w:p>
    <w:p w:rsidR="00547FF5" w:rsidRPr="0082547E" w:rsidRDefault="00547FF5" w:rsidP="00595373">
      <w:pPr>
        <w:widowControl w:val="0"/>
        <w:spacing w:line="276" w:lineRule="auto"/>
        <w:jc w:val="center"/>
        <w:rPr>
          <w:b/>
        </w:rPr>
      </w:pPr>
    </w:p>
    <w:p w:rsidR="00CF4388" w:rsidRPr="0082547E" w:rsidRDefault="00CF4388" w:rsidP="00595373">
      <w:pPr>
        <w:pStyle w:val="NoSpacing"/>
        <w:widowControl w:val="0"/>
        <w:spacing w:line="276" w:lineRule="auto"/>
        <w:jc w:val="both"/>
        <w:rPr>
          <w:noProof w:val="0"/>
        </w:rPr>
      </w:pPr>
      <w:r w:rsidRPr="0082547E">
        <w:rPr>
          <w:noProof w:val="0"/>
        </w:rPr>
        <w:t>Drejtoria e Apelimit Tatimor, n</w:t>
      </w:r>
      <w:r w:rsidR="00E5790F" w:rsidRPr="0082547E">
        <w:rPr>
          <w:noProof w:val="0"/>
        </w:rPr>
        <w:t>ë</w:t>
      </w:r>
      <w:r w:rsidRPr="0082547E">
        <w:rPr>
          <w:noProof w:val="0"/>
        </w:rPr>
        <w:t xml:space="preserve"> zbatim t</w:t>
      </w:r>
      <w:r w:rsidR="00E5790F" w:rsidRPr="0082547E">
        <w:rPr>
          <w:noProof w:val="0"/>
        </w:rPr>
        <w:t>ë</w:t>
      </w:r>
      <w:r w:rsidRPr="0082547E">
        <w:rPr>
          <w:noProof w:val="0"/>
        </w:rPr>
        <w:t xml:space="preserve"> kreut XIII t</w:t>
      </w:r>
      <w:r w:rsidR="00E5790F" w:rsidRPr="0082547E">
        <w:rPr>
          <w:noProof w:val="0"/>
        </w:rPr>
        <w:t>ë</w:t>
      </w:r>
      <w:r w:rsidRPr="0082547E">
        <w:rPr>
          <w:noProof w:val="0"/>
        </w:rPr>
        <w:t xml:space="preserve"> Ligjit nr. 9920, dat</w:t>
      </w:r>
      <w:r w:rsidR="00E5790F" w:rsidRPr="0082547E">
        <w:rPr>
          <w:noProof w:val="0"/>
        </w:rPr>
        <w:t>ë</w:t>
      </w:r>
      <w:r w:rsidRPr="0082547E">
        <w:rPr>
          <w:noProof w:val="0"/>
        </w:rPr>
        <w:t xml:space="preserve"> 19.05.2008 “P</w:t>
      </w:r>
      <w:r w:rsidR="00E5790F" w:rsidRPr="0082547E">
        <w:rPr>
          <w:noProof w:val="0"/>
        </w:rPr>
        <w:t>ë</w:t>
      </w:r>
      <w:r w:rsidRPr="0082547E">
        <w:rPr>
          <w:noProof w:val="0"/>
        </w:rPr>
        <w:t>r Procedurat Tatimore n</w:t>
      </w:r>
      <w:r w:rsidR="00E5790F" w:rsidRPr="0082547E">
        <w:rPr>
          <w:noProof w:val="0"/>
        </w:rPr>
        <w:t>ë</w:t>
      </w:r>
      <w:r w:rsidRPr="0082547E">
        <w:rPr>
          <w:noProof w:val="0"/>
        </w:rPr>
        <w:t xml:space="preserve"> RSH”, mori n</w:t>
      </w:r>
      <w:r w:rsidR="00E5790F" w:rsidRPr="0082547E">
        <w:rPr>
          <w:noProof w:val="0"/>
        </w:rPr>
        <w:t>ë</w:t>
      </w:r>
      <w:r w:rsidRPr="0082547E">
        <w:rPr>
          <w:noProof w:val="0"/>
        </w:rPr>
        <w:t xml:space="preserve"> shqyrtim k</w:t>
      </w:r>
      <w:r w:rsidR="00E5790F" w:rsidRPr="0082547E">
        <w:rPr>
          <w:noProof w:val="0"/>
        </w:rPr>
        <w:t>ë</w:t>
      </w:r>
      <w:r w:rsidRPr="0082547E">
        <w:rPr>
          <w:noProof w:val="0"/>
        </w:rPr>
        <w:t>rkes</w:t>
      </w:r>
      <w:r w:rsidR="00E5790F" w:rsidRPr="0082547E">
        <w:rPr>
          <w:noProof w:val="0"/>
        </w:rPr>
        <w:t>ë</w:t>
      </w:r>
      <w:r w:rsidRPr="0082547E">
        <w:rPr>
          <w:noProof w:val="0"/>
        </w:rPr>
        <w:t xml:space="preserve">n </w:t>
      </w:r>
      <w:r w:rsidR="00A20D4D" w:rsidRPr="0082547E">
        <w:rPr>
          <w:noProof w:val="0"/>
        </w:rPr>
        <w:t xml:space="preserve">ankimore </w:t>
      </w:r>
      <w:r w:rsidRPr="0082547E">
        <w:rPr>
          <w:noProof w:val="0"/>
        </w:rPr>
        <w:t>q</w:t>
      </w:r>
      <w:r w:rsidR="00E5790F" w:rsidRPr="0082547E">
        <w:rPr>
          <w:noProof w:val="0"/>
        </w:rPr>
        <w:t>ë</w:t>
      </w:r>
      <w:r w:rsidRPr="0082547E">
        <w:rPr>
          <w:noProof w:val="0"/>
        </w:rPr>
        <w:t xml:space="preserve"> i p</w:t>
      </w:r>
      <w:r w:rsidR="00E5790F" w:rsidRPr="0082547E">
        <w:rPr>
          <w:noProof w:val="0"/>
        </w:rPr>
        <w:t>ë</w:t>
      </w:r>
      <w:r w:rsidRPr="0082547E">
        <w:rPr>
          <w:noProof w:val="0"/>
        </w:rPr>
        <w:t>rket:</w:t>
      </w:r>
    </w:p>
    <w:p w:rsidR="00CF4388" w:rsidRPr="0082547E" w:rsidRDefault="00CF4388" w:rsidP="00595373">
      <w:pPr>
        <w:pStyle w:val="NoSpacing"/>
        <w:widowControl w:val="0"/>
        <w:spacing w:line="276" w:lineRule="auto"/>
        <w:jc w:val="both"/>
        <w:rPr>
          <w:noProof w:val="0"/>
        </w:rPr>
      </w:pPr>
    </w:p>
    <w:p w:rsidR="00CF4388" w:rsidRPr="0082547E" w:rsidRDefault="00CF4388" w:rsidP="00595373">
      <w:pPr>
        <w:pStyle w:val="NoSpacing"/>
        <w:widowControl w:val="0"/>
        <w:spacing w:line="276" w:lineRule="auto"/>
        <w:jc w:val="both"/>
        <w:rPr>
          <w:noProof w:val="0"/>
        </w:rPr>
      </w:pPr>
      <w:r w:rsidRPr="0082547E">
        <w:rPr>
          <w:noProof w:val="0"/>
        </w:rPr>
        <w:t>K</w:t>
      </w:r>
      <w:r w:rsidR="00E5790F" w:rsidRPr="0082547E">
        <w:rPr>
          <w:noProof w:val="0"/>
        </w:rPr>
        <w:t>Ë</w:t>
      </w:r>
      <w:r w:rsidRPr="0082547E">
        <w:rPr>
          <w:noProof w:val="0"/>
        </w:rPr>
        <w:t xml:space="preserve">RKUES: </w:t>
      </w:r>
      <w:r w:rsidR="006725DD" w:rsidRPr="0082547E">
        <w:rPr>
          <w:noProof w:val="0"/>
        </w:rPr>
        <w:tab/>
      </w:r>
      <w:r w:rsidR="000178CD">
        <w:rPr>
          <w:noProof w:val="0"/>
        </w:rPr>
        <w:t>______________________</w:t>
      </w:r>
    </w:p>
    <w:p w:rsidR="00C32026" w:rsidRPr="0082547E" w:rsidRDefault="00CF4388" w:rsidP="00595373">
      <w:pPr>
        <w:pStyle w:val="NoSpacing"/>
        <w:widowControl w:val="0"/>
        <w:spacing w:line="276" w:lineRule="auto"/>
        <w:ind w:left="1440" w:hanging="1440"/>
        <w:jc w:val="both"/>
        <w:rPr>
          <w:noProof w:val="0"/>
        </w:rPr>
      </w:pPr>
      <w:r w:rsidRPr="0082547E">
        <w:rPr>
          <w:noProof w:val="0"/>
        </w:rPr>
        <w:t xml:space="preserve">OBJEKTI: </w:t>
      </w:r>
      <w:r w:rsidR="006725DD" w:rsidRPr="0082547E">
        <w:rPr>
          <w:noProof w:val="0"/>
        </w:rPr>
        <w:tab/>
      </w:r>
      <w:r w:rsidR="00C30548" w:rsidRPr="0082547E">
        <w:rPr>
          <w:noProof w:val="0"/>
        </w:rPr>
        <w:t xml:space="preserve">Ankim ndaj </w:t>
      </w:r>
      <w:r w:rsidR="005E7453" w:rsidRPr="0082547E">
        <w:rPr>
          <w:noProof w:val="0"/>
        </w:rPr>
        <w:t>njoftim vlerësimit</w:t>
      </w:r>
      <w:r w:rsidR="00A03C2D" w:rsidRPr="0082547E">
        <w:rPr>
          <w:noProof w:val="0"/>
        </w:rPr>
        <w:t>, ku jan</w:t>
      </w:r>
      <w:r w:rsidR="007C2A8D" w:rsidRPr="0082547E">
        <w:rPr>
          <w:noProof w:val="0"/>
        </w:rPr>
        <w:t>ë</w:t>
      </w:r>
      <w:r w:rsidR="00A03C2D" w:rsidRPr="0082547E">
        <w:rPr>
          <w:noProof w:val="0"/>
        </w:rPr>
        <w:t xml:space="preserve"> p</w:t>
      </w:r>
      <w:r w:rsidR="007C2A8D" w:rsidRPr="0082547E">
        <w:rPr>
          <w:noProof w:val="0"/>
        </w:rPr>
        <w:t>ë</w:t>
      </w:r>
      <w:r w:rsidR="00A03C2D" w:rsidRPr="0082547E">
        <w:rPr>
          <w:noProof w:val="0"/>
        </w:rPr>
        <w:t>rcaktuar detyrimet tatimore si m</w:t>
      </w:r>
      <w:r w:rsidR="007C2A8D" w:rsidRPr="0082547E">
        <w:rPr>
          <w:noProof w:val="0"/>
        </w:rPr>
        <w:t>ë</w:t>
      </w:r>
      <w:r w:rsidR="00A03C2D" w:rsidRPr="0082547E">
        <w:rPr>
          <w:noProof w:val="0"/>
        </w:rPr>
        <w:t xml:space="preserve"> poshtë:</w:t>
      </w:r>
    </w:p>
    <w:p w:rsidR="0082547E" w:rsidRPr="0082547E" w:rsidRDefault="0082547E" w:rsidP="00595373">
      <w:pPr>
        <w:pStyle w:val="NoSpacing"/>
        <w:widowControl w:val="0"/>
        <w:spacing w:line="276" w:lineRule="auto"/>
        <w:ind w:left="1440" w:hanging="1440"/>
        <w:jc w:val="both"/>
        <w:rPr>
          <w:noProof w:val="0"/>
        </w:rPr>
      </w:pPr>
    </w:p>
    <w:tbl>
      <w:tblPr>
        <w:tblW w:w="5000" w:type="pct"/>
        <w:tblLook w:val="04A0" w:firstRow="1" w:lastRow="0" w:firstColumn="1" w:lastColumn="0" w:noHBand="0" w:noVBand="1"/>
      </w:tblPr>
      <w:tblGrid>
        <w:gridCol w:w="1716"/>
        <w:gridCol w:w="1294"/>
        <w:gridCol w:w="1291"/>
        <w:gridCol w:w="1147"/>
        <w:gridCol w:w="1723"/>
        <w:gridCol w:w="1266"/>
        <w:gridCol w:w="1028"/>
      </w:tblGrid>
      <w:tr w:rsidR="00CF3F95" w:rsidRPr="0082547E" w:rsidTr="0082547E">
        <w:trPr>
          <w:trHeight w:val="20"/>
        </w:trPr>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b/>
                <w:color w:val="000000"/>
                <w:sz w:val="20"/>
                <w:szCs w:val="20"/>
              </w:rPr>
            </w:pPr>
            <w:r w:rsidRPr="0082547E">
              <w:rPr>
                <w:b/>
                <w:color w:val="000000"/>
                <w:sz w:val="20"/>
                <w:szCs w:val="20"/>
              </w:rPr>
              <w:t>Tatimi</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b/>
                <w:color w:val="000000"/>
                <w:sz w:val="20"/>
                <w:szCs w:val="20"/>
              </w:rPr>
            </w:pPr>
            <w:r w:rsidRPr="0082547E">
              <w:rPr>
                <w:b/>
                <w:color w:val="000000"/>
                <w:sz w:val="20"/>
                <w:szCs w:val="20"/>
              </w:rPr>
              <w:t>Periudha</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CF3F95" w:rsidRPr="0082547E" w:rsidRDefault="0082547E" w:rsidP="00595373">
            <w:pPr>
              <w:widowControl w:val="0"/>
              <w:spacing w:line="276" w:lineRule="auto"/>
              <w:jc w:val="center"/>
              <w:rPr>
                <w:b/>
                <w:color w:val="000000"/>
                <w:sz w:val="20"/>
                <w:szCs w:val="20"/>
              </w:rPr>
            </w:pPr>
            <w:r w:rsidRPr="0082547E">
              <w:rPr>
                <w:b/>
                <w:color w:val="000000"/>
                <w:sz w:val="20"/>
                <w:szCs w:val="20"/>
              </w:rPr>
              <w:t>Detyrim</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b/>
                <w:color w:val="000000"/>
                <w:sz w:val="20"/>
                <w:szCs w:val="20"/>
              </w:rPr>
            </w:pPr>
            <w:r w:rsidRPr="0082547E">
              <w:rPr>
                <w:b/>
                <w:color w:val="000000"/>
                <w:sz w:val="20"/>
                <w:szCs w:val="20"/>
              </w:rPr>
              <w:t>Kamatë</w:t>
            </w:r>
            <w:r w:rsidR="0082547E" w:rsidRPr="0082547E">
              <w:rPr>
                <w:b/>
                <w:color w:val="000000"/>
                <w:sz w:val="20"/>
                <w:szCs w:val="20"/>
              </w:rPr>
              <w:t>-</w:t>
            </w:r>
            <w:r w:rsidRPr="0082547E">
              <w:rPr>
                <w:b/>
                <w:color w:val="000000"/>
                <w:sz w:val="20"/>
                <w:szCs w:val="20"/>
              </w:rPr>
              <w:t>vonesa</w:t>
            </w:r>
          </w:p>
        </w:tc>
        <w:tc>
          <w:tcPr>
            <w:tcW w:w="910" w:type="pct"/>
            <w:tcBorders>
              <w:top w:val="single" w:sz="4" w:space="0" w:color="auto"/>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b/>
                <w:color w:val="000000"/>
                <w:sz w:val="20"/>
                <w:szCs w:val="20"/>
              </w:rPr>
            </w:pPr>
            <w:r w:rsidRPr="0082547E">
              <w:rPr>
                <w:b/>
                <w:color w:val="000000"/>
                <w:sz w:val="20"/>
                <w:szCs w:val="20"/>
              </w:rPr>
              <w:t xml:space="preserve">Gjobë </w:t>
            </w:r>
            <w:r w:rsidR="0082547E" w:rsidRPr="0082547E">
              <w:rPr>
                <w:b/>
                <w:color w:val="000000"/>
                <w:sz w:val="20"/>
                <w:szCs w:val="20"/>
              </w:rPr>
              <w:t>p</w:t>
            </w:r>
            <w:r w:rsidR="00B04E41">
              <w:rPr>
                <w:b/>
                <w:color w:val="000000"/>
                <w:sz w:val="20"/>
                <w:szCs w:val="20"/>
              </w:rPr>
              <w:t>ë</w:t>
            </w:r>
            <w:r w:rsidR="0082547E" w:rsidRPr="0082547E">
              <w:rPr>
                <w:b/>
                <w:color w:val="000000"/>
                <w:sz w:val="20"/>
                <w:szCs w:val="20"/>
              </w:rPr>
              <w:t xml:space="preserve">r </w:t>
            </w:r>
            <w:r w:rsidRPr="0082547E">
              <w:rPr>
                <w:b/>
                <w:color w:val="000000"/>
                <w:sz w:val="20"/>
                <w:szCs w:val="20"/>
              </w:rPr>
              <w:t>pages</w:t>
            </w:r>
            <w:r w:rsidR="00B04E41">
              <w:rPr>
                <w:b/>
                <w:color w:val="000000"/>
                <w:sz w:val="20"/>
                <w:szCs w:val="20"/>
              </w:rPr>
              <w:t>ë</w:t>
            </w:r>
            <w:r w:rsidRPr="0082547E">
              <w:rPr>
                <w:b/>
                <w:color w:val="000000"/>
                <w:sz w:val="20"/>
                <w:szCs w:val="20"/>
              </w:rPr>
              <w:t xml:space="preserve"> </w:t>
            </w:r>
            <w:r w:rsidR="0082547E" w:rsidRPr="0082547E">
              <w:rPr>
                <w:b/>
                <w:color w:val="000000"/>
                <w:sz w:val="20"/>
                <w:szCs w:val="20"/>
              </w:rPr>
              <w:t>t</w:t>
            </w:r>
            <w:r w:rsidR="00B04E41">
              <w:rPr>
                <w:b/>
                <w:color w:val="000000"/>
                <w:sz w:val="20"/>
                <w:szCs w:val="20"/>
              </w:rPr>
              <w:t>ë</w:t>
            </w:r>
            <w:r w:rsidRPr="0082547E">
              <w:rPr>
                <w:b/>
                <w:color w:val="000000"/>
                <w:sz w:val="20"/>
                <w:szCs w:val="20"/>
              </w:rPr>
              <w:t xml:space="preserve"> vonuar</w:t>
            </w:r>
          </w:p>
        </w:tc>
        <w:tc>
          <w:tcPr>
            <w:tcW w:w="669" w:type="pct"/>
            <w:tcBorders>
              <w:top w:val="single" w:sz="4" w:space="0" w:color="auto"/>
              <w:left w:val="nil"/>
              <w:bottom w:val="single" w:sz="4" w:space="0" w:color="auto"/>
              <w:right w:val="single" w:sz="4" w:space="0" w:color="auto"/>
            </w:tcBorders>
            <w:shd w:val="clear" w:color="auto" w:fill="auto"/>
            <w:vAlign w:val="center"/>
            <w:hideMark/>
          </w:tcPr>
          <w:p w:rsidR="00CF3F95" w:rsidRPr="0082547E" w:rsidRDefault="00CF3F95" w:rsidP="00711B45">
            <w:pPr>
              <w:widowControl w:val="0"/>
              <w:spacing w:line="276" w:lineRule="auto"/>
              <w:jc w:val="center"/>
              <w:rPr>
                <w:b/>
                <w:color w:val="000000"/>
                <w:sz w:val="20"/>
                <w:szCs w:val="20"/>
              </w:rPr>
            </w:pPr>
            <w:r w:rsidRPr="0082547E">
              <w:rPr>
                <w:b/>
                <w:color w:val="000000"/>
                <w:sz w:val="20"/>
                <w:szCs w:val="20"/>
              </w:rPr>
              <w:t xml:space="preserve">Gjobë </w:t>
            </w:r>
            <w:r w:rsidR="00711B45">
              <w:rPr>
                <w:b/>
                <w:color w:val="000000"/>
                <w:sz w:val="20"/>
                <w:szCs w:val="20"/>
              </w:rPr>
              <w:t>inspektori</w:t>
            </w:r>
          </w:p>
        </w:tc>
        <w:tc>
          <w:tcPr>
            <w:tcW w:w="543" w:type="pct"/>
            <w:tcBorders>
              <w:top w:val="single" w:sz="4" w:space="0" w:color="auto"/>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b/>
                <w:color w:val="000000"/>
                <w:sz w:val="20"/>
                <w:szCs w:val="20"/>
              </w:rPr>
            </w:pPr>
            <w:r w:rsidRPr="0082547E">
              <w:rPr>
                <w:b/>
                <w:color w:val="000000"/>
                <w:sz w:val="20"/>
                <w:szCs w:val="20"/>
              </w:rPr>
              <w:t>Shuma</w:t>
            </w:r>
          </w:p>
        </w:tc>
      </w:tr>
      <w:tr w:rsidR="00CF3F95" w:rsidRPr="0082547E" w:rsidTr="0082547E">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201908</w:t>
            </w:r>
          </w:p>
        </w:tc>
        <w:tc>
          <w:tcPr>
            <w:tcW w:w="682"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346,686</w:t>
            </w:r>
          </w:p>
        </w:tc>
        <w:tc>
          <w:tcPr>
            <w:tcW w:w="606" w:type="pct"/>
            <w:tcBorders>
              <w:top w:val="nil"/>
              <w:left w:val="nil"/>
              <w:bottom w:val="single" w:sz="4" w:space="0" w:color="auto"/>
              <w:right w:val="single" w:sz="4" w:space="0" w:color="auto"/>
            </w:tcBorders>
            <w:shd w:val="clear" w:color="auto" w:fill="auto"/>
            <w:noWrap/>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42,024</w:t>
            </w:r>
          </w:p>
        </w:tc>
        <w:tc>
          <w:tcPr>
            <w:tcW w:w="910"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75,924</w:t>
            </w:r>
          </w:p>
        </w:tc>
        <w:tc>
          <w:tcPr>
            <w:tcW w:w="669"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75,924</w:t>
            </w:r>
          </w:p>
        </w:tc>
        <w:tc>
          <w:tcPr>
            <w:tcW w:w="54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540,558</w:t>
            </w:r>
          </w:p>
        </w:tc>
      </w:tr>
      <w:tr w:rsidR="00CF3F95" w:rsidRPr="0082547E" w:rsidTr="0082547E">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201909</w:t>
            </w:r>
          </w:p>
        </w:tc>
        <w:tc>
          <w:tcPr>
            <w:tcW w:w="682"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155,488</w:t>
            </w:r>
          </w:p>
        </w:tc>
        <w:tc>
          <w:tcPr>
            <w:tcW w:w="606" w:type="pct"/>
            <w:tcBorders>
              <w:top w:val="nil"/>
              <w:left w:val="nil"/>
              <w:bottom w:val="single" w:sz="4" w:space="0" w:color="auto"/>
              <w:right w:val="single" w:sz="4" w:space="0" w:color="auto"/>
            </w:tcBorders>
            <w:shd w:val="clear" w:color="auto" w:fill="auto"/>
            <w:noWrap/>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18,132</w:t>
            </w:r>
          </w:p>
        </w:tc>
        <w:tc>
          <w:tcPr>
            <w:tcW w:w="910"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34,052</w:t>
            </w:r>
          </w:p>
        </w:tc>
        <w:tc>
          <w:tcPr>
            <w:tcW w:w="669"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34,052</w:t>
            </w:r>
          </w:p>
        </w:tc>
        <w:tc>
          <w:tcPr>
            <w:tcW w:w="54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241,724</w:t>
            </w:r>
          </w:p>
        </w:tc>
      </w:tr>
      <w:tr w:rsidR="00CF3F95" w:rsidRPr="0082547E" w:rsidTr="0082547E">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201910</w:t>
            </w:r>
          </w:p>
        </w:tc>
        <w:tc>
          <w:tcPr>
            <w:tcW w:w="682"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50,117</w:t>
            </w:r>
          </w:p>
        </w:tc>
        <w:tc>
          <w:tcPr>
            <w:tcW w:w="606" w:type="pct"/>
            <w:tcBorders>
              <w:top w:val="nil"/>
              <w:left w:val="nil"/>
              <w:bottom w:val="single" w:sz="4" w:space="0" w:color="auto"/>
              <w:right w:val="single" w:sz="4" w:space="0" w:color="auto"/>
            </w:tcBorders>
            <w:shd w:val="clear" w:color="auto" w:fill="auto"/>
            <w:noWrap/>
            <w:vAlign w:val="center"/>
            <w:hideMark/>
          </w:tcPr>
          <w:p w:rsidR="00CF3F95" w:rsidRPr="0082547E" w:rsidRDefault="00CF3F95" w:rsidP="00595373">
            <w:pPr>
              <w:widowControl w:val="0"/>
              <w:spacing w:line="276" w:lineRule="auto"/>
              <w:jc w:val="center"/>
              <w:rPr>
                <w:color w:val="000000"/>
                <w:sz w:val="20"/>
                <w:szCs w:val="20"/>
              </w:rPr>
            </w:pPr>
          </w:p>
        </w:tc>
        <w:tc>
          <w:tcPr>
            <w:tcW w:w="910"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p>
        </w:tc>
        <w:tc>
          <w:tcPr>
            <w:tcW w:w="669"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10,976</w:t>
            </w:r>
          </w:p>
        </w:tc>
        <w:tc>
          <w:tcPr>
            <w:tcW w:w="54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61,093</w:t>
            </w:r>
          </w:p>
        </w:tc>
      </w:tr>
      <w:tr w:rsidR="00CF3F95" w:rsidRPr="0082547E" w:rsidTr="0082547E">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201911</w:t>
            </w:r>
          </w:p>
        </w:tc>
        <w:tc>
          <w:tcPr>
            <w:tcW w:w="682"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39,632</w:t>
            </w:r>
          </w:p>
        </w:tc>
        <w:tc>
          <w:tcPr>
            <w:tcW w:w="606" w:type="pct"/>
            <w:tcBorders>
              <w:top w:val="nil"/>
              <w:left w:val="nil"/>
              <w:bottom w:val="single" w:sz="4" w:space="0" w:color="auto"/>
              <w:right w:val="single" w:sz="4" w:space="0" w:color="auto"/>
            </w:tcBorders>
            <w:shd w:val="clear" w:color="auto" w:fill="auto"/>
            <w:noWrap/>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4,211</w:t>
            </w:r>
          </w:p>
        </w:tc>
        <w:tc>
          <w:tcPr>
            <w:tcW w:w="910"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8,679</w:t>
            </w:r>
          </w:p>
        </w:tc>
        <w:tc>
          <w:tcPr>
            <w:tcW w:w="669"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8,679</w:t>
            </w:r>
          </w:p>
        </w:tc>
        <w:tc>
          <w:tcPr>
            <w:tcW w:w="54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61,201</w:t>
            </w:r>
          </w:p>
        </w:tc>
      </w:tr>
      <w:tr w:rsidR="00CF3F95" w:rsidRPr="0082547E" w:rsidTr="0082547E">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202001</w:t>
            </w:r>
          </w:p>
        </w:tc>
        <w:tc>
          <w:tcPr>
            <w:tcW w:w="682"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19,356</w:t>
            </w:r>
          </w:p>
        </w:tc>
        <w:tc>
          <w:tcPr>
            <w:tcW w:w="606" w:type="pct"/>
            <w:tcBorders>
              <w:top w:val="nil"/>
              <w:left w:val="nil"/>
              <w:bottom w:val="single" w:sz="4" w:space="0" w:color="auto"/>
              <w:right w:val="single" w:sz="4" w:space="0" w:color="auto"/>
            </w:tcBorders>
            <w:shd w:val="clear" w:color="auto" w:fill="auto"/>
            <w:noWrap/>
            <w:vAlign w:val="center"/>
            <w:hideMark/>
          </w:tcPr>
          <w:p w:rsidR="00CF3F95" w:rsidRPr="0082547E" w:rsidRDefault="00CF3F95" w:rsidP="00595373">
            <w:pPr>
              <w:widowControl w:val="0"/>
              <w:spacing w:line="276" w:lineRule="auto"/>
              <w:jc w:val="center"/>
              <w:rPr>
                <w:color w:val="000000"/>
                <w:sz w:val="20"/>
                <w:szCs w:val="20"/>
              </w:rPr>
            </w:pPr>
          </w:p>
        </w:tc>
        <w:tc>
          <w:tcPr>
            <w:tcW w:w="910"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p>
        </w:tc>
        <w:tc>
          <w:tcPr>
            <w:tcW w:w="669"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4,239</w:t>
            </w:r>
          </w:p>
        </w:tc>
        <w:tc>
          <w:tcPr>
            <w:tcW w:w="54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23,595</w:t>
            </w:r>
          </w:p>
        </w:tc>
      </w:tr>
      <w:tr w:rsidR="00CF3F95" w:rsidRPr="0082547E" w:rsidTr="0082547E">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202002</w:t>
            </w:r>
          </w:p>
        </w:tc>
        <w:tc>
          <w:tcPr>
            <w:tcW w:w="682"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19,453</w:t>
            </w:r>
          </w:p>
        </w:tc>
        <w:tc>
          <w:tcPr>
            <w:tcW w:w="606" w:type="pct"/>
            <w:tcBorders>
              <w:top w:val="nil"/>
              <w:left w:val="nil"/>
              <w:bottom w:val="single" w:sz="4" w:space="0" w:color="auto"/>
              <w:right w:val="single" w:sz="4" w:space="0" w:color="auto"/>
            </w:tcBorders>
            <w:shd w:val="clear" w:color="auto" w:fill="auto"/>
            <w:noWrap/>
            <w:vAlign w:val="center"/>
            <w:hideMark/>
          </w:tcPr>
          <w:p w:rsidR="00CF3F95" w:rsidRPr="0082547E" w:rsidRDefault="00CF3F95" w:rsidP="00595373">
            <w:pPr>
              <w:widowControl w:val="0"/>
              <w:spacing w:line="276" w:lineRule="auto"/>
              <w:jc w:val="center"/>
              <w:rPr>
                <w:color w:val="000000"/>
                <w:sz w:val="20"/>
                <w:szCs w:val="20"/>
              </w:rPr>
            </w:pPr>
          </w:p>
        </w:tc>
        <w:tc>
          <w:tcPr>
            <w:tcW w:w="910"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p>
        </w:tc>
        <w:tc>
          <w:tcPr>
            <w:tcW w:w="669"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4,260</w:t>
            </w:r>
          </w:p>
        </w:tc>
        <w:tc>
          <w:tcPr>
            <w:tcW w:w="54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23,713</w:t>
            </w:r>
          </w:p>
        </w:tc>
      </w:tr>
      <w:tr w:rsidR="00CF3F95" w:rsidRPr="0082547E" w:rsidTr="0082547E">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202003</w:t>
            </w:r>
          </w:p>
        </w:tc>
        <w:tc>
          <w:tcPr>
            <w:tcW w:w="682"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10,355</w:t>
            </w:r>
          </w:p>
        </w:tc>
        <w:tc>
          <w:tcPr>
            <w:tcW w:w="606" w:type="pct"/>
            <w:tcBorders>
              <w:top w:val="nil"/>
              <w:left w:val="nil"/>
              <w:bottom w:val="single" w:sz="4" w:space="0" w:color="auto"/>
              <w:right w:val="single" w:sz="4" w:space="0" w:color="auto"/>
            </w:tcBorders>
            <w:shd w:val="clear" w:color="auto" w:fill="auto"/>
            <w:noWrap/>
            <w:vAlign w:val="center"/>
            <w:hideMark/>
          </w:tcPr>
          <w:p w:rsidR="00CF3F95" w:rsidRPr="0082547E" w:rsidRDefault="00CF3F95" w:rsidP="00595373">
            <w:pPr>
              <w:widowControl w:val="0"/>
              <w:spacing w:line="276" w:lineRule="auto"/>
              <w:jc w:val="center"/>
              <w:rPr>
                <w:color w:val="000000"/>
                <w:sz w:val="20"/>
                <w:szCs w:val="20"/>
              </w:rPr>
            </w:pPr>
          </w:p>
        </w:tc>
        <w:tc>
          <w:tcPr>
            <w:tcW w:w="910"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p>
        </w:tc>
        <w:tc>
          <w:tcPr>
            <w:tcW w:w="669"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2,268</w:t>
            </w:r>
          </w:p>
        </w:tc>
        <w:tc>
          <w:tcPr>
            <w:tcW w:w="54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12,623</w:t>
            </w:r>
          </w:p>
        </w:tc>
      </w:tr>
      <w:tr w:rsidR="00CF3F95" w:rsidRPr="0082547E" w:rsidTr="0082547E">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201912</w:t>
            </w:r>
          </w:p>
        </w:tc>
        <w:tc>
          <w:tcPr>
            <w:tcW w:w="682"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58,882</w:t>
            </w:r>
          </w:p>
        </w:tc>
        <w:tc>
          <w:tcPr>
            <w:tcW w:w="606" w:type="pct"/>
            <w:tcBorders>
              <w:top w:val="nil"/>
              <w:left w:val="nil"/>
              <w:bottom w:val="single" w:sz="4" w:space="0" w:color="auto"/>
              <w:right w:val="single" w:sz="4" w:space="0" w:color="auto"/>
            </w:tcBorders>
            <w:shd w:val="clear" w:color="auto" w:fill="auto"/>
            <w:noWrap/>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5,976</w:t>
            </w:r>
          </w:p>
        </w:tc>
        <w:tc>
          <w:tcPr>
            <w:tcW w:w="910"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12,895</w:t>
            </w:r>
          </w:p>
        </w:tc>
        <w:tc>
          <w:tcPr>
            <w:tcW w:w="669"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12,895</w:t>
            </w:r>
          </w:p>
        </w:tc>
        <w:tc>
          <w:tcPr>
            <w:tcW w:w="54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90,648</w:t>
            </w:r>
          </w:p>
        </w:tc>
      </w:tr>
      <w:tr w:rsidR="00CF3F95" w:rsidRPr="0082547E" w:rsidTr="0082547E">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202006</w:t>
            </w:r>
          </w:p>
        </w:tc>
        <w:tc>
          <w:tcPr>
            <w:tcW w:w="682"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2,673</w:t>
            </w:r>
          </w:p>
        </w:tc>
        <w:tc>
          <w:tcPr>
            <w:tcW w:w="606" w:type="pct"/>
            <w:tcBorders>
              <w:top w:val="nil"/>
              <w:left w:val="nil"/>
              <w:bottom w:val="single" w:sz="4" w:space="0" w:color="auto"/>
              <w:right w:val="single" w:sz="4" w:space="0" w:color="auto"/>
            </w:tcBorders>
            <w:shd w:val="clear" w:color="auto" w:fill="auto"/>
            <w:noWrap/>
            <w:vAlign w:val="center"/>
            <w:hideMark/>
          </w:tcPr>
          <w:p w:rsidR="00CF3F95" w:rsidRPr="0082547E" w:rsidRDefault="00CF3F95" w:rsidP="00595373">
            <w:pPr>
              <w:widowControl w:val="0"/>
              <w:spacing w:line="276" w:lineRule="auto"/>
              <w:jc w:val="center"/>
              <w:rPr>
                <w:color w:val="000000"/>
                <w:sz w:val="20"/>
                <w:szCs w:val="20"/>
              </w:rPr>
            </w:pPr>
          </w:p>
        </w:tc>
        <w:tc>
          <w:tcPr>
            <w:tcW w:w="910"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p>
        </w:tc>
        <w:tc>
          <w:tcPr>
            <w:tcW w:w="669"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585</w:t>
            </w:r>
          </w:p>
        </w:tc>
        <w:tc>
          <w:tcPr>
            <w:tcW w:w="54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3,258</w:t>
            </w:r>
          </w:p>
        </w:tc>
      </w:tr>
      <w:tr w:rsidR="00CF3F95" w:rsidRPr="0082547E" w:rsidTr="0082547E">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202007</w:t>
            </w:r>
          </w:p>
        </w:tc>
        <w:tc>
          <w:tcPr>
            <w:tcW w:w="682"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32,794</w:t>
            </w:r>
          </w:p>
        </w:tc>
        <w:tc>
          <w:tcPr>
            <w:tcW w:w="606" w:type="pct"/>
            <w:tcBorders>
              <w:top w:val="nil"/>
              <w:left w:val="nil"/>
              <w:bottom w:val="single" w:sz="4" w:space="0" w:color="auto"/>
              <w:right w:val="single" w:sz="4" w:space="0" w:color="auto"/>
            </w:tcBorders>
            <w:shd w:val="clear" w:color="auto" w:fill="auto"/>
            <w:noWrap/>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2,269</w:t>
            </w:r>
          </w:p>
        </w:tc>
        <w:tc>
          <w:tcPr>
            <w:tcW w:w="910"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7,182</w:t>
            </w:r>
          </w:p>
        </w:tc>
        <w:tc>
          <w:tcPr>
            <w:tcW w:w="669"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7,182</w:t>
            </w:r>
          </w:p>
        </w:tc>
        <w:tc>
          <w:tcPr>
            <w:tcW w:w="54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49,427</w:t>
            </w:r>
          </w:p>
        </w:tc>
      </w:tr>
      <w:tr w:rsidR="00CF3F95" w:rsidRPr="0082547E" w:rsidTr="0082547E">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202008</w:t>
            </w:r>
          </w:p>
        </w:tc>
        <w:tc>
          <w:tcPr>
            <w:tcW w:w="682"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111,769</w:t>
            </w:r>
          </w:p>
        </w:tc>
        <w:tc>
          <w:tcPr>
            <w:tcW w:w="606" w:type="pct"/>
            <w:tcBorders>
              <w:top w:val="nil"/>
              <w:left w:val="nil"/>
              <w:bottom w:val="single" w:sz="4" w:space="0" w:color="auto"/>
              <w:right w:val="single" w:sz="4" w:space="0" w:color="auto"/>
            </w:tcBorders>
            <w:shd w:val="clear" w:color="auto" w:fill="auto"/>
            <w:noWrap/>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7,164</w:t>
            </w:r>
          </w:p>
        </w:tc>
        <w:tc>
          <w:tcPr>
            <w:tcW w:w="910"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24,477</w:t>
            </w:r>
          </w:p>
        </w:tc>
        <w:tc>
          <w:tcPr>
            <w:tcW w:w="669"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24,477</w:t>
            </w:r>
          </w:p>
        </w:tc>
        <w:tc>
          <w:tcPr>
            <w:tcW w:w="54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167,887</w:t>
            </w:r>
          </w:p>
        </w:tc>
      </w:tr>
      <w:tr w:rsidR="00CF3F95" w:rsidRPr="0082547E" w:rsidTr="0082547E">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202009</w:t>
            </w:r>
          </w:p>
        </w:tc>
        <w:tc>
          <w:tcPr>
            <w:tcW w:w="682"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110,050</w:t>
            </w:r>
          </w:p>
        </w:tc>
        <w:tc>
          <w:tcPr>
            <w:tcW w:w="606" w:type="pct"/>
            <w:tcBorders>
              <w:top w:val="nil"/>
              <w:left w:val="nil"/>
              <w:bottom w:val="single" w:sz="4" w:space="0" w:color="auto"/>
              <w:right w:val="single" w:sz="4" w:space="0" w:color="auto"/>
            </w:tcBorders>
            <w:shd w:val="clear" w:color="auto" w:fill="auto"/>
            <w:noWrap/>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6,511</w:t>
            </w:r>
          </w:p>
        </w:tc>
        <w:tc>
          <w:tcPr>
            <w:tcW w:w="910"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24,101</w:t>
            </w:r>
          </w:p>
        </w:tc>
        <w:tc>
          <w:tcPr>
            <w:tcW w:w="669"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24,101</w:t>
            </w:r>
          </w:p>
        </w:tc>
        <w:tc>
          <w:tcPr>
            <w:tcW w:w="54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color w:val="000000"/>
                <w:sz w:val="20"/>
                <w:szCs w:val="20"/>
              </w:rPr>
            </w:pPr>
            <w:r w:rsidRPr="0082547E">
              <w:rPr>
                <w:color w:val="000000"/>
                <w:sz w:val="20"/>
                <w:szCs w:val="20"/>
              </w:rPr>
              <w:t>164,763</w:t>
            </w:r>
          </w:p>
        </w:tc>
      </w:tr>
      <w:tr w:rsidR="00CF3F95" w:rsidRPr="0082547E" w:rsidTr="0082547E">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b/>
                <w:bCs/>
                <w:color w:val="000000"/>
                <w:sz w:val="20"/>
                <w:szCs w:val="20"/>
              </w:rPr>
            </w:pPr>
            <w:r w:rsidRPr="0082547E">
              <w:rPr>
                <w:b/>
                <w:bCs/>
                <w:color w:val="000000"/>
                <w:sz w:val="20"/>
                <w:szCs w:val="20"/>
              </w:rPr>
              <w:t>Shuma</w:t>
            </w:r>
          </w:p>
        </w:tc>
        <w:tc>
          <w:tcPr>
            <w:tcW w:w="68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b/>
                <w:bCs/>
                <w:color w:val="000000"/>
                <w:sz w:val="20"/>
                <w:szCs w:val="20"/>
              </w:rPr>
            </w:pPr>
          </w:p>
        </w:tc>
        <w:tc>
          <w:tcPr>
            <w:tcW w:w="682"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b/>
                <w:bCs/>
                <w:color w:val="000000"/>
                <w:sz w:val="20"/>
                <w:szCs w:val="20"/>
              </w:rPr>
            </w:pPr>
            <w:r w:rsidRPr="0082547E">
              <w:rPr>
                <w:b/>
                <w:bCs/>
                <w:color w:val="000000"/>
                <w:sz w:val="20"/>
                <w:szCs w:val="20"/>
              </w:rPr>
              <w:t>957,255</w:t>
            </w:r>
          </w:p>
        </w:tc>
        <w:tc>
          <w:tcPr>
            <w:tcW w:w="606" w:type="pct"/>
            <w:tcBorders>
              <w:top w:val="nil"/>
              <w:left w:val="nil"/>
              <w:bottom w:val="single" w:sz="4" w:space="0" w:color="auto"/>
              <w:right w:val="single" w:sz="4" w:space="0" w:color="auto"/>
            </w:tcBorders>
            <w:shd w:val="clear" w:color="auto" w:fill="auto"/>
            <w:noWrap/>
            <w:vAlign w:val="center"/>
            <w:hideMark/>
          </w:tcPr>
          <w:p w:rsidR="00CF3F95" w:rsidRPr="0082547E" w:rsidRDefault="00CF3F95" w:rsidP="00595373">
            <w:pPr>
              <w:widowControl w:val="0"/>
              <w:spacing w:line="276" w:lineRule="auto"/>
              <w:jc w:val="center"/>
              <w:rPr>
                <w:b/>
                <w:bCs/>
                <w:color w:val="000000"/>
                <w:sz w:val="20"/>
                <w:szCs w:val="20"/>
              </w:rPr>
            </w:pPr>
            <w:r w:rsidRPr="0082547E">
              <w:rPr>
                <w:b/>
                <w:bCs/>
                <w:color w:val="000000"/>
                <w:sz w:val="20"/>
                <w:szCs w:val="20"/>
              </w:rPr>
              <w:t>86,287</w:t>
            </w:r>
          </w:p>
        </w:tc>
        <w:tc>
          <w:tcPr>
            <w:tcW w:w="910"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b/>
                <w:bCs/>
                <w:color w:val="000000"/>
                <w:sz w:val="20"/>
                <w:szCs w:val="20"/>
              </w:rPr>
            </w:pPr>
            <w:r w:rsidRPr="0082547E">
              <w:rPr>
                <w:b/>
                <w:bCs/>
                <w:color w:val="000000"/>
                <w:sz w:val="20"/>
                <w:szCs w:val="20"/>
              </w:rPr>
              <w:t>187,310</w:t>
            </w:r>
          </w:p>
        </w:tc>
        <w:tc>
          <w:tcPr>
            <w:tcW w:w="669"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b/>
                <w:bCs/>
                <w:color w:val="000000"/>
                <w:sz w:val="20"/>
                <w:szCs w:val="20"/>
              </w:rPr>
            </w:pPr>
            <w:r w:rsidRPr="0082547E">
              <w:rPr>
                <w:b/>
                <w:bCs/>
                <w:color w:val="000000"/>
                <w:sz w:val="20"/>
                <w:szCs w:val="20"/>
              </w:rPr>
              <w:t>209,638</w:t>
            </w:r>
          </w:p>
        </w:tc>
        <w:tc>
          <w:tcPr>
            <w:tcW w:w="543" w:type="pct"/>
            <w:tcBorders>
              <w:top w:val="nil"/>
              <w:left w:val="nil"/>
              <w:bottom w:val="single" w:sz="4" w:space="0" w:color="auto"/>
              <w:right w:val="single" w:sz="4" w:space="0" w:color="auto"/>
            </w:tcBorders>
            <w:shd w:val="clear" w:color="auto" w:fill="auto"/>
            <w:vAlign w:val="center"/>
            <w:hideMark/>
          </w:tcPr>
          <w:p w:rsidR="00CF3F95" w:rsidRPr="0082547E" w:rsidRDefault="00CF3F95" w:rsidP="00595373">
            <w:pPr>
              <w:widowControl w:val="0"/>
              <w:spacing w:line="276" w:lineRule="auto"/>
              <w:jc w:val="center"/>
              <w:rPr>
                <w:b/>
                <w:bCs/>
                <w:color w:val="000000"/>
                <w:sz w:val="20"/>
                <w:szCs w:val="20"/>
              </w:rPr>
            </w:pPr>
            <w:r w:rsidRPr="0082547E">
              <w:rPr>
                <w:b/>
                <w:bCs/>
                <w:color w:val="000000"/>
                <w:sz w:val="20"/>
                <w:szCs w:val="20"/>
              </w:rPr>
              <w:t>1,440,490</w:t>
            </w:r>
          </w:p>
        </w:tc>
      </w:tr>
    </w:tbl>
    <w:p w:rsidR="001C6E15" w:rsidRPr="0082547E" w:rsidRDefault="001C6E15" w:rsidP="00595373">
      <w:pPr>
        <w:pStyle w:val="NoSpacing"/>
        <w:widowControl w:val="0"/>
        <w:spacing w:line="276" w:lineRule="auto"/>
        <w:jc w:val="both"/>
        <w:rPr>
          <w:noProof w:val="0"/>
        </w:rPr>
      </w:pPr>
    </w:p>
    <w:p w:rsidR="00C32813" w:rsidRPr="0082547E" w:rsidRDefault="00C24327" w:rsidP="00595373">
      <w:pPr>
        <w:pStyle w:val="NoSpacing"/>
        <w:widowControl w:val="0"/>
        <w:spacing w:line="276" w:lineRule="auto"/>
        <w:jc w:val="both"/>
        <w:rPr>
          <w:noProof w:val="0"/>
        </w:rPr>
      </w:pPr>
      <w:r w:rsidRPr="0082547E">
        <w:rPr>
          <w:noProof w:val="0"/>
        </w:rPr>
        <w:t xml:space="preserve">Nga shqyrtimi </w:t>
      </w:r>
      <w:r w:rsidR="00CD1B0F" w:rsidRPr="0082547E">
        <w:rPr>
          <w:noProof w:val="0"/>
        </w:rPr>
        <w:t xml:space="preserve">paraprak </w:t>
      </w:r>
      <w:r w:rsidRPr="0082547E">
        <w:rPr>
          <w:noProof w:val="0"/>
        </w:rPr>
        <w:t xml:space="preserve">i kërkesës ankimore, </w:t>
      </w:r>
      <w:r w:rsidR="00C32813" w:rsidRPr="0082547E">
        <w:rPr>
          <w:noProof w:val="0"/>
        </w:rPr>
        <w:t xml:space="preserve">konstatojme se janë plotësuar kërkesat ligjore për marrjen në shqyrtim, kërkesa këto të përcaktuara ne pikat 1, 2 dhe 3 te nenit 106, neni 107 dhe Udhëzimin e Ministrit të Financave nr. 24, datë 02.09.2008 pika 106 e në vijim, pasi: </w:t>
      </w:r>
    </w:p>
    <w:p w:rsidR="00C32813" w:rsidRPr="0082547E" w:rsidRDefault="00C32813" w:rsidP="00595373">
      <w:pPr>
        <w:pStyle w:val="NoSpacing"/>
        <w:widowControl w:val="0"/>
        <w:numPr>
          <w:ilvl w:val="0"/>
          <w:numId w:val="15"/>
        </w:numPr>
        <w:spacing w:line="276" w:lineRule="auto"/>
        <w:jc w:val="both"/>
        <w:rPr>
          <w:noProof w:val="0"/>
        </w:rPr>
      </w:pPr>
      <w:r w:rsidRPr="0082547E">
        <w:rPr>
          <w:noProof w:val="0"/>
        </w:rPr>
        <w:t>Akti administrativ i ankimuar, është objekt apelimi, sipas pikes 1, neni 106 të ligjit të sipërcituar.</w:t>
      </w:r>
    </w:p>
    <w:p w:rsidR="00C32813" w:rsidRPr="0082547E" w:rsidRDefault="00C32813" w:rsidP="00595373">
      <w:pPr>
        <w:pStyle w:val="NoSpacing"/>
        <w:widowControl w:val="0"/>
        <w:numPr>
          <w:ilvl w:val="0"/>
          <w:numId w:val="15"/>
        </w:numPr>
        <w:spacing w:line="276" w:lineRule="auto"/>
        <w:jc w:val="both"/>
        <w:rPr>
          <w:noProof w:val="0"/>
        </w:rPr>
      </w:pPr>
      <w:r w:rsidRPr="0082547E">
        <w:rPr>
          <w:noProof w:val="0"/>
        </w:rPr>
        <w:t xml:space="preserve">Ankimi është bërë brenda afatit 30 ditor. </w:t>
      </w:r>
    </w:p>
    <w:p w:rsidR="00C32813" w:rsidRPr="0082547E" w:rsidRDefault="00C32813" w:rsidP="00595373">
      <w:pPr>
        <w:pStyle w:val="NoSpacing"/>
        <w:widowControl w:val="0"/>
        <w:numPr>
          <w:ilvl w:val="0"/>
          <w:numId w:val="15"/>
        </w:numPr>
        <w:spacing w:line="276" w:lineRule="auto"/>
        <w:jc w:val="both"/>
        <w:rPr>
          <w:noProof w:val="0"/>
        </w:rPr>
      </w:pPr>
      <w:r w:rsidRPr="0082547E">
        <w:rPr>
          <w:noProof w:val="0"/>
        </w:rPr>
        <w:t xml:space="preserve">Lidhur me kërkesën ligjore të pagimit të detyrimit tatimor, </w:t>
      </w:r>
      <w:r w:rsidR="00A233AE" w:rsidRPr="0082547E">
        <w:rPr>
          <w:noProof w:val="0"/>
        </w:rPr>
        <w:t xml:space="preserve">referuar sistemit tatimor </w:t>
      </w:r>
      <w:r w:rsidRPr="0082547E">
        <w:rPr>
          <w:noProof w:val="0"/>
        </w:rPr>
        <w:t xml:space="preserve">konstatojmë se </w:t>
      </w:r>
      <w:r w:rsidR="006308CE" w:rsidRPr="0082547E">
        <w:rPr>
          <w:noProof w:val="0"/>
        </w:rPr>
        <w:t xml:space="preserve">shoqëria </w:t>
      </w:r>
      <w:r w:rsidR="00C00D6B" w:rsidRPr="0082547E">
        <w:rPr>
          <w:noProof w:val="0"/>
        </w:rPr>
        <w:t>nuk ka detyrime të papaguara si rrjedhojë e kompensimeve të kryera nga sistemi tatimor</w:t>
      </w:r>
      <w:r w:rsidR="0082547E" w:rsidRPr="0082547E">
        <w:rPr>
          <w:noProof w:val="0"/>
        </w:rPr>
        <w:t>, brenda afatit t</w:t>
      </w:r>
      <w:r w:rsidR="00B04E41">
        <w:rPr>
          <w:noProof w:val="0"/>
        </w:rPr>
        <w:t>ë</w:t>
      </w:r>
      <w:r w:rsidR="0082547E" w:rsidRPr="0082547E">
        <w:rPr>
          <w:noProof w:val="0"/>
        </w:rPr>
        <w:t xml:space="preserve"> ankimit</w:t>
      </w:r>
      <w:r w:rsidR="006308CE" w:rsidRPr="0082547E">
        <w:rPr>
          <w:noProof w:val="0"/>
        </w:rPr>
        <w:t>.</w:t>
      </w:r>
    </w:p>
    <w:p w:rsidR="00C32813" w:rsidRPr="0082547E" w:rsidRDefault="00C32813" w:rsidP="00595373">
      <w:pPr>
        <w:pStyle w:val="NoSpacing"/>
        <w:widowControl w:val="0"/>
        <w:spacing w:line="276" w:lineRule="auto"/>
        <w:jc w:val="both"/>
        <w:rPr>
          <w:noProof w:val="0"/>
        </w:rPr>
      </w:pPr>
    </w:p>
    <w:p w:rsidR="00C83362" w:rsidRPr="0082547E" w:rsidRDefault="00C83362" w:rsidP="00595373">
      <w:pPr>
        <w:pStyle w:val="NoSpacing"/>
        <w:widowControl w:val="0"/>
        <w:spacing w:line="276" w:lineRule="auto"/>
        <w:jc w:val="both"/>
        <w:rPr>
          <w:i/>
          <w:noProof w:val="0"/>
        </w:rPr>
      </w:pPr>
      <w:r w:rsidRPr="0082547E">
        <w:rPr>
          <w:bCs/>
          <w:noProof w:val="0"/>
        </w:rPr>
        <w:t xml:space="preserve">Nga shqyrtimi i mëtejshëm i kërkesës ankimore, është konstatuar mungesa e dokumentacionit të </w:t>
      </w:r>
      <w:r w:rsidRPr="0082547E">
        <w:rPr>
          <w:bCs/>
          <w:noProof w:val="0"/>
        </w:rPr>
        <w:lastRenderedPageBreak/>
        <w:t xml:space="preserve">përcaktuar në Udhëzimin nr. 24 të Ministrit të Financave, datë 02.09.2008 “Për Procedurat Tatimore në R.SH.”, pika 106.2.4. Bazuar në pikën 106.2.5 dhe pikën 108.2.1 të Udhëzimit nr. 24 të Ministrit të Financave, datë 02.09.2008 “Për Proçedurat Tatimore në R.SH.”, Drejtoria e Apelimit Tatimor ka kërkuar nga </w:t>
      </w:r>
      <w:r w:rsidRPr="0082547E">
        <w:rPr>
          <w:noProof w:val="0"/>
        </w:rPr>
        <w:t>tatimpaguesi</w:t>
      </w:r>
      <w:r w:rsidR="0082547E" w:rsidRPr="0082547E">
        <w:rPr>
          <w:noProof w:val="0"/>
        </w:rPr>
        <w:t xml:space="preserve"> dokumentacionin që verteton pretendimet në ankim, k</w:t>
      </w:r>
      <w:r w:rsidR="00B04E41">
        <w:rPr>
          <w:noProof w:val="0"/>
        </w:rPr>
        <w:t>ë</w:t>
      </w:r>
      <w:r w:rsidR="0082547E" w:rsidRPr="0082547E">
        <w:rPr>
          <w:noProof w:val="0"/>
        </w:rPr>
        <w:t>rkesat e kryera pranë institucioneve përkatëse për procedurat e kategorizimit të strukturave akomoduese bazuar në Urdhërin nr. 267, datë 24.07.2019,  përpara datës 31.03.2020.</w:t>
      </w:r>
    </w:p>
    <w:p w:rsidR="00C83362" w:rsidRPr="0082547E" w:rsidRDefault="00C83362" w:rsidP="00595373">
      <w:pPr>
        <w:pStyle w:val="NoSpacing"/>
        <w:widowControl w:val="0"/>
        <w:spacing w:line="276" w:lineRule="auto"/>
        <w:jc w:val="both"/>
        <w:rPr>
          <w:noProof w:val="0"/>
        </w:rPr>
      </w:pPr>
    </w:p>
    <w:p w:rsidR="0082547E" w:rsidRPr="0082547E" w:rsidRDefault="0082547E" w:rsidP="00595373">
      <w:pPr>
        <w:widowControl w:val="0"/>
        <w:spacing w:line="276" w:lineRule="auto"/>
        <w:jc w:val="both"/>
      </w:pPr>
      <w:r w:rsidRPr="0082547E">
        <w:t>Drejtoria e Apelimit Tatimor, pasi shq</w:t>
      </w:r>
      <w:r w:rsidR="00B04E41">
        <w:t>y</w:t>
      </w:r>
      <w:r w:rsidRPr="0082547E">
        <w:t>rtoi kërkesën për apelim të tatimpaguesit dhe argumentat e parashtruara në të, raportin e kontrollit mbi bazën e të cilit është nxjerrë njoftim vlerësimi i ankimuar, në respektim të kërkesave të nenit 108 “Kompetencat për shqyrtimin e Ankimit Tatimor” të Ligjit nr. 9920, datë 19.05.2008 “Për Procedurat Tatimore në R.Sh”, vëren se:</w:t>
      </w:r>
    </w:p>
    <w:p w:rsidR="0082547E" w:rsidRDefault="0082547E" w:rsidP="00595373">
      <w:pPr>
        <w:pStyle w:val="NoSpacing"/>
        <w:widowControl w:val="0"/>
        <w:spacing w:line="276" w:lineRule="auto"/>
        <w:jc w:val="both"/>
        <w:rPr>
          <w:noProof w:val="0"/>
        </w:rPr>
      </w:pPr>
    </w:p>
    <w:p w:rsidR="00711B45" w:rsidRDefault="00711B45" w:rsidP="00711B45">
      <w:pPr>
        <w:pStyle w:val="NoSpacing"/>
        <w:widowControl w:val="0"/>
        <w:spacing w:line="276" w:lineRule="auto"/>
        <w:jc w:val="center"/>
        <w:rPr>
          <w:noProof w:val="0"/>
        </w:rPr>
      </w:pPr>
      <w:r>
        <w:rPr>
          <w:noProof w:val="0"/>
        </w:rPr>
        <w:t>* * *</w:t>
      </w:r>
    </w:p>
    <w:p w:rsidR="00711B45" w:rsidRPr="0082547E" w:rsidRDefault="00711B45" w:rsidP="00595373">
      <w:pPr>
        <w:pStyle w:val="NoSpacing"/>
        <w:widowControl w:val="0"/>
        <w:spacing w:line="276" w:lineRule="auto"/>
        <w:jc w:val="both"/>
        <w:rPr>
          <w:noProof w:val="0"/>
        </w:rPr>
      </w:pPr>
    </w:p>
    <w:p w:rsidR="00EB0BC2" w:rsidRPr="0082547E" w:rsidRDefault="00CF7327" w:rsidP="00595373">
      <w:pPr>
        <w:widowControl w:val="0"/>
        <w:spacing w:line="276" w:lineRule="auto"/>
        <w:ind w:right="-90"/>
        <w:jc w:val="both"/>
        <w:rPr>
          <w:i/>
        </w:rPr>
      </w:pPr>
      <w:r w:rsidRPr="0082547E">
        <w:t xml:space="preserve">Nga kontrolli i dokumentacionit </w:t>
      </w:r>
      <w:r w:rsidR="00807540" w:rsidRPr="0082547E">
        <w:t>ka rezultuar se për periudhën e kontrolluar shoqëria ka kryer shitje të tatushme me shkallë të reduktuar të TVSH 6% kur nuk disponon asnjë dokument për të vertetuar</w:t>
      </w:r>
      <w:r w:rsidR="007E755F" w:rsidRPr="0082547E">
        <w:t xml:space="preserve"> që është strukturë akomoduese në një nga kategoritë e përcaktuara në legjistacionin e turizmit. Bazuar në Ligjin nr 92/2014 “Për TVSH” neni 49 pika 3 në të cilin është përcaktuar se: “3</w:t>
      </w:r>
      <w:r w:rsidR="007E755F" w:rsidRPr="0082547E">
        <w:rPr>
          <w:i/>
        </w:rPr>
        <w:t>. Shkalla e reduktuar e tatimit mbi vlerën e shtuar, e cila aplikohet për furnizimin e shërbimit të akomodimit në strukturat akomoduese, sipas kategorive të përcaktuara në legjislacionin e fushës së turizmit, është 6 për qind. Kushtet, kriteret dhe procedurat për zbatimin e kësaj pike përcaktohen me ve</w:t>
      </w:r>
      <w:r w:rsidR="00CF75B3" w:rsidRPr="0082547E">
        <w:rPr>
          <w:i/>
        </w:rPr>
        <w:t>ndim të Këshillit të Ministrave”</w:t>
      </w:r>
    </w:p>
    <w:p w:rsidR="00CF75B3" w:rsidRPr="0082547E" w:rsidRDefault="00CF75B3" w:rsidP="00595373">
      <w:pPr>
        <w:widowControl w:val="0"/>
        <w:spacing w:line="276" w:lineRule="auto"/>
        <w:ind w:right="-90"/>
        <w:jc w:val="both"/>
      </w:pPr>
      <w:r w:rsidRPr="0082547E">
        <w:t xml:space="preserve">VKM nr 953 datë 29.12.2014 neni 11/1 ka përcaktuar se: “1. </w:t>
      </w:r>
      <w:r w:rsidRPr="0082547E">
        <w:rPr>
          <w:i/>
        </w:rPr>
        <w:t>Në zbatim të pikës 3, të nenit 49, të ligjit, shkalla e reduktuar e tatimit mbi vlerën e shtuar, e cila aplikohet për furnizimin e shërbimit të akomodimit në strukturat akomoduese, sipas kategorive të përcaktuara në legjislacionin e fushës së turizmit, është 6 për qind</w:t>
      </w:r>
      <w:r w:rsidRPr="0082547E">
        <w:t>”.</w:t>
      </w:r>
    </w:p>
    <w:p w:rsidR="00D55D4A" w:rsidRPr="0082547E" w:rsidRDefault="00CF75B3" w:rsidP="00595373">
      <w:pPr>
        <w:pStyle w:val="NoSpacing"/>
        <w:widowControl w:val="0"/>
        <w:spacing w:line="276" w:lineRule="auto"/>
        <w:jc w:val="both"/>
        <w:rPr>
          <w:noProof w:val="0"/>
        </w:rPr>
      </w:pPr>
      <w:r w:rsidRPr="0082547E">
        <w:rPr>
          <w:noProof w:val="0"/>
        </w:rPr>
        <w:t>Shoqëria nuk disponon dokumentin përkatës dhe nuk plotëson kriterin : “</w:t>
      </w:r>
      <w:r w:rsidRPr="0082547E">
        <w:rPr>
          <w:i/>
          <w:noProof w:val="0"/>
        </w:rPr>
        <w:t xml:space="preserve">strukturë akomoduese, sipas kategorive të përcaktuara në legjislacionin e fushës së turizmit” </w:t>
      </w:r>
      <w:r w:rsidR="005F7974" w:rsidRPr="0082547E">
        <w:rPr>
          <w:noProof w:val="0"/>
        </w:rPr>
        <w:t xml:space="preserve"> për të përfituar nga shkalla tatimore 6%.</w:t>
      </w:r>
    </w:p>
    <w:p w:rsidR="005F7974" w:rsidRPr="0082547E" w:rsidRDefault="005F7974" w:rsidP="00595373">
      <w:pPr>
        <w:pStyle w:val="NoSpacing"/>
        <w:widowControl w:val="0"/>
        <w:spacing w:line="276" w:lineRule="auto"/>
        <w:jc w:val="both"/>
        <w:rPr>
          <w:noProof w:val="0"/>
        </w:rPr>
      </w:pPr>
      <w:r w:rsidRPr="0082547E">
        <w:rPr>
          <w:noProof w:val="0"/>
        </w:rPr>
        <w:t>Bazuar në nenin nr 68 të ligjit 9920/2008 pika 4 në të cilën është përcaktuar: “</w:t>
      </w:r>
      <w:r w:rsidRPr="0082547E">
        <w:rPr>
          <w:i/>
          <w:noProof w:val="0"/>
        </w:rPr>
        <w:t xml:space="preserve">Nëse administrata tatimore konstaton se detyrimi tatimor, i dhënë në deklaratën tatimore, është i pasaktë ose tatimpaguesi nuk ka dorëzuar deklaratë tatimore apo nuk ka paguar detyrimin tatimor, administrata tatimore bën vlerësimin tatimor” </w:t>
      </w:r>
      <w:r w:rsidRPr="0082547E">
        <w:rPr>
          <w:noProof w:val="0"/>
        </w:rPr>
        <w:t xml:space="preserve">ndaj tatimpaguesit është kryer vlerësimi i deklaratave të TVSH për periudhën </w:t>
      </w:r>
      <w:r w:rsidR="00A52390" w:rsidRPr="0082547E">
        <w:rPr>
          <w:noProof w:val="0"/>
        </w:rPr>
        <w:t>2019/08 deri 2020/12</w:t>
      </w:r>
      <w:r w:rsidRPr="0082547E">
        <w:rPr>
          <w:noProof w:val="0"/>
        </w:rPr>
        <w:t xml:space="preserve"> sa më poshtë.</w:t>
      </w:r>
    </w:p>
    <w:p w:rsidR="00A52390" w:rsidRPr="0082547E" w:rsidRDefault="00A52390" w:rsidP="00595373">
      <w:pPr>
        <w:widowControl w:val="0"/>
        <w:spacing w:line="276" w:lineRule="auto"/>
        <w:jc w:val="both"/>
        <w:rPr>
          <w:color w:val="000000"/>
        </w:rPr>
      </w:pPr>
      <w:r w:rsidRPr="0082547E">
        <w:t>Ministria e Turizmit dhe Mjedisit, me Urdhërin Nr. 41 datë 18.02.2020 ‘’Për një ndryshim në Urdhërin Nr. nr.267, datë 24.07.2019 “</w:t>
      </w:r>
      <w:r w:rsidRPr="0082547E">
        <w:rPr>
          <w:i/>
        </w:rPr>
        <w:t>Mbi miratimin e rregullores për mënyrën, kriteret dhe procedurat e kategorizimit të strukturave akomoduese</w:t>
      </w:r>
      <w:r w:rsidRPr="0082547E">
        <w:t xml:space="preserve">”, i ndryshuar, njofton të gjitha subjektet që ushtrojnë veprimtari si strukturë akomoduese se afati </w:t>
      </w:r>
      <w:r w:rsidR="00880C66" w:rsidRPr="0082547E">
        <w:t>i</w:t>
      </w:r>
      <w:r w:rsidRPr="0082547E">
        <w:t xml:space="preserve"> aplikimit për marrjen e çertifikatës së katëgorizimit është shtyrë deri në datë 31.03.2020. Të gjitha subjektet të cilat do të aplikojnë br</w:t>
      </w:r>
      <w:r w:rsidR="0082547E" w:rsidRPr="0082547E">
        <w:t>e</w:t>
      </w:r>
      <w:r w:rsidRPr="0082547E">
        <w:t>nda kësaj datë do të përfitojnë shkallën e reduktuar të tatimit mbi vlerën e shtuar, e cila aplikohet për furnizimin e shërbimit të akomodimit në strukturat akomoduese. Drejtoria e Përgjithshme e Tatimeve bën me dije tatimpaguesit të cilët nuk do të aplikojnë brënda datës 31.03.2020, nuk do të jenë subjek</w:t>
      </w:r>
      <w:r w:rsidR="0082547E" w:rsidRPr="0082547E">
        <w:t>t përfitimi i</w:t>
      </w:r>
      <w:r w:rsidRPr="0082547E">
        <w:t xml:space="preserve"> shkallës së reduktuar të TVSH</w:t>
      </w:r>
      <w:r w:rsidRPr="0082547E">
        <w:rPr>
          <w:rFonts w:ascii="SFProText-Regular" w:hAnsi="SFProText-Regular"/>
          <w:color w:val="000000"/>
          <w:sz w:val="27"/>
          <w:szCs w:val="27"/>
        </w:rPr>
        <w:t>.</w:t>
      </w:r>
    </w:p>
    <w:p w:rsidR="00A52390" w:rsidRPr="0082547E" w:rsidRDefault="00A52390" w:rsidP="00595373">
      <w:pPr>
        <w:widowControl w:val="0"/>
        <w:spacing w:line="276" w:lineRule="auto"/>
        <w:jc w:val="both"/>
      </w:pPr>
      <w:r w:rsidRPr="0082547E">
        <w:lastRenderedPageBreak/>
        <w:t>Ndodhur para faktit që tatimpaguesi nuk ka paraqitur dokumentacionin e kërkuar, çertifikat</w:t>
      </w:r>
      <w:r w:rsidR="00880C66" w:rsidRPr="0082547E">
        <w:t>ën</w:t>
      </w:r>
      <w:r w:rsidRPr="0082547E">
        <w:t xml:space="preserve"> e  akomodimit</w:t>
      </w:r>
      <w:r w:rsidR="00880C66" w:rsidRPr="0082547E">
        <w:t xml:space="preserve">, </w:t>
      </w:r>
      <w:r w:rsidRPr="0082547E">
        <w:t>nga ana e administratës tatimore është kryer vleresimi I situates se TVSH per periudhen 2019/08-2020/12</w:t>
      </w:r>
      <w:r w:rsidR="0082547E" w:rsidRPr="0082547E">
        <w:t>,</w:t>
      </w:r>
      <w:r w:rsidRPr="0082547E">
        <w:t xml:space="preserve"> duke vlerësuar shitjet nga  6 % ne shitje me shkalle tvsh 20 %. </w:t>
      </w:r>
    </w:p>
    <w:p w:rsidR="00A52390" w:rsidRPr="0082547E" w:rsidRDefault="00954791" w:rsidP="00595373">
      <w:pPr>
        <w:widowControl w:val="0"/>
        <w:spacing w:line="276" w:lineRule="auto"/>
        <w:jc w:val="both"/>
      </w:pPr>
      <w:r w:rsidRPr="0082547E">
        <w:t>Gjithashtu</w:t>
      </w:r>
      <w:r w:rsidR="0082547E" w:rsidRPr="0082547E">
        <w:t>, ndaj tatimpaguesit jan</w:t>
      </w:r>
      <w:r w:rsidR="00B04E41">
        <w:t>ë</w:t>
      </w:r>
      <w:r w:rsidR="0082547E" w:rsidRPr="0082547E">
        <w:t xml:space="preserve"> llogaritur</w:t>
      </w:r>
      <w:r w:rsidRPr="0082547E">
        <w:t xml:space="preserve"> </w:t>
      </w:r>
      <w:r w:rsidR="0082547E" w:rsidRPr="0082547E">
        <w:t>kamat</w:t>
      </w:r>
      <w:r w:rsidR="00B04E41">
        <w:t>ë</w:t>
      </w:r>
      <w:r w:rsidR="0082547E" w:rsidRPr="0082547E">
        <w:t xml:space="preserve">vonesa dhe </w:t>
      </w:r>
      <w:r w:rsidR="00A52390" w:rsidRPr="0082547E">
        <w:t xml:space="preserve">gjoba per pagese te vonuar </w:t>
      </w:r>
      <w:r w:rsidR="007A1664" w:rsidRPr="0082547E">
        <w:t>të</w:t>
      </w:r>
      <w:r w:rsidR="0082547E" w:rsidRPr="0082547E">
        <w:t xml:space="preserve"> det</w:t>
      </w:r>
      <w:r w:rsidR="0082547E">
        <w:t>y</w:t>
      </w:r>
      <w:r w:rsidR="0082547E" w:rsidRPr="0082547E">
        <w:t>rimit tatimor</w:t>
      </w:r>
      <w:r w:rsidR="007A1664" w:rsidRPr="0082547E">
        <w:t xml:space="preserve"> </w:t>
      </w:r>
      <w:r w:rsidR="00A52390" w:rsidRPr="0082547E">
        <w:t>nga</w:t>
      </w:r>
      <w:r w:rsidR="0082547E">
        <w:t xml:space="preserve"> </w:t>
      </w:r>
      <w:r w:rsidR="007A1664" w:rsidRPr="0082547E">
        <w:t xml:space="preserve">sistemi tatimor </w:t>
      </w:r>
      <w:r w:rsidR="00A52390" w:rsidRPr="0082547E">
        <w:t>c@ts</w:t>
      </w:r>
      <w:r w:rsidRPr="0082547E">
        <w:t>.</w:t>
      </w:r>
      <w:r w:rsidR="00A52390" w:rsidRPr="0082547E">
        <w:t xml:space="preserve"> </w:t>
      </w:r>
    </w:p>
    <w:p w:rsidR="00B56E6C" w:rsidRPr="0082547E" w:rsidRDefault="00B56E6C" w:rsidP="00595373">
      <w:pPr>
        <w:pStyle w:val="NoSpacing"/>
        <w:widowControl w:val="0"/>
        <w:spacing w:line="276" w:lineRule="auto"/>
        <w:jc w:val="both"/>
        <w:rPr>
          <w:noProof w:val="0"/>
        </w:rPr>
      </w:pPr>
    </w:p>
    <w:p w:rsidR="00CF7327" w:rsidRPr="0082547E" w:rsidRDefault="00CF7327" w:rsidP="00595373">
      <w:pPr>
        <w:pStyle w:val="NoSpacing"/>
        <w:widowControl w:val="0"/>
        <w:spacing w:line="276" w:lineRule="auto"/>
        <w:jc w:val="center"/>
        <w:rPr>
          <w:noProof w:val="0"/>
        </w:rPr>
      </w:pPr>
      <w:r w:rsidRPr="0082547E">
        <w:rPr>
          <w:noProof w:val="0"/>
        </w:rPr>
        <w:t>*</w:t>
      </w:r>
      <w:r w:rsidR="00A03C2D" w:rsidRPr="0082547E">
        <w:rPr>
          <w:noProof w:val="0"/>
        </w:rPr>
        <w:t xml:space="preserve"> </w:t>
      </w:r>
      <w:r w:rsidRPr="0082547E">
        <w:rPr>
          <w:noProof w:val="0"/>
        </w:rPr>
        <w:t>*</w:t>
      </w:r>
      <w:r w:rsidR="00A03C2D" w:rsidRPr="0082547E">
        <w:rPr>
          <w:noProof w:val="0"/>
        </w:rPr>
        <w:t xml:space="preserve"> </w:t>
      </w:r>
      <w:r w:rsidRPr="0082547E">
        <w:rPr>
          <w:noProof w:val="0"/>
        </w:rPr>
        <w:t>*</w:t>
      </w:r>
    </w:p>
    <w:p w:rsidR="00C822AD" w:rsidRPr="0082547E" w:rsidRDefault="00C822AD" w:rsidP="00595373">
      <w:pPr>
        <w:widowControl w:val="0"/>
        <w:spacing w:line="276" w:lineRule="auto"/>
        <w:jc w:val="both"/>
        <w:rPr>
          <w:rFonts w:eastAsia="MS Mincho"/>
        </w:rPr>
      </w:pPr>
    </w:p>
    <w:p w:rsidR="00D312FE" w:rsidRPr="0082547E" w:rsidRDefault="00C46A6C" w:rsidP="00595373">
      <w:pPr>
        <w:widowControl w:val="0"/>
        <w:spacing w:line="276" w:lineRule="auto"/>
        <w:jc w:val="both"/>
        <w:rPr>
          <w:rFonts w:eastAsiaTheme="minorHAnsi"/>
        </w:rPr>
      </w:pPr>
      <w:r w:rsidRPr="0082547E">
        <w:rPr>
          <w:rFonts w:eastAsiaTheme="minorHAnsi"/>
        </w:rPr>
        <w:t>Tatimpaguesi</w:t>
      </w:r>
      <w:r w:rsidR="00D312FE" w:rsidRPr="0082547E">
        <w:rPr>
          <w:rFonts w:eastAsiaTheme="minorHAnsi"/>
        </w:rPr>
        <w:t xml:space="preserve"> ka kundërshtuar vlerësimin e kryer duke argumentuar në mënyrë të detajuar, sa më poshtë:</w:t>
      </w:r>
    </w:p>
    <w:p w:rsidR="00880505" w:rsidRPr="0082547E" w:rsidRDefault="00C46A6C" w:rsidP="00595373">
      <w:pPr>
        <w:widowControl w:val="0"/>
        <w:spacing w:line="276" w:lineRule="auto"/>
        <w:jc w:val="both"/>
        <w:rPr>
          <w:rFonts w:eastAsiaTheme="minorHAnsi"/>
          <w:spacing w:val="4"/>
          <w:position w:val="2"/>
        </w:rPr>
      </w:pPr>
      <w:r w:rsidRPr="0082547E">
        <w:rPr>
          <w:rFonts w:eastAsiaTheme="minorHAnsi"/>
          <w:spacing w:val="4"/>
          <w:position w:val="2"/>
        </w:rPr>
        <w:t xml:space="preserve">Kontrolli është mbajtur në mynyrë të njëanshme dhe pa dijeninë </w:t>
      </w:r>
      <w:r w:rsidR="00880505" w:rsidRPr="0082547E">
        <w:rPr>
          <w:rFonts w:eastAsiaTheme="minorHAnsi"/>
          <w:spacing w:val="4"/>
          <w:position w:val="2"/>
        </w:rPr>
        <w:t>tonë si tatimpagues</w:t>
      </w:r>
      <w:r w:rsidRPr="0082547E">
        <w:rPr>
          <w:rFonts w:eastAsiaTheme="minorHAnsi"/>
          <w:spacing w:val="4"/>
          <w:position w:val="2"/>
        </w:rPr>
        <w:t xml:space="preserve"> në kundërshtim me nenin 33 dhe 34 të ligjit nr</w:t>
      </w:r>
      <w:r w:rsidR="0082547E">
        <w:rPr>
          <w:rFonts w:eastAsiaTheme="minorHAnsi"/>
          <w:spacing w:val="4"/>
          <w:position w:val="2"/>
        </w:rPr>
        <w:t>.</w:t>
      </w:r>
      <w:r w:rsidRPr="0082547E">
        <w:rPr>
          <w:rFonts w:eastAsiaTheme="minorHAnsi"/>
          <w:spacing w:val="4"/>
          <w:position w:val="2"/>
        </w:rPr>
        <w:t xml:space="preserve"> 9920/2008. </w:t>
      </w:r>
    </w:p>
    <w:p w:rsidR="00880505" w:rsidRPr="0082547E" w:rsidRDefault="00C46A6C" w:rsidP="00595373">
      <w:pPr>
        <w:widowControl w:val="0"/>
        <w:spacing w:line="276" w:lineRule="auto"/>
        <w:jc w:val="both"/>
        <w:rPr>
          <w:rFonts w:eastAsiaTheme="minorHAnsi"/>
          <w:spacing w:val="4"/>
          <w:position w:val="2"/>
        </w:rPr>
      </w:pPr>
      <w:r w:rsidRPr="0082547E">
        <w:rPr>
          <w:rFonts w:eastAsiaTheme="minorHAnsi"/>
          <w:spacing w:val="4"/>
          <w:position w:val="2"/>
        </w:rPr>
        <w:t xml:space="preserve">Njoftim vlerësimi është hartuar në kundërshtim me nenet 68 dhe 69 të këtij ligji. </w:t>
      </w:r>
    </w:p>
    <w:p w:rsidR="00C46A6C" w:rsidRPr="0082547E" w:rsidRDefault="00C46A6C" w:rsidP="00595373">
      <w:pPr>
        <w:widowControl w:val="0"/>
        <w:spacing w:line="276" w:lineRule="auto"/>
        <w:jc w:val="both"/>
        <w:rPr>
          <w:rFonts w:eastAsiaTheme="minorHAnsi"/>
          <w:spacing w:val="4"/>
          <w:position w:val="2"/>
        </w:rPr>
      </w:pPr>
      <w:r w:rsidRPr="0082547E">
        <w:rPr>
          <w:rFonts w:eastAsiaTheme="minorHAnsi"/>
          <w:spacing w:val="4"/>
          <w:position w:val="2"/>
        </w:rPr>
        <w:t xml:space="preserve">Gjithashtu konkluzioni se nuk përfshihemi në </w:t>
      </w:r>
      <w:r w:rsidR="00880505" w:rsidRPr="0082547E">
        <w:rPr>
          <w:rFonts w:eastAsiaTheme="minorHAnsi"/>
          <w:spacing w:val="4"/>
          <w:position w:val="2"/>
        </w:rPr>
        <w:t>strukturat akomoduese pasi nuk jemi paisur me autorizimin e Ministrisë së Turizmit nuk qëndron pasi ne kemi kryer aplikimin në dhjetor 2020. Në dhjetor 2020 ne kemi kryer riaplikim pasi aplikimi është kryer në</w:t>
      </w:r>
      <w:r w:rsidR="004F1E1E" w:rsidRPr="0082547E">
        <w:rPr>
          <w:rFonts w:eastAsiaTheme="minorHAnsi"/>
          <w:spacing w:val="4"/>
          <w:position w:val="2"/>
        </w:rPr>
        <w:t xml:space="preserve"> 24.11.2019, vertetuar me e-mail të fatës 24.11.20</w:t>
      </w:r>
      <w:r w:rsidR="00C11D70">
        <w:rPr>
          <w:rFonts w:eastAsiaTheme="minorHAnsi"/>
          <w:spacing w:val="4"/>
          <w:position w:val="2"/>
        </w:rPr>
        <w:t xml:space="preserve">19 me anën e të cilit shoqëria </w:t>
      </w:r>
      <w:r w:rsidR="004F1E1E" w:rsidRPr="0082547E">
        <w:rPr>
          <w:rFonts w:eastAsiaTheme="minorHAnsi"/>
          <w:spacing w:val="4"/>
          <w:position w:val="2"/>
        </w:rPr>
        <w:t xml:space="preserve">i ka dërguar Ministrisë së Turizmit </w:t>
      </w:r>
      <w:r w:rsidR="008B6962" w:rsidRPr="0082547E">
        <w:rPr>
          <w:rFonts w:eastAsiaTheme="minorHAnsi"/>
          <w:spacing w:val="4"/>
          <w:position w:val="2"/>
        </w:rPr>
        <w:t>si dhe përgjigja për aplikimin e kryer nga personat e kontaktit në këtë</w:t>
      </w:r>
      <w:r w:rsidR="003F21DE">
        <w:rPr>
          <w:rFonts w:eastAsiaTheme="minorHAnsi"/>
          <w:spacing w:val="4"/>
          <w:position w:val="2"/>
        </w:rPr>
        <w:t xml:space="preserve"> ministri, si dhe</w:t>
      </w:r>
      <w:r w:rsidR="008B6962" w:rsidRPr="0082547E">
        <w:rPr>
          <w:rFonts w:eastAsiaTheme="minorHAnsi"/>
          <w:spacing w:val="4"/>
          <w:position w:val="2"/>
        </w:rPr>
        <w:t xml:space="preserve"> dëftesa postare m</w:t>
      </w:r>
      <w:r w:rsidR="004D7172">
        <w:rPr>
          <w:rFonts w:eastAsiaTheme="minorHAnsi"/>
          <w:spacing w:val="4"/>
          <w:position w:val="2"/>
        </w:rPr>
        <w:t>e</w:t>
      </w:r>
      <w:r w:rsidR="008B6962" w:rsidRPr="0082547E">
        <w:rPr>
          <w:rFonts w:eastAsiaTheme="minorHAnsi"/>
          <w:spacing w:val="4"/>
          <w:position w:val="2"/>
        </w:rPr>
        <w:t xml:space="preserve"> anën e të cilit është kryer riaplikimi në datë 22.12.2020.</w:t>
      </w:r>
    </w:p>
    <w:p w:rsidR="00880505" w:rsidRPr="0082547E" w:rsidRDefault="00880505" w:rsidP="00595373">
      <w:pPr>
        <w:widowControl w:val="0"/>
        <w:spacing w:line="276" w:lineRule="auto"/>
        <w:jc w:val="both"/>
        <w:rPr>
          <w:rFonts w:eastAsiaTheme="minorHAnsi"/>
          <w:spacing w:val="4"/>
          <w:position w:val="2"/>
        </w:rPr>
      </w:pPr>
      <w:r w:rsidRPr="0082547E">
        <w:rPr>
          <w:rFonts w:eastAsiaTheme="minorHAnsi"/>
          <w:spacing w:val="4"/>
          <w:position w:val="2"/>
        </w:rPr>
        <w:t>Organi tatimor ka vepruar në kundërshtim me nenin 107 dhe 108 të K.P.Administrative duke e bërë vlerësimin e kryer të pavlefshëm pasi është mbajtur një vlerësim pa praninë e përfaqësuesit të tatimpaguesit.</w:t>
      </w:r>
    </w:p>
    <w:p w:rsidR="003F21DE" w:rsidRPr="0082547E" w:rsidRDefault="003F21DE" w:rsidP="00595373">
      <w:pPr>
        <w:widowControl w:val="0"/>
        <w:spacing w:line="276" w:lineRule="auto"/>
        <w:jc w:val="both"/>
        <w:rPr>
          <w:rFonts w:eastAsiaTheme="minorHAnsi"/>
          <w:spacing w:val="4"/>
          <w:position w:val="2"/>
        </w:rPr>
      </w:pPr>
    </w:p>
    <w:p w:rsidR="00CF7327" w:rsidRPr="0082547E" w:rsidRDefault="00C66E2C" w:rsidP="00595373">
      <w:pPr>
        <w:pStyle w:val="NoSpacing"/>
        <w:widowControl w:val="0"/>
        <w:spacing w:line="276" w:lineRule="auto"/>
        <w:jc w:val="center"/>
        <w:rPr>
          <w:noProof w:val="0"/>
        </w:rPr>
      </w:pPr>
      <w:r w:rsidRPr="0082547E">
        <w:rPr>
          <w:noProof w:val="0"/>
        </w:rPr>
        <w:t>*</w:t>
      </w:r>
      <w:r w:rsidR="00A03C2D" w:rsidRPr="0082547E">
        <w:rPr>
          <w:noProof w:val="0"/>
        </w:rPr>
        <w:t xml:space="preserve"> </w:t>
      </w:r>
      <w:r w:rsidRPr="0082547E">
        <w:rPr>
          <w:noProof w:val="0"/>
        </w:rPr>
        <w:t>*</w:t>
      </w:r>
      <w:r w:rsidR="00A03C2D" w:rsidRPr="0082547E">
        <w:rPr>
          <w:noProof w:val="0"/>
        </w:rPr>
        <w:t xml:space="preserve"> </w:t>
      </w:r>
      <w:r w:rsidRPr="0082547E">
        <w:rPr>
          <w:noProof w:val="0"/>
        </w:rPr>
        <w:t>*</w:t>
      </w:r>
    </w:p>
    <w:p w:rsidR="0007249D" w:rsidRPr="0082547E" w:rsidRDefault="0007249D" w:rsidP="00595373">
      <w:pPr>
        <w:pStyle w:val="Header"/>
        <w:widowControl w:val="0"/>
        <w:tabs>
          <w:tab w:val="left" w:pos="720"/>
        </w:tabs>
        <w:spacing w:line="276" w:lineRule="auto"/>
        <w:jc w:val="both"/>
        <w:rPr>
          <w:bCs/>
        </w:rPr>
      </w:pPr>
    </w:p>
    <w:p w:rsidR="00BC4E59" w:rsidRPr="0082547E" w:rsidRDefault="00BC4E59" w:rsidP="00595373">
      <w:pPr>
        <w:pStyle w:val="Header"/>
        <w:widowControl w:val="0"/>
        <w:tabs>
          <w:tab w:val="left" w:pos="720"/>
        </w:tabs>
        <w:spacing w:line="276" w:lineRule="auto"/>
        <w:jc w:val="both"/>
        <w:rPr>
          <w:bCs/>
        </w:rPr>
      </w:pPr>
      <w:r w:rsidRPr="0082547E">
        <w:rPr>
          <w:bCs/>
        </w:rPr>
        <w:t xml:space="preserve">Drejtoria e Apelimit Tatimor, pas shqyrtimit të pretendimeve të shoqërisë, të dhënave në raportin e kontrollit dhe pasi hulumtoi në dispozitat ligjore ku mbështetet vlerësimi i kryer, vlerëson se: </w:t>
      </w:r>
    </w:p>
    <w:p w:rsidR="00BC4E59" w:rsidRDefault="00BC4E59" w:rsidP="00595373">
      <w:pPr>
        <w:pStyle w:val="Header"/>
        <w:widowControl w:val="0"/>
        <w:tabs>
          <w:tab w:val="left" w:pos="720"/>
        </w:tabs>
        <w:spacing w:line="276" w:lineRule="auto"/>
        <w:jc w:val="both"/>
        <w:rPr>
          <w:bCs/>
        </w:rPr>
      </w:pPr>
    </w:p>
    <w:p w:rsidR="003F21DE" w:rsidRPr="003F21DE" w:rsidRDefault="003F21DE" w:rsidP="00595373">
      <w:pPr>
        <w:pStyle w:val="Header"/>
        <w:widowControl w:val="0"/>
        <w:tabs>
          <w:tab w:val="left" w:pos="720"/>
        </w:tabs>
        <w:spacing w:line="276" w:lineRule="auto"/>
        <w:jc w:val="center"/>
        <w:rPr>
          <w:b/>
          <w:bCs/>
        </w:rPr>
      </w:pPr>
      <w:r w:rsidRPr="003F21DE">
        <w:rPr>
          <w:b/>
          <w:bCs/>
        </w:rPr>
        <w:t>A</w:t>
      </w:r>
    </w:p>
    <w:p w:rsidR="00B04E41" w:rsidRDefault="00B04E41" w:rsidP="00595373">
      <w:pPr>
        <w:widowControl w:val="0"/>
        <w:spacing w:line="276" w:lineRule="auto"/>
        <w:jc w:val="both"/>
      </w:pPr>
    </w:p>
    <w:p w:rsidR="00811F33" w:rsidRPr="0082547E" w:rsidRDefault="00811F33" w:rsidP="00595373">
      <w:pPr>
        <w:widowControl w:val="0"/>
        <w:spacing w:line="276" w:lineRule="auto"/>
        <w:jc w:val="both"/>
      </w:pPr>
      <w:r w:rsidRPr="0082547E">
        <w:t>Në lidhje me aspektin procedurial të ankimit, Drejtoria e Apelimit Tatimor sjell në vëmendje të tatimpaguesit se Udhëzimi nr. 24, datë 02.09.2008 “Për Procedurat Tatimore në RSH”, në paragrafin 106.1.11 përcakton se “</w:t>
      </w:r>
      <w:r w:rsidRPr="0082547E">
        <w:rPr>
          <w:i/>
        </w:rPr>
        <w:t>Tatimpaguesi ka të drejtë të bëjë vërejtje për mënyrën e punës së administratës tatimore dhe të punonjësve të saj. Këto vërejtje dëgjohen nga Drejtori i Drejtorisë Rajonale Tatimore dhe nga zyrtarët e Drejtorisë së Përgjithshme të Tatimeve. Në këto raste nuk mund të bëhet ankim administrativ</w:t>
      </w:r>
      <w:r w:rsidRPr="0082547E">
        <w:t xml:space="preserve">”. Në zbatim të kësaj dispozite, ankimi në lidhje me </w:t>
      </w:r>
      <w:r w:rsidR="00024F7E" w:rsidRPr="0082547E">
        <w:t>kontrolli</w:t>
      </w:r>
      <w:r w:rsidR="003F21DE">
        <w:t>n</w:t>
      </w:r>
      <w:r w:rsidR="00024F7E" w:rsidRPr="0082547E">
        <w:t xml:space="preserve"> pa dijeninë e tatimpaguesit </w:t>
      </w:r>
      <w:r w:rsidRPr="0082547E">
        <w:t xml:space="preserve">apo hartimit të raportit të kontrollit, apo parregullsi të tjera të pretenduara nga tatimpaguesit, nuk mund të jetë objekt ankimi pranë DAT, pasi kanë të bëjnë me mënyrën e punës së inspektorit tatimor. </w:t>
      </w:r>
    </w:p>
    <w:p w:rsidR="00811F33" w:rsidRPr="0082547E" w:rsidRDefault="00811F33" w:rsidP="00595373">
      <w:pPr>
        <w:widowControl w:val="0"/>
        <w:spacing w:line="276" w:lineRule="auto"/>
        <w:jc w:val="both"/>
      </w:pPr>
      <w:r w:rsidRPr="0082547E">
        <w:t>Në Ligjin nr. 9920, datë 19.05.2008 “Për Procedurat Tatimore në R</w:t>
      </w:r>
      <w:r w:rsidR="00392D73" w:rsidRPr="0082547E">
        <w:t>SH”, kreu IV përcaktohen të drej</w:t>
      </w:r>
      <w:r w:rsidRPr="0082547E">
        <w:t xml:space="preserve">tat e tatimpaguesit, ku më kryesoret për sa i përket procedurave dhe që lidhen me çështjen në shqyrtim janë nenet 32-34 dhe 37 dhe 38. Në këto nene, ligjvënësi ka parashikuar një sërë të drejtash, si e drejta për njoftim, për kontrolle të arsyeshme, për informim në lidhje me vendimin e </w:t>
      </w:r>
      <w:r w:rsidRPr="0082547E">
        <w:lastRenderedPageBreak/>
        <w:t>marrë ndaj tij, për t’u dëgjuar si dhe për t’u ankuar. Në përmbajtje, këto nene janë mjaft të rëndësishme, pasi përcaktojnë parimet dhe rregullojnë procedimin administrativ. Por, një akt nuk mund të cilësohet i pavlefshëm nëse gjatë procedurës së nxjerrjes së tij konstatohen parregullsi të cilat nuk kanë ndikuar drejtpërdrejt në nxjerrjen e aktit. Ky parim gjendet i kodifikuar në Udhëzimin nr. 24, datë 02.09.2008 “Për Procedurat Tatimore në RSH”, paragrafi 108.3.4 ku citojmë “</w:t>
      </w:r>
      <w:r w:rsidRPr="0082547E">
        <w:rPr>
          <w:i/>
        </w:rPr>
        <w:t>Drejtoria e Apelimit Tatimor e rrëzon një ankim edhe në qoftë se zbulon që ka pasur mosveprime (ose gabime të administratës tatimore), por që ato kanë qenë aq të parëndësishme sa që nuk mund ta kenë ndikuar vendimin e administratës tatimore</w:t>
      </w:r>
      <w:r w:rsidRPr="0082547E">
        <w:t xml:space="preserve">”. </w:t>
      </w:r>
    </w:p>
    <w:p w:rsidR="00811F33" w:rsidRPr="0082547E" w:rsidRDefault="00CC32E0" w:rsidP="00595373">
      <w:pPr>
        <w:widowControl w:val="0"/>
        <w:spacing w:line="276" w:lineRule="auto"/>
        <w:jc w:val="both"/>
      </w:pPr>
      <w:r w:rsidRPr="0082547E">
        <w:t>T</w:t>
      </w:r>
      <w:r w:rsidR="00811F33" w:rsidRPr="0082547E">
        <w:t xml:space="preserve">atimpaguesit nuk i janë mohuar të drejtat e përcaktuara në </w:t>
      </w:r>
      <w:r w:rsidRPr="0082547E">
        <w:t>ligj</w:t>
      </w:r>
      <w:r w:rsidR="00811F33" w:rsidRPr="0082547E">
        <w:t>, si e drejta për informim dhe për ankim, pasi ai gëzon të drejtën e ankimit ndaj vlerësimit të kryer, referuar kreut XIII të Ligjit 9920. Në rastin konkret, tatimpaguesi ka ushtruar të drejtat themelore të përcaktuara në Ligjin 9920, ku përfshihet e drejta për ankimin administrativ, nëpërmjet kërkesës për apelim, objekt shqyrtimi, në përputhje me nenin 38 të Ligjit 9920, ku citojmë “</w:t>
      </w:r>
      <w:r w:rsidR="00811F33" w:rsidRPr="0082547E">
        <w:rPr>
          <w:i/>
        </w:rPr>
        <w:t>Tatimpaguesi gëzon të drejtën e ankimimit dhe të sigurimit për një shqyrtim të pavarur administrativ të çështjeve të lidhura me të</w:t>
      </w:r>
      <w:r w:rsidR="00811F33" w:rsidRPr="0082547E">
        <w:t>”.</w:t>
      </w:r>
    </w:p>
    <w:p w:rsidR="00C34BE4" w:rsidRDefault="00C34BE4" w:rsidP="00595373">
      <w:pPr>
        <w:widowControl w:val="0"/>
        <w:spacing w:line="276" w:lineRule="auto"/>
        <w:jc w:val="both"/>
        <w:rPr>
          <w:rFonts w:eastAsiaTheme="minorHAnsi"/>
        </w:rPr>
      </w:pPr>
    </w:p>
    <w:p w:rsidR="003F21DE" w:rsidRPr="003F21DE" w:rsidRDefault="003F21DE" w:rsidP="00595373">
      <w:pPr>
        <w:widowControl w:val="0"/>
        <w:spacing w:line="276" w:lineRule="auto"/>
        <w:jc w:val="center"/>
        <w:rPr>
          <w:rFonts w:eastAsiaTheme="minorHAnsi"/>
          <w:b/>
        </w:rPr>
      </w:pPr>
      <w:r w:rsidRPr="003F21DE">
        <w:rPr>
          <w:rFonts w:eastAsiaTheme="minorHAnsi"/>
          <w:b/>
        </w:rPr>
        <w:t>B</w:t>
      </w:r>
    </w:p>
    <w:p w:rsidR="00CC32E0" w:rsidRPr="0082547E" w:rsidRDefault="00CC32E0" w:rsidP="00595373">
      <w:pPr>
        <w:widowControl w:val="0"/>
        <w:spacing w:line="276" w:lineRule="auto"/>
        <w:jc w:val="both"/>
        <w:rPr>
          <w:rFonts w:eastAsiaTheme="minorHAnsi"/>
        </w:rPr>
      </w:pPr>
    </w:p>
    <w:p w:rsidR="00C46A6C" w:rsidRPr="0082547E" w:rsidRDefault="00024F7E" w:rsidP="00595373">
      <w:pPr>
        <w:widowControl w:val="0"/>
        <w:spacing w:line="276" w:lineRule="auto"/>
        <w:contextualSpacing/>
        <w:jc w:val="both"/>
        <w:rPr>
          <w:rFonts w:eastAsiaTheme="minorHAnsi"/>
          <w:b/>
        </w:rPr>
      </w:pPr>
      <w:r w:rsidRPr="0082547E">
        <w:rPr>
          <w:rFonts w:eastAsiaTheme="minorHAnsi"/>
        </w:rPr>
        <w:t xml:space="preserve">Në </w:t>
      </w:r>
      <w:r w:rsidR="003F21DE">
        <w:rPr>
          <w:rFonts w:eastAsiaTheme="minorHAnsi"/>
        </w:rPr>
        <w:t xml:space="preserve">lidhje me </w:t>
      </w:r>
      <w:r w:rsidRPr="0082547E">
        <w:rPr>
          <w:rFonts w:eastAsiaTheme="minorHAnsi"/>
        </w:rPr>
        <w:t>aspektin material</w:t>
      </w:r>
      <w:r w:rsidRPr="0082547E">
        <w:rPr>
          <w:rFonts w:eastAsiaTheme="minorHAnsi"/>
          <w:b/>
        </w:rPr>
        <w:t xml:space="preserve">, </w:t>
      </w:r>
      <w:r w:rsidR="00C46A6C" w:rsidRPr="0082547E">
        <w:rPr>
          <w:bCs/>
        </w:rPr>
        <w:t xml:space="preserve">Drejtoria e Apelimit Tatimor, pas shqyrtimit të pretendimeve të tatimpaguesit, të dhënave në raportin e kontrollit nga zyra dhe pasi hulumtoi në dispozitat ligjore ku mbështetet vlerësimi i kryer, vlerëson se: </w:t>
      </w:r>
    </w:p>
    <w:p w:rsidR="00C46A6C" w:rsidRPr="0082547E" w:rsidRDefault="00C46A6C" w:rsidP="00595373">
      <w:pPr>
        <w:widowControl w:val="0"/>
        <w:tabs>
          <w:tab w:val="left" w:pos="720"/>
          <w:tab w:val="center" w:pos="4680"/>
          <w:tab w:val="right" w:pos="9360"/>
        </w:tabs>
        <w:overflowPunct w:val="0"/>
        <w:autoSpaceDE w:val="0"/>
        <w:autoSpaceDN w:val="0"/>
        <w:adjustRightInd w:val="0"/>
        <w:spacing w:line="276" w:lineRule="auto"/>
        <w:jc w:val="both"/>
        <w:rPr>
          <w:bCs/>
        </w:rPr>
      </w:pPr>
    </w:p>
    <w:p w:rsidR="00C46A6C" w:rsidRPr="0082547E" w:rsidRDefault="00C46A6C" w:rsidP="00595373">
      <w:pPr>
        <w:widowControl w:val="0"/>
        <w:overflowPunct w:val="0"/>
        <w:autoSpaceDE w:val="0"/>
        <w:autoSpaceDN w:val="0"/>
        <w:adjustRightInd w:val="0"/>
        <w:spacing w:line="276" w:lineRule="auto"/>
        <w:jc w:val="both"/>
      </w:pPr>
      <w:r w:rsidRPr="0082547E">
        <w:t>Ligji nr. 92/2014 “Për TVSH-në në RSH”, në nenin 49, pika 3, përcakton se “</w:t>
      </w:r>
      <w:r w:rsidRPr="0082547E">
        <w:rPr>
          <w:i/>
        </w:rPr>
        <w:t>Shkalla e reduktuar e tatimit mbi vlerën e shtuar, e cila aplikohet për furnizimin e shërbimit të akomodimit në strukturat akomoduese, sipas kategorive të përcaktuara në legjislacionin e fushës së turizmit, është 6 për qind. Kushtet, kriteret dhe procedurat për zbatimin e kësaj pike përcaktohen me vendim të Këshillit të Ministrave</w:t>
      </w:r>
      <w:r w:rsidRPr="0082547E">
        <w:t>”.</w:t>
      </w:r>
    </w:p>
    <w:p w:rsidR="00C46A6C" w:rsidRPr="0082547E" w:rsidRDefault="00C46A6C" w:rsidP="00595373">
      <w:pPr>
        <w:widowControl w:val="0"/>
        <w:overflowPunct w:val="0"/>
        <w:autoSpaceDE w:val="0"/>
        <w:autoSpaceDN w:val="0"/>
        <w:adjustRightInd w:val="0"/>
        <w:spacing w:line="276" w:lineRule="auto"/>
        <w:jc w:val="both"/>
      </w:pPr>
      <w:r w:rsidRPr="0082547E">
        <w:t xml:space="preserve">VKM nr. 953, datë 29.12.2014 “Për dispozitat zbatuese të Ligjit nr. 92/2014, “Për Tatimin mbi Vlerën e Shtuar në Republikën e Shqipërisë”, në nenin 11/1 përcakton kushtet, kriteret dhe procedurat për zbatimin e shkallës së reduktuar për furnizimin e shërbimit të akomodimit në strukturat akomoduese, ku në pikën 1 përcakton se: </w:t>
      </w:r>
    </w:p>
    <w:p w:rsidR="00C46A6C" w:rsidRPr="0082547E" w:rsidRDefault="00C46A6C" w:rsidP="00595373">
      <w:pPr>
        <w:widowControl w:val="0"/>
        <w:overflowPunct w:val="0"/>
        <w:autoSpaceDE w:val="0"/>
        <w:autoSpaceDN w:val="0"/>
        <w:adjustRightInd w:val="0"/>
        <w:spacing w:line="276" w:lineRule="auto"/>
        <w:jc w:val="both"/>
        <w:rPr>
          <w:i/>
        </w:rPr>
      </w:pPr>
      <w:r w:rsidRPr="0082547E">
        <w:t>“</w:t>
      </w:r>
      <w:r w:rsidRPr="0082547E">
        <w:rPr>
          <w:i/>
        </w:rPr>
        <w:t xml:space="preserve">Në zbatim të pikës 3, të nenit 49, të ligjit, shkalla e reduktuar e tatimit mbi vlerën e shtuar, e cila aplikohet për </w:t>
      </w:r>
      <w:r w:rsidRPr="0082547E">
        <w:rPr>
          <w:i/>
          <w:u w:val="single"/>
        </w:rPr>
        <w:t>furnizimin e shërbimit të akomodimit në strukturat akomoduese, sipas kategorive të përcaktuara në legjislacionin e fushës së turizmit</w:t>
      </w:r>
      <w:r w:rsidRPr="0082547E">
        <w:rPr>
          <w:i/>
        </w:rPr>
        <w:t xml:space="preserve">, është 6 për qind. </w:t>
      </w:r>
    </w:p>
    <w:p w:rsidR="00C46A6C" w:rsidRPr="0082547E" w:rsidRDefault="00C46A6C" w:rsidP="00595373">
      <w:pPr>
        <w:widowControl w:val="0"/>
        <w:overflowPunct w:val="0"/>
        <w:autoSpaceDE w:val="0"/>
        <w:autoSpaceDN w:val="0"/>
        <w:adjustRightInd w:val="0"/>
        <w:spacing w:line="276" w:lineRule="auto"/>
        <w:jc w:val="both"/>
        <w:rPr>
          <w:i/>
        </w:rPr>
      </w:pPr>
      <w:r w:rsidRPr="0082547E">
        <w:rPr>
          <w:i/>
        </w:rPr>
        <w:t xml:space="preserve">Për qëllime të zbatimit të shkallës së reduktuar të TVSH-së, me termin “furnizim i shërbimit të akomodimit” nënkuptohet </w:t>
      </w:r>
      <w:r w:rsidRPr="0082547E">
        <w:rPr>
          <w:i/>
          <w:u w:val="single"/>
        </w:rPr>
        <w:t>furnizimi i shërbimit të fjetjes në strukturat akomoduese, sipas legjislacionit për turizmin</w:t>
      </w:r>
      <w:r w:rsidRPr="0082547E">
        <w:rPr>
          <w:i/>
        </w:rPr>
        <w:t xml:space="preserve">, pa përfshirë furnizimin e ushqimit apo çdo furnizim tjetër, të ofruar nga këto struktura. Përjashtimisht, “furnizimi i shërbimit të akomodimit” nënkupton, përveç shërbimit të fjetjes, edhe furnizimin e ushqimit (mëngjesit), në rastet kur struktura akomoduese e ofron mëngjesin brenda çmimit të furnizimit të shërbimit të fjetjes. </w:t>
      </w:r>
    </w:p>
    <w:p w:rsidR="00C46A6C" w:rsidRPr="0082547E" w:rsidRDefault="00C46A6C" w:rsidP="00595373">
      <w:pPr>
        <w:widowControl w:val="0"/>
        <w:overflowPunct w:val="0"/>
        <w:autoSpaceDE w:val="0"/>
        <w:autoSpaceDN w:val="0"/>
        <w:adjustRightInd w:val="0"/>
        <w:spacing w:line="276" w:lineRule="auto"/>
        <w:jc w:val="both"/>
        <w:rPr>
          <w:i/>
        </w:rPr>
      </w:pPr>
      <w:r w:rsidRPr="0082547E">
        <w:rPr>
          <w:i/>
        </w:rPr>
        <w:t xml:space="preserve">Personi i tatueshëm, i cili </w:t>
      </w:r>
      <w:r w:rsidRPr="0082547E">
        <w:rPr>
          <w:i/>
          <w:u w:val="single"/>
        </w:rPr>
        <w:t>ushtron veprimtari në fushën e akomodimit në strukturat akomoduese, sipas përcaktimit në legjislacionin e fushës për turizmin</w:t>
      </w:r>
      <w:r w:rsidRPr="0082547E">
        <w:rPr>
          <w:i/>
        </w:rPr>
        <w:t xml:space="preserve">, evidenton veçmas në faturë furnizimin e shërbimit të akomodimit, për të cilin aplikon shkallën e reduktuar të TVSH-së, në masën 6 për qind. Për çdo furnizim tjetër të tatueshëm, të ofruar në strukturat akomoduese, personi i tatueshëm </w:t>
      </w:r>
      <w:r w:rsidRPr="0082547E">
        <w:rPr>
          <w:i/>
        </w:rPr>
        <w:lastRenderedPageBreak/>
        <w:t xml:space="preserve">aplikon shkallën standarde të TVSH-së, 20 për qind, sipas përcaktimeve në ligjin për tatimin mbi vlerën e shtuar në Republikën e Shqipërisë. </w:t>
      </w:r>
    </w:p>
    <w:p w:rsidR="00C46A6C" w:rsidRPr="0082547E" w:rsidRDefault="00C46A6C" w:rsidP="00595373">
      <w:pPr>
        <w:widowControl w:val="0"/>
        <w:overflowPunct w:val="0"/>
        <w:autoSpaceDE w:val="0"/>
        <w:autoSpaceDN w:val="0"/>
        <w:adjustRightInd w:val="0"/>
        <w:spacing w:line="276" w:lineRule="auto"/>
        <w:jc w:val="both"/>
      </w:pPr>
      <w:r w:rsidRPr="0082547E">
        <w:rPr>
          <w:i/>
        </w:rPr>
        <w:t xml:space="preserve">Personat e tatueshëm, </w:t>
      </w:r>
      <w:r w:rsidRPr="0082547E">
        <w:rPr>
          <w:i/>
          <w:u w:val="single"/>
        </w:rPr>
        <w:t>që aplikojnë shkallën e reduktuar të TVSH-së sipas këtij neni, janë personat që ushtrojnë vetëm veprimtari ekonomike në fushën e strukturave akomoduese, sipas legjislacionit të fushës për turizmin</w:t>
      </w:r>
      <w:r w:rsidRPr="0082547E">
        <w:rPr>
          <w:i/>
        </w:rPr>
        <w:t>. Nëse personi i tatueshëm ushtron edhe veprimtari të tjera, përveç asaj në fushën e strukturave akomoduese, atëherë duhet të jetë i regjistruar si person i tatueshëm më vete, për qëllime të veprimtarisë në fushën e strukturave akomoduese</w:t>
      </w:r>
      <w:r w:rsidRPr="0082547E">
        <w:t>”.</w:t>
      </w:r>
    </w:p>
    <w:p w:rsidR="00C46A6C" w:rsidRPr="0082547E" w:rsidRDefault="00C46A6C" w:rsidP="00595373">
      <w:pPr>
        <w:widowControl w:val="0"/>
        <w:overflowPunct w:val="0"/>
        <w:autoSpaceDE w:val="0"/>
        <w:autoSpaceDN w:val="0"/>
        <w:adjustRightInd w:val="0"/>
        <w:spacing w:line="276" w:lineRule="auto"/>
        <w:jc w:val="both"/>
      </w:pPr>
    </w:p>
    <w:p w:rsidR="00C46A6C" w:rsidRPr="0082547E" w:rsidRDefault="00C46A6C" w:rsidP="00595373">
      <w:pPr>
        <w:widowControl w:val="0"/>
        <w:overflowPunct w:val="0"/>
        <w:autoSpaceDE w:val="0"/>
        <w:autoSpaceDN w:val="0"/>
        <w:adjustRightInd w:val="0"/>
        <w:spacing w:line="276" w:lineRule="auto"/>
        <w:jc w:val="both"/>
      </w:pPr>
      <w:r w:rsidRPr="0082547E">
        <w:t>Drejtoria e Apelimit Tatimor thekson se kushtet dhe procedurat që kufizojnë zbatimin e shkallës së reduktuar të TVSH-së, për shkak të rëndësisë së tyre, janë vetëm ato që përcaktohen shprehimisht në legjislacion. VKM nr. 953, datë 29.12.2014 ka përcaktuar si kushte kufizuese:</w:t>
      </w:r>
    </w:p>
    <w:p w:rsidR="00C46A6C" w:rsidRPr="0082547E" w:rsidRDefault="00C46A6C" w:rsidP="00595373">
      <w:pPr>
        <w:widowControl w:val="0"/>
        <w:numPr>
          <w:ilvl w:val="0"/>
          <w:numId w:val="39"/>
        </w:numPr>
        <w:overflowPunct w:val="0"/>
        <w:autoSpaceDE w:val="0"/>
        <w:autoSpaceDN w:val="0"/>
        <w:adjustRightInd w:val="0"/>
        <w:spacing w:line="276" w:lineRule="auto"/>
        <w:contextualSpacing/>
        <w:jc w:val="both"/>
      </w:pPr>
      <w:r w:rsidRPr="0082547E">
        <w:t>Shkalla e reduktuar zbatohet vetëm nga kategoritë e strukturave akomoduese që furnizojnë shërbimin e fjetjes, të përcaktuara në legjislacionin për turizimin. Subjektet të cilët mund të ofrojnë shërbime akomoduese, por nuk janë pjesë e kategorive të mësipërme, nuk e përfitojnë të drejtën e zbatimit të shkallës së reduktuar.</w:t>
      </w:r>
    </w:p>
    <w:p w:rsidR="00C46A6C" w:rsidRPr="0082547E" w:rsidRDefault="00C46A6C" w:rsidP="00595373">
      <w:pPr>
        <w:widowControl w:val="0"/>
        <w:numPr>
          <w:ilvl w:val="0"/>
          <w:numId w:val="39"/>
        </w:numPr>
        <w:overflowPunct w:val="0"/>
        <w:autoSpaceDE w:val="0"/>
        <w:autoSpaceDN w:val="0"/>
        <w:adjustRightInd w:val="0"/>
        <w:spacing w:line="276" w:lineRule="auto"/>
        <w:contextualSpacing/>
        <w:jc w:val="both"/>
      </w:pPr>
      <w:r w:rsidRPr="0082547E">
        <w:t>Shkalla e reduktuar zbatohet vetëm për shërbimin e fjetjes dhe furnizimi i ushqimit të mëngjesit, nëse ky i fundit është i përfshirë në çmim. Ndërsa furnizimet e tjera që kryhen në strukturat akomoduese janë të tatueshme me shkallën standarde të TVSH-së, 20 %.</w:t>
      </w:r>
    </w:p>
    <w:p w:rsidR="00C46A6C" w:rsidRPr="0082547E" w:rsidRDefault="00C46A6C" w:rsidP="00595373">
      <w:pPr>
        <w:widowControl w:val="0"/>
        <w:numPr>
          <w:ilvl w:val="0"/>
          <w:numId w:val="39"/>
        </w:numPr>
        <w:overflowPunct w:val="0"/>
        <w:autoSpaceDE w:val="0"/>
        <w:autoSpaceDN w:val="0"/>
        <w:adjustRightInd w:val="0"/>
        <w:spacing w:line="276" w:lineRule="auto"/>
        <w:contextualSpacing/>
        <w:jc w:val="both"/>
      </w:pPr>
      <w:r w:rsidRPr="0082547E">
        <w:t>Shkalla e reduktuar zbatohet nëse subjekti ushtron vetëm veprimtari ekonomike në fushën e strukturave akomoduese. Nëse këta persona ushtrojnë dhe veprimtari të tjera ekonomike, ata janë të detyruar të riorganizohen duke u regjistruar si persona më vete, pasi në të kundërt humbin të drejtën e zbatimit të shkallës së reduktuar të TVSH-së.</w:t>
      </w:r>
    </w:p>
    <w:p w:rsidR="00C46A6C" w:rsidRPr="0082547E" w:rsidRDefault="00C46A6C" w:rsidP="00595373">
      <w:pPr>
        <w:widowControl w:val="0"/>
        <w:overflowPunct w:val="0"/>
        <w:autoSpaceDE w:val="0"/>
        <w:autoSpaceDN w:val="0"/>
        <w:adjustRightInd w:val="0"/>
        <w:spacing w:line="276" w:lineRule="auto"/>
        <w:jc w:val="both"/>
      </w:pPr>
    </w:p>
    <w:p w:rsidR="00C46A6C" w:rsidRPr="0082547E" w:rsidRDefault="00C46A6C" w:rsidP="00595373">
      <w:pPr>
        <w:widowControl w:val="0"/>
        <w:overflowPunct w:val="0"/>
        <w:autoSpaceDE w:val="0"/>
        <w:autoSpaceDN w:val="0"/>
        <w:adjustRightInd w:val="0"/>
        <w:spacing w:line="276" w:lineRule="auto"/>
        <w:jc w:val="both"/>
      </w:pPr>
      <w:r w:rsidRPr="0082547E">
        <w:t>Nga interpretimi sistematik i këtyre dispozitave, rezulton se lidhja me legjislacionin për turizmin në dispozitat e mësipërme ka si qëllim përcaktimin e veprimtarisë ekonomike që përfiton të drejtën e aplikimit të shkallës së reduktuar dhe kategorive të strukturave akomoduese</w:t>
      </w:r>
      <w:r w:rsidR="003F21DE">
        <w:t>, që e përfitojnë këtë shkallë.</w:t>
      </w:r>
    </w:p>
    <w:p w:rsidR="00C46A6C" w:rsidRPr="0082547E" w:rsidRDefault="00C46A6C" w:rsidP="00595373">
      <w:pPr>
        <w:widowControl w:val="0"/>
        <w:overflowPunct w:val="0"/>
        <w:autoSpaceDE w:val="0"/>
        <w:autoSpaceDN w:val="0"/>
        <w:adjustRightInd w:val="0"/>
        <w:spacing w:line="276" w:lineRule="auto"/>
        <w:jc w:val="both"/>
      </w:pPr>
      <w:r w:rsidRPr="0082547E">
        <w:t xml:space="preserve">Zbatimi i shkallës së reduktuar të TVSH-së nuk kufizohet në varësi të klasifikimit nga Ministria e Turizmit dhe Mjedisit, pasi VKM e mësipërme, e cila përcakton kushtet për zbatimin e shkallës së reduktuar, në asnjë rast nuk e ka kufizuar drejtpërdrejt zbatimin e shkallës së reduktuar me marrjen e certifikatës së klasifikimit të Ministrisë së Turizmit dhe Mjedisit. </w:t>
      </w:r>
    </w:p>
    <w:p w:rsidR="00C46A6C" w:rsidRPr="0082547E" w:rsidRDefault="00C46A6C" w:rsidP="00595373">
      <w:pPr>
        <w:widowControl w:val="0"/>
        <w:overflowPunct w:val="0"/>
        <w:autoSpaceDE w:val="0"/>
        <w:autoSpaceDN w:val="0"/>
        <w:adjustRightInd w:val="0"/>
        <w:spacing w:line="276" w:lineRule="auto"/>
        <w:jc w:val="both"/>
      </w:pPr>
      <w:r w:rsidRPr="0082547E">
        <w:t xml:space="preserve">Kjo del më e qartë në paragrafët e parë dhe të tretë të pikës 1 të nenit 11/1 të VKM-së nr. 953, datë 29.12.2014, ku referimi te legjislacioni për turizimin bëhet për nevoja të përkufizimit të termit “shërbim i akomodimit në strukturat akomoduese”. Qëllimi i këtij referimi është kufizimi i zbatimit të shkallës së reduktuar vetëm për kategoritë e përcaktuara në nenin 43 të Ligjit 93/2015 “Për Turizmin”, të cilat janë:  </w:t>
      </w:r>
    </w:p>
    <w:p w:rsidR="00C46A6C" w:rsidRPr="0082547E" w:rsidRDefault="00C46A6C" w:rsidP="00595373">
      <w:pPr>
        <w:widowControl w:val="0"/>
        <w:overflowPunct w:val="0"/>
        <w:autoSpaceDE w:val="0"/>
        <w:autoSpaceDN w:val="0"/>
        <w:adjustRightInd w:val="0"/>
        <w:spacing w:line="276" w:lineRule="auto"/>
        <w:jc w:val="both"/>
      </w:pPr>
      <w:r w:rsidRPr="0082547E">
        <w:t xml:space="preserve">a) “Bujtinë” ; </w:t>
      </w:r>
    </w:p>
    <w:p w:rsidR="00C46A6C" w:rsidRPr="0082547E" w:rsidRDefault="00C46A6C" w:rsidP="00595373">
      <w:pPr>
        <w:widowControl w:val="0"/>
        <w:overflowPunct w:val="0"/>
        <w:autoSpaceDE w:val="0"/>
        <w:autoSpaceDN w:val="0"/>
        <w:adjustRightInd w:val="0"/>
        <w:spacing w:line="276" w:lineRule="auto"/>
        <w:jc w:val="both"/>
      </w:pPr>
      <w:r w:rsidRPr="0082547E">
        <w:t xml:space="preserve">b) “Fjetinë” (Hostel); </w:t>
      </w:r>
    </w:p>
    <w:p w:rsidR="00C46A6C" w:rsidRPr="0082547E" w:rsidRDefault="00C46A6C" w:rsidP="00595373">
      <w:pPr>
        <w:widowControl w:val="0"/>
        <w:overflowPunct w:val="0"/>
        <w:autoSpaceDE w:val="0"/>
        <w:autoSpaceDN w:val="0"/>
        <w:adjustRightInd w:val="0"/>
        <w:spacing w:line="276" w:lineRule="auto"/>
        <w:jc w:val="both"/>
      </w:pPr>
      <w:r w:rsidRPr="0082547E">
        <w:t xml:space="preserve">c) “Kamping”; </w:t>
      </w:r>
    </w:p>
    <w:p w:rsidR="00C46A6C" w:rsidRPr="0082547E" w:rsidRDefault="00C46A6C" w:rsidP="00595373">
      <w:pPr>
        <w:widowControl w:val="0"/>
        <w:overflowPunct w:val="0"/>
        <w:autoSpaceDE w:val="0"/>
        <w:autoSpaceDN w:val="0"/>
        <w:adjustRightInd w:val="0"/>
        <w:spacing w:line="276" w:lineRule="auto"/>
        <w:jc w:val="both"/>
      </w:pPr>
      <w:r w:rsidRPr="0082547E">
        <w:t xml:space="preserve">ç) “Hotel”; </w:t>
      </w:r>
    </w:p>
    <w:p w:rsidR="00C46A6C" w:rsidRPr="0082547E" w:rsidRDefault="00C46A6C" w:rsidP="00595373">
      <w:pPr>
        <w:widowControl w:val="0"/>
        <w:overflowPunct w:val="0"/>
        <w:autoSpaceDE w:val="0"/>
        <w:autoSpaceDN w:val="0"/>
        <w:adjustRightInd w:val="0"/>
        <w:spacing w:line="276" w:lineRule="auto"/>
        <w:jc w:val="both"/>
      </w:pPr>
      <w:r w:rsidRPr="0082547E">
        <w:t xml:space="preserve">d) “Motel”; </w:t>
      </w:r>
    </w:p>
    <w:p w:rsidR="00C46A6C" w:rsidRPr="0082547E" w:rsidRDefault="00C46A6C" w:rsidP="00595373">
      <w:pPr>
        <w:widowControl w:val="0"/>
        <w:overflowPunct w:val="0"/>
        <w:autoSpaceDE w:val="0"/>
        <w:autoSpaceDN w:val="0"/>
        <w:adjustRightInd w:val="0"/>
        <w:spacing w:line="276" w:lineRule="auto"/>
        <w:jc w:val="both"/>
      </w:pPr>
      <w:r w:rsidRPr="0082547E">
        <w:t xml:space="preserve">dh) “Resort”; </w:t>
      </w:r>
    </w:p>
    <w:p w:rsidR="00C46A6C" w:rsidRPr="0082547E" w:rsidRDefault="00C46A6C" w:rsidP="00595373">
      <w:pPr>
        <w:widowControl w:val="0"/>
        <w:overflowPunct w:val="0"/>
        <w:autoSpaceDE w:val="0"/>
        <w:autoSpaceDN w:val="0"/>
        <w:adjustRightInd w:val="0"/>
        <w:spacing w:line="276" w:lineRule="auto"/>
        <w:jc w:val="both"/>
      </w:pPr>
      <w:r w:rsidRPr="0082547E">
        <w:t xml:space="preserve">e) “Qendër kurative”; </w:t>
      </w:r>
    </w:p>
    <w:p w:rsidR="00C46A6C" w:rsidRPr="0082547E" w:rsidRDefault="00C46A6C" w:rsidP="00595373">
      <w:pPr>
        <w:widowControl w:val="0"/>
        <w:overflowPunct w:val="0"/>
        <w:autoSpaceDE w:val="0"/>
        <w:autoSpaceDN w:val="0"/>
        <w:adjustRightInd w:val="0"/>
        <w:spacing w:line="276" w:lineRule="auto"/>
        <w:jc w:val="both"/>
      </w:pPr>
      <w:r w:rsidRPr="0082547E">
        <w:lastRenderedPageBreak/>
        <w:t>ë) “Fjetje dhe mëngjes” (B&amp;B).</w:t>
      </w:r>
    </w:p>
    <w:p w:rsidR="00C46A6C" w:rsidRPr="0082547E" w:rsidRDefault="00C46A6C" w:rsidP="00595373">
      <w:pPr>
        <w:widowControl w:val="0"/>
        <w:overflowPunct w:val="0"/>
        <w:autoSpaceDE w:val="0"/>
        <w:autoSpaceDN w:val="0"/>
        <w:adjustRightInd w:val="0"/>
        <w:spacing w:line="276" w:lineRule="auto"/>
        <w:jc w:val="both"/>
      </w:pPr>
      <w:r w:rsidRPr="0082547E">
        <w:t>Subjektet të cilët mund të ofrojnë shërbime akomoduese, por nuk janë pjesë e kategorive të mësipërme, nuk kanë të drejtën të zbatojnë shkallën e reduktuar të TVSH-së.</w:t>
      </w:r>
    </w:p>
    <w:p w:rsidR="00C46A6C" w:rsidRPr="0082547E" w:rsidRDefault="00C46A6C" w:rsidP="00595373">
      <w:pPr>
        <w:widowControl w:val="0"/>
        <w:overflowPunct w:val="0"/>
        <w:autoSpaceDE w:val="0"/>
        <w:autoSpaceDN w:val="0"/>
        <w:adjustRightInd w:val="0"/>
        <w:spacing w:line="276" w:lineRule="auto"/>
        <w:jc w:val="both"/>
      </w:pPr>
    </w:p>
    <w:p w:rsidR="00C46A6C" w:rsidRPr="0082547E" w:rsidRDefault="00C46A6C" w:rsidP="00595373">
      <w:pPr>
        <w:widowControl w:val="0"/>
        <w:overflowPunct w:val="0"/>
        <w:autoSpaceDE w:val="0"/>
        <w:autoSpaceDN w:val="0"/>
        <w:adjustRightInd w:val="0"/>
        <w:spacing w:line="276" w:lineRule="auto"/>
        <w:jc w:val="both"/>
      </w:pPr>
      <w:r w:rsidRPr="0082547E">
        <w:t xml:space="preserve">Gjithashtu, Ligji 92/2014 “Për TVSH-në në RSH”, në nenin 49, pika 3 e kufizon zbatimin e shkallës së reduktuar të TVSH-së me kategoritë e përcaktuara në legjislacionin për turizimin dhe jo me klasifikimin e tyre. Në vijim të këtij arsyetimi, është e nevojshme të hulumtohet nëse legjislacioni për turizimin ka përcaktuar në periudhën e vlerësuar, detyrime të tatimpaguesve për kategorizimin e tyre nga organi përkatës. </w:t>
      </w:r>
    </w:p>
    <w:p w:rsidR="00C46A6C" w:rsidRPr="0082547E" w:rsidRDefault="00C46A6C" w:rsidP="00595373">
      <w:pPr>
        <w:widowControl w:val="0"/>
        <w:overflowPunct w:val="0"/>
        <w:autoSpaceDE w:val="0"/>
        <w:autoSpaceDN w:val="0"/>
        <w:adjustRightInd w:val="0"/>
        <w:spacing w:line="276" w:lineRule="auto"/>
        <w:jc w:val="both"/>
      </w:pPr>
      <w:r w:rsidRPr="0082547E">
        <w:t>Ligji për Turizimin, në nenin 45 përcakton se tatimpaguesit që ushtrojnë veprimtari në kategoritë e mësipërme, duhet të pajisen me certifikatë klasifikimi, por jo kategorizimi, nga ministria përgjegjëse për turizmin.</w:t>
      </w:r>
    </w:p>
    <w:p w:rsidR="00C46A6C" w:rsidRPr="0082547E" w:rsidRDefault="00C46A6C" w:rsidP="00595373">
      <w:pPr>
        <w:widowControl w:val="0"/>
        <w:overflowPunct w:val="0"/>
        <w:autoSpaceDE w:val="0"/>
        <w:autoSpaceDN w:val="0"/>
        <w:adjustRightInd w:val="0"/>
        <w:spacing w:line="276" w:lineRule="auto"/>
        <w:jc w:val="both"/>
      </w:pPr>
      <w:r w:rsidRPr="0082547E">
        <w:t>VKM nr. 730, datë 20.10.2016, “Për miratimin e rregullores për kushtet, kriteret, tarifat, afatet dhe procedurën për klasifikimin e strukturave akomoduese”, në nenin 4 përcakton kategorizimin e strukturave akomoduese, duke mos përcaktuar detyrim për subjektet që të marrin certifikatë kategorizimi, por referuar nenit 5 e në vijim të rregullores, kanë detyrimin për t’u pajisur me certifikatë klasifikimi.</w:t>
      </w:r>
    </w:p>
    <w:p w:rsidR="00C46A6C" w:rsidRPr="0082547E" w:rsidRDefault="00C46A6C" w:rsidP="00595373">
      <w:pPr>
        <w:widowControl w:val="0"/>
        <w:overflowPunct w:val="0"/>
        <w:autoSpaceDE w:val="0"/>
        <w:autoSpaceDN w:val="0"/>
        <w:adjustRightInd w:val="0"/>
        <w:spacing w:line="276" w:lineRule="auto"/>
        <w:jc w:val="both"/>
      </w:pPr>
    </w:p>
    <w:p w:rsidR="00C46A6C" w:rsidRPr="0082547E" w:rsidRDefault="00C46A6C" w:rsidP="00595373">
      <w:pPr>
        <w:widowControl w:val="0"/>
        <w:overflowPunct w:val="0"/>
        <w:autoSpaceDE w:val="0"/>
        <w:autoSpaceDN w:val="0"/>
        <w:adjustRightInd w:val="0"/>
        <w:spacing w:line="276" w:lineRule="auto"/>
        <w:jc w:val="both"/>
      </w:pPr>
      <w:r w:rsidRPr="0082547E">
        <w:t>Akti nënligjor ku përcaktohet shprehimisht se e drejta e zbatimit të shkallës së reduktuar prej 6% për veprimtarinë në fushën e strukturave akomoduese kufizohet nga zbatimi i legjislacionit të turizimit</w:t>
      </w:r>
      <w:r w:rsidR="003F21DE">
        <w:t>,</w:t>
      </w:r>
      <w:r w:rsidRPr="0082547E">
        <w:t xml:space="preserve"> është VKM nr. 730, datë 20.10.2016, “Për miratimin e rregullores për kushtet, kriteret, tarifat, afatet dhe procedurën për klasifikimin e strukturave akomoduese”, ndryshuar me VKM-në nr. 415, datë 19.06.2019, ku në pikën 3 të nenit 4 përcaktohet se </w:t>
      </w:r>
      <w:r w:rsidRPr="0082547E">
        <w:rPr>
          <w:i/>
        </w:rPr>
        <w:t>“Çdo sipërmarrës turistik që ushtron veprimtarinë si strukturë akomoduese duhet të pajiset me dokument kategorizimi, i cili është i nevojshëm për përfitimin e lehtësirave fiskale, sipas legjislacionit në fuqi. Mënyra, kriteret dhe procedurat e kategorizimit të strukturave akomoduese përcaktohen me rregullore të miratuar me urdhër të ministrit përgjegjës për turizmin</w:t>
      </w:r>
      <w:r w:rsidRPr="0082547E">
        <w:t>”.</w:t>
      </w:r>
    </w:p>
    <w:p w:rsidR="00C46A6C" w:rsidRDefault="00C46A6C" w:rsidP="00595373">
      <w:pPr>
        <w:widowControl w:val="0"/>
        <w:overflowPunct w:val="0"/>
        <w:autoSpaceDE w:val="0"/>
        <w:autoSpaceDN w:val="0"/>
        <w:adjustRightInd w:val="0"/>
        <w:spacing w:line="276" w:lineRule="auto"/>
        <w:jc w:val="both"/>
      </w:pPr>
      <w:r w:rsidRPr="0082547E">
        <w:t>Me Urdhërin nr. 267, datë 24.07.2019, “Mbi miratimin e rregullores për mënyrën, kriteret dhe procedurat e kategorizimit të strukturave akomoduese” , i ndryshuar, në pikën 3 është përcaktuar se “</w:t>
      </w:r>
      <w:r w:rsidRPr="0082547E">
        <w:rPr>
          <w:i/>
        </w:rPr>
        <w:t xml:space="preserve">Çdo subjekt që ushtron veprimtarinë si strukturë akomoduese është i detyruar të aplikojë për marrjen e certifikatës së kategorizimit </w:t>
      </w:r>
      <w:r w:rsidRPr="0082547E">
        <w:rPr>
          <w:i/>
          <w:u w:val="single"/>
        </w:rPr>
        <w:t>brenda datës 31.12.2019</w:t>
      </w:r>
      <w:r w:rsidRPr="0082547E">
        <w:rPr>
          <w:i/>
        </w:rPr>
        <w:t xml:space="preserve"> për të përfituar shkallën e reduktuar të tatimit mbi vlerën e shtuar, e cila aplikohet për furnizimin e shërbimit të akomodimit në strukturat akomoduese</w:t>
      </w:r>
      <w:r w:rsidRPr="0082547E">
        <w:t>”.</w:t>
      </w:r>
    </w:p>
    <w:p w:rsidR="004D7172" w:rsidRDefault="004D7172" w:rsidP="00595373">
      <w:pPr>
        <w:widowControl w:val="0"/>
        <w:overflowPunct w:val="0"/>
        <w:autoSpaceDE w:val="0"/>
        <w:autoSpaceDN w:val="0"/>
        <w:adjustRightInd w:val="0"/>
        <w:spacing w:line="276" w:lineRule="auto"/>
        <w:jc w:val="both"/>
      </w:pPr>
      <w:r>
        <w:t>Me Urdh</w:t>
      </w:r>
      <w:r w:rsidR="00B04E41">
        <w:t>ë</w:t>
      </w:r>
      <w:r>
        <w:t>rin nr. 18, dat</w:t>
      </w:r>
      <w:r w:rsidR="00B04E41">
        <w:t>ë</w:t>
      </w:r>
      <w:r>
        <w:t xml:space="preserve"> 17.01.2020, Ministri i Turizmit dhe Mjedisit ka </w:t>
      </w:r>
      <w:r w:rsidR="002B6271">
        <w:t>ndryshuar Rregulloren e miratuar me Urdh</w:t>
      </w:r>
      <w:r w:rsidR="00B04E41">
        <w:t>ë</w:t>
      </w:r>
      <w:r w:rsidR="002B6271">
        <w:t>rin e m</w:t>
      </w:r>
      <w:r w:rsidR="00B04E41">
        <w:t>ë</w:t>
      </w:r>
      <w:r w:rsidR="002B6271">
        <w:t>sip</w:t>
      </w:r>
      <w:r w:rsidR="00B04E41">
        <w:t>ë</w:t>
      </w:r>
      <w:r w:rsidR="002B6271">
        <w:t>rm, duke shtuar pik</w:t>
      </w:r>
      <w:r w:rsidR="00B04E41">
        <w:t>ë</w:t>
      </w:r>
      <w:r w:rsidR="002B6271">
        <w:t>n 4 n</w:t>
      </w:r>
      <w:r w:rsidR="00B04E41">
        <w:t>ë</w:t>
      </w:r>
      <w:r w:rsidR="002B6271">
        <w:t xml:space="preserve"> nenin 6, e cila p</w:t>
      </w:r>
      <w:r w:rsidR="00B04E41">
        <w:t>ë</w:t>
      </w:r>
      <w:r w:rsidR="002B6271">
        <w:t xml:space="preserve">rcakton se </w:t>
      </w:r>
      <w:r w:rsidR="002B6271" w:rsidRPr="002B6271">
        <w:rPr>
          <w:i/>
        </w:rPr>
        <w:t>“Dokumentacioni shoq</w:t>
      </w:r>
      <w:r w:rsidR="00B04E41">
        <w:rPr>
          <w:i/>
        </w:rPr>
        <w:t>ë</w:t>
      </w:r>
      <w:r w:rsidR="002B6271" w:rsidRPr="002B6271">
        <w:rPr>
          <w:i/>
        </w:rPr>
        <w:t>rues, n</w:t>
      </w:r>
      <w:r w:rsidR="00B04E41">
        <w:rPr>
          <w:i/>
        </w:rPr>
        <w:t>ë</w:t>
      </w:r>
      <w:r w:rsidR="002B6271" w:rsidRPr="002B6271">
        <w:rPr>
          <w:i/>
        </w:rPr>
        <w:t xml:space="preserve"> rast se nuk </w:t>
      </w:r>
      <w:r w:rsidR="00B04E41">
        <w:rPr>
          <w:i/>
        </w:rPr>
        <w:t>ë</w:t>
      </w:r>
      <w:r w:rsidR="002B6271" w:rsidRPr="002B6271">
        <w:rPr>
          <w:i/>
        </w:rPr>
        <w:t>sht</w:t>
      </w:r>
      <w:r w:rsidR="00B04E41">
        <w:rPr>
          <w:i/>
        </w:rPr>
        <w:t>ë</w:t>
      </w:r>
      <w:r w:rsidR="002B6271" w:rsidRPr="002B6271">
        <w:rPr>
          <w:i/>
        </w:rPr>
        <w:t xml:space="preserve"> depozituar nga subjekti n</w:t>
      </w:r>
      <w:r w:rsidR="00B04E41">
        <w:rPr>
          <w:i/>
        </w:rPr>
        <w:t>ë</w:t>
      </w:r>
      <w:r w:rsidR="002B6271" w:rsidRPr="002B6271">
        <w:rPr>
          <w:i/>
        </w:rPr>
        <w:t xml:space="preserve"> momentin e aplikimit, duhet t</w:t>
      </w:r>
      <w:r w:rsidR="00B04E41">
        <w:rPr>
          <w:i/>
        </w:rPr>
        <w:t>ë</w:t>
      </w:r>
      <w:r w:rsidR="002B6271" w:rsidRPr="002B6271">
        <w:rPr>
          <w:i/>
        </w:rPr>
        <w:t xml:space="preserve"> dor</w:t>
      </w:r>
      <w:r w:rsidR="00B04E41">
        <w:rPr>
          <w:i/>
        </w:rPr>
        <w:t>ë</w:t>
      </w:r>
      <w:r w:rsidR="002B6271" w:rsidRPr="002B6271">
        <w:rPr>
          <w:i/>
        </w:rPr>
        <w:t>zohet brenda dat</w:t>
      </w:r>
      <w:r w:rsidR="00B04E41">
        <w:rPr>
          <w:i/>
        </w:rPr>
        <w:t>ë</w:t>
      </w:r>
      <w:r w:rsidR="002B6271" w:rsidRPr="002B6271">
        <w:rPr>
          <w:i/>
        </w:rPr>
        <w:t>s 31.12.2020, pran</w:t>
      </w:r>
      <w:r w:rsidR="00B04E41">
        <w:rPr>
          <w:i/>
        </w:rPr>
        <w:t>ë</w:t>
      </w:r>
      <w:r w:rsidR="002B6271" w:rsidRPr="002B6271">
        <w:rPr>
          <w:i/>
        </w:rPr>
        <w:t xml:space="preserve"> ministris</w:t>
      </w:r>
      <w:r w:rsidR="00B04E41">
        <w:rPr>
          <w:i/>
        </w:rPr>
        <w:t>ë</w:t>
      </w:r>
      <w:r w:rsidR="002B6271" w:rsidRPr="002B6271">
        <w:rPr>
          <w:i/>
        </w:rPr>
        <w:t xml:space="preserve"> p</w:t>
      </w:r>
      <w:r w:rsidR="00B04E41">
        <w:rPr>
          <w:i/>
        </w:rPr>
        <w:t>ë</w:t>
      </w:r>
      <w:r w:rsidR="002B6271" w:rsidRPr="002B6271">
        <w:rPr>
          <w:i/>
        </w:rPr>
        <w:t>rgjegj</w:t>
      </w:r>
      <w:r w:rsidR="00B04E41">
        <w:rPr>
          <w:i/>
        </w:rPr>
        <w:t>ë</w:t>
      </w:r>
      <w:r w:rsidR="002B6271" w:rsidRPr="002B6271">
        <w:rPr>
          <w:i/>
        </w:rPr>
        <w:t>se p</w:t>
      </w:r>
      <w:r w:rsidR="00B04E41">
        <w:rPr>
          <w:i/>
        </w:rPr>
        <w:t>ë</w:t>
      </w:r>
      <w:r w:rsidR="002B6271" w:rsidRPr="002B6271">
        <w:rPr>
          <w:i/>
        </w:rPr>
        <w:t>r turizmin”.</w:t>
      </w:r>
      <w:r>
        <w:t xml:space="preserve"> </w:t>
      </w:r>
    </w:p>
    <w:p w:rsidR="00C46A6C" w:rsidRPr="0082547E" w:rsidRDefault="002B6271" w:rsidP="00595373">
      <w:pPr>
        <w:widowControl w:val="0"/>
        <w:overflowPunct w:val="0"/>
        <w:autoSpaceDE w:val="0"/>
        <w:autoSpaceDN w:val="0"/>
        <w:adjustRightInd w:val="0"/>
        <w:spacing w:line="276" w:lineRule="auto"/>
        <w:jc w:val="both"/>
      </w:pPr>
      <w:r>
        <w:t>M</w:t>
      </w:r>
      <w:r w:rsidR="00C46A6C" w:rsidRPr="0082547E">
        <w:t>e urdhërin nr.</w:t>
      </w:r>
      <w:r w:rsidR="004D7172">
        <w:t xml:space="preserve"> </w:t>
      </w:r>
      <w:r w:rsidR="00C46A6C" w:rsidRPr="0082547E">
        <w:t>41, datë 18.02.2020 “Për një ndryshim në urdhërin nr.</w:t>
      </w:r>
      <w:r w:rsidR="003F21DE">
        <w:t xml:space="preserve"> </w:t>
      </w:r>
      <w:r w:rsidR="00C46A6C" w:rsidRPr="0082547E">
        <w:t>267,datë 24.07.2019 “Mbi miratimin e rregulles për mëny</w:t>
      </w:r>
      <w:r w:rsidR="00F14D91" w:rsidRPr="0082547E">
        <w:t>r</w:t>
      </w:r>
      <w:r w:rsidR="00C46A6C" w:rsidRPr="0082547E">
        <w:t>ën,</w:t>
      </w:r>
      <w:r>
        <w:t xml:space="preserve"> </w:t>
      </w:r>
      <w:r w:rsidR="00C46A6C" w:rsidRPr="0082547E">
        <w:t>kriteret dhe procedurat e kategorizimit të strukturave akomoduese” Ministria e Turizmit dhe Mjedisit,</w:t>
      </w:r>
      <w:r w:rsidR="003F21DE">
        <w:t xml:space="preserve"> </w:t>
      </w:r>
      <w:r w:rsidR="00C46A6C" w:rsidRPr="0082547E">
        <w:t>ka përcaktuar se afati i aplikimit për</w:t>
      </w:r>
      <w:r w:rsidR="00F14D91" w:rsidRPr="0082547E">
        <w:t xml:space="preserve"> </w:t>
      </w:r>
      <w:r w:rsidR="00C46A6C" w:rsidRPr="0082547E">
        <w:t>marrjen e çertifikatës së kategorizimit është shtyrë deri në datë 31.03.2020.</w:t>
      </w:r>
    </w:p>
    <w:p w:rsidR="00B04E41" w:rsidRDefault="00B04E41" w:rsidP="00595373">
      <w:pPr>
        <w:widowControl w:val="0"/>
        <w:overflowPunct w:val="0"/>
        <w:autoSpaceDE w:val="0"/>
        <w:autoSpaceDN w:val="0"/>
        <w:adjustRightInd w:val="0"/>
        <w:spacing w:line="276" w:lineRule="auto"/>
        <w:jc w:val="both"/>
      </w:pPr>
    </w:p>
    <w:p w:rsidR="00C46A6C" w:rsidRDefault="002B6271" w:rsidP="00595373">
      <w:pPr>
        <w:widowControl w:val="0"/>
        <w:overflowPunct w:val="0"/>
        <w:autoSpaceDE w:val="0"/>
        <w:autoSpaceDN w:val="0"/>
        <w:adjustRightInd w:val="0"/>
        <w:spacing w:line="276" w:lineRule="auto"/>
        <w:jc w:val="both"/>
      </w:pPr>
      <w:r>
        <w:t>Gjithashtu, n</w:t>
      </w:r>
      <w:r w:rsidR="00B04E41">
        <w:t>ë</w:t>
      </w:r>
      <w:r>
        <w:t xml:space="preserve"> faqen zyrtare t</w:t>
      </w:r>
      <w:r w:rsidR="00B04E41">
        <w:t>ë</w:t>
      </w:r>
      <w:r>
        <w:t xml:space="preserve"> Ministris</w:t>
      </w:r>
      <w:r w:rsidR="00B04E41">
        <w:t>ë</w:t>
      </w:r>
      <w:r>
        <w:t xml:space="preserve"> s</w:t>
      </w:r>
      <w:r w:rsidR="00B04E41">
        <w:t>ë</w:t>
      </w:r>
      <w:r>
        <w:t xml:space="preserve"> Turizimit dhe Mjedisit </w:t>
      </w:r>
      <w:r w:rsidR="00B04E41">
        <w:t>ë</w:t>
      </w:r>
      <w:r w:rsidR="00D3115A">
        <w:t>sht</w:t>
      </w:r>
      <w:r w:rsidR="00B04E41">
        <w:t>ë</w:t>
      </w:r>
      <w:r w:rsidR="00D3115A">
        <w:t xml:space="preserve"> </w:t>
      </w:r>
      <w:r>
        <w:t xml:space="preserve">publikuar </w:t>
      </w:r>
      <w:r w:rsidR="00D3115A">
        <w:t>afati p</w:t>
      </w:r>
      <w:r w:rsidR="00B04E41">
        <w:t>ë</w:t>
      </w:r>
      <w:r w:rsidR="00D3115A">
        <w:t xml:space="preserve">r aplikim </w:t>
      </w:r>
      <w:r w:rsidR="00D3115A">
        <w:lastRenderedPageBreak/>
        <w:t>ku citojm</w:t>
      </w:r>
      <w:r w:rsidR="00B04E41">
        <w:t>ë</w:t>
      </w:r>
      <w:r w:rsidR="00D3115A">
        <w:t xml:space="preserve"> “</w:t>
      </w:r>
      <w:r w:rsidR="00D3115A" w:rsidRPr="00D3115A">
        <w:rPr>
          <w:i/>
        </w:rPr>
        <w:t>Çdo subjekt, që ushtron veprimtarinë si strukturë akomoduese, është i detyruar të aplikojë pranë Ministrisë së Turizmit dhe Mjedisit, për t’u pajisur me certifikatën e kategorizimit brenda datës 31.03.2020, për të përfituar shkallën e reduktuar të tatimit mbi vlerën e shtuar, e cila aplikohet për furnizimin e shërbimit të akomodimit në strukturat akomoduese. Për këtë aplikim subjekti duhet të parqesë dokumentacionin e detyrueshëm dhe shoqërues të përcaktuar në pikën 1 të nenit 6 të urdhrit nr. 267 datë 24.07.2019, të ndryshuar dhe në rast se nuk e ka depozituar dokumentacionin shoqërues në momentin e aplikimit, duhet ta dorëzojë atë brenda datës 31.12.2020 pranë ministrisë përgjegjëse për turizmin</w:t>
      </w:r>
      <w:r w:rsidR="00D3115A">
        <w:t>”.</w:t>
      </w:r>
    </w:p>
    <w:p w:rsidR="002B6271" w:rsidRDefault="002B6271" w:rsidP="00595373">
      <w:pPr>
        <w:widowControl w:val="0"/>
        <w:overflowPunct w:val="0"/>
        <w:autoSpaceDE w:val="0"/>
        <w:autoSpaceDN w:val="0"/>
        <w:adjustRightInd w:val="0"/>
        <w:spacing w:line="276" w:lineRule="auto"/>
        <w:jc w:val="both"/>
      </w:pPr>
    </w:p>
    <w:p w:rsidR="002B6271" w:rsidRDefault="002B6271" w:rsidP="00595373">
      <w:pPr>
        <w:widowControl w:val="0"/>
        <w:overflowPunct w:val="0"/>
        <w:autoSpaceDE w:val="0"/>
        <w:autoSpaceDN w:val="0"/>
        <w:adjustRightInd w:val="0"/>
        <w:spacing w:line="276" w:lineRule="auto"/>
        <w:jc w:val="both"/>
      </w:pPr>
      <w:r>
        <w:t>DAT sjell n</w:t>
      </w:r>
      <w:r w:rsidR="00B04E41">
        <w:t>ë</w:t>
      </w:r>
      <w:r>
        <w:t xml:space="preserve"> v</w:t>
      </w:r>
      <w:r w:rsidR="00B04E41">
        <w:t>ë</w:t>
      </w:r>
      <w:r>
        <w:t>mendje njoftimin e b</w:t>
      </w:r>
      <w:r w:rsidR="00B04E41">
        <w:t>ë</w:t>
      </w:r>
      <w:r>
        <w:t>r</w:t>
      </w:r>
      <w:r w:rsidR="00B04E41">
        <w:t>ë</w:t>
      </w:r>
      <w:r>
        <w:t xml:space="preserve"> nga Drejtoria e P</w:t>
      </w:r>
      <w:r w:rsidR="00B04E41">
        <w:t>ë</w:t>
      </w:r>
      <w:r>
        <w:t>rgjithshme e Tatimeve n</w:t>
      </w:r>
      <w:r w:rsidR="00B04E41">
        <w:t>ë</w:t>
      </w:r>
      <w:r>
        <w:t xml:space="preserve"> faqen zyrtare n</w:t>
      </w:r>
      <w:r w:rsidR="00B04E41">
        <w:t>ë</w:t>
      </w:r>
      <w:r>
        <w:t xml:space="preserve"> dat</w:t>
      </w:r>
      <w:r w:rsidR="00B04E41">
        <w:t>ë</w:t>
      </w:r>
      <w:r>
        <w:t xml:space="preserve">n 21.02.2020, ku informon se: </w:t>
      </w:r>
    </w:p>
    <w:p w:rsidR="002B6271" w:rsidRPr="002B6271" w:rsidRDefault="002B6271" w:rsidP="00595373">
      <w:pPr>
        <w:widowControl w:val="0"/>
        <w:overflowPunct w:val="0"/>
        <w:autoSpaceDE w:val="0"/>
        <w:autoSpaceDN w:val="0"/>
        <w:adjustRightInd w:val="0"/>
        <w:spacing w:line="276" w:lineRule="auto"/>
        <w:jc w:val="both"/>
        <w:rPr>
          <w:i/>
        </w:rPr>
      </w:pPr>
      <w:r w:rsidRPr="002B6271">
        <w:rPr>
          <w:i/>
        </w:rPr>
        <w:t>“Të gjitha subjektet që ushtrojnë veprimtari si strukturë akomoduese, kanë afat deri në datë 31.03.2020, për të aplikuar për marrjen e çertifikatës së kategorizimit.</w:t>
      </w:r>
    </w:p>
    <w:p w:rsidR="002B6271" w:rsidRPr="002B6271" w:rsidRDefault="002B6271" w:rsidP="00595373">
      <w:pPr>
        <w:widowControl w:val="0"/>
        <w:overflowPunct w:val="0"/>
        <w:autoSpaceDE w:val="0"/>
        <w:autoSpaceDN w:val="0"/>
        <w:adjustRightInd w:val="0"/>
        <w:spacing w:line="276" w:lineRule="auto"/>
        <w:jc w:val="both"/>
        <w:rPr>
          <w:i/>
        </w:rPr>
      </w:pPr>
      <w:r w:rsidRPr="002B6271">
        <w:rPr>
          <w:i/>
          <w:u w:val="single"/>
        </w:rPr>
        <w:t>Të gjitha subjektet të cilat do të aplikojnë brenda kësaj date do të përfitojnë shkallën e reduktuar të tatimit mbi vlerën e shtuar, e cila aplikohet për furnizimin e shërbimit të akomodimit në strukturat akomoduese</w:t>
      </w:r>
      <w:r w:rsidRPr="002B6271">
        <w:rPr>
          <w:i/>
        </w:rPr>
        <w:t>.</w:t>
      </w:r>
    </w:p>
    <w:p w:rsidR="002B6271" w:rsidRPr="002B6271" w:rsidRDefault="002B6271" w:rsidP="00595373">
      <w:pPr>
        <w:widowControl w:val="0"/>
        <w:overflowPunct w:val="0"/>
        <w:autoSpaceDE w:val="0"/>
        <w:autoSpaceDN w:val="0"/>
        <w:adjustRightInd w:val="0"/>
        <w:spacing w:line="276" w:lineRule="auto"/>
        <w:jc w:val="both"/>
        <w:rPr>
          <w:i/>
        </w:rPr>
      </w:pPr>
      <w:r w:rsidRPr="002B6271">
        <w:rPr>
          <w:i/>
        </w:rPr>
        <w:t>Drejtoria e Përgjithshme e Tatimeve bën me dije tatimpaguesit se nuk do të jenë subjekt përfitimi i shkallës së reduktuar të TVSH-së, nëse nuk përmbushin detyrimin ligjor për të aplikuar brenda kësaj date.</w:t>
      </w:r>
    </w:p>
    <w:p w:rsidR="002B6271" w:rsidRPr="002B6271" w:rsidRDefault="002B6271" w:rsidP="00595373">
      <w:pPr>
        <w:widowControl w:val="0"/>
        <w:overflowPunct w:val="0"/>
        <w:autoSpaceDE w:val="0"/>
        <w:autoSpaceDN w:val="0"/>
        <w:adjustRightInd w:val="0"/>
        <w:spacing w:line="276" w:lineRule="auto"/>
        <w:jc w:val="both"/>
        <w:rPr>
          <w:i/>
        </w:rPr>
      </w:pPr>
      <w:r w:rsidRPr="002B6271">
        <w:rPr>
          <w:i/>
        </w:rPr>
        <w:t>Ministria e Turizmit dhe Mjedisit, me Urdhërin Nr. 41 datë 18.02.2020 ‘’Për një ndryshim në Urdhërin Nr. nr.267, datë 24.07.2019 “Mbi miratimin e rregullores për mënyrën, kriteret dhe procedurat e kategorizimit të strukturave akomoduese”, i ndryshuar, njofton të gjitha subjektet e interesuara, se afati i aplikimit për marrjen e çertifikatës së kategorizimit është shtyrë deri në datë 31.03.2020.</w:t>
      </w:r>
    </w:p>
    <w:p w:rsidR="004D7172" w:rsidRDefault="002B6271" w:rsidP="00595373">
      <w:pPr>
        <w:widowControl w:val="0"/>
        <w:overflowPunct w:val="0"/>
        <w:autoSpaceDE w:val="0"/>
        <w:autoSpaceDN w:val="0"/>
        <w:adjustRightInd w:val="0"/>
        <w:spacing w:line="276" w:lineRule="auto"/>
        <w:jc w:val="both"/>
      </w:pPr>
      <w:r w:rsidRPr="002B6271">
        <w:rPr>
          <w:i/>
        </w:rPr>
        <w:t>Kështu, bazuar në Ligjin nr.92/2014 “Për Tatimin mbi Vlerën e Shtuar në RSH”, të ndryshuar, Neni 49, pika 4, (Ligj nr. 107/2017 “Për disa shtesa dhe ndryshime në ligjin nr. 92/2014, “Për TVSH në RSH”, të ndryshuar), shkalla e reduktuar e Tatimit mbi Vlerën e Shtuar 6 % aplikohet për çdo furnizim shërbimi të ofruar brenda strukturave akomoduese, të cilat kanë aplikuar për marrjen e çertifikatës së kategorizimit brenda datës 31.03.2020”</w:t>
      </w:r>
      <w:r>
        <w:t>.</w:t>
      </w:r>
    </w:p>
    <w:p w:rsidR="002B6271" w:rsidRPr="0082547E" w:rsidRDefault="002B6271" w:rsidP="00595373">
      <w:pPr>
        <w:widowControl w:val="0"/>
        <w:overflowPunct w:val="0"/>
        <w:autoSpaceDE w:val="0"/>
        <w:autoSpaceDN w:val="0"/>
        <w:adjustRightInd w:val="0"/>
        <w:spacing w:line="276" w:lineRule="auto"/>
        <w:jc w:val="both"/>
      </w:pPr>
    </w:p>
    <w:p w:rsidR="00C46A6C" w:rsidRPr="0082547E" w:rsidRDefault="00C46A6C" w:rsidP="00595373">
      <w:pPr>
        <w:widowControl w:val="0"/>
        <w:spacing w:line="276" w:lineRule="auto"/>
        <w:jc w:val="both"/>
        <w:rPr>
          <w:rFonts w:eastAsiaTheme="minorHAnsi"/>
        </w:rPr>
      </w:pPr>
      <w:r w:rsidRPr="0082547E">
        <w:rPr>
          <w:rFonts w:eastAsiaTheme="minorHAnsi"/>
        </w:rPr>
        <w:t>Deri në hyrjen në fuqi të akteve të mësipërme nënligjore, tatimpaguesi nuk ka patur detyrimin për t’u pajisur me certifikatë kategorizimi për ushtrimin e aktivitetit si strukturë akomoduese, por vetëm certifikatë klasifikimi. Ligji 92/2014 shkallën e reduktuar të TVSH-së për furnizimin e shërbimeve të akomodimit e lejon për kategoritë e përcaktuara në legjislacionin për turizimin, për të cilat nuk ka patur nevojë për certifikim nga ministria përkatëse, për t’ u trajtuar si të tilla, deri në ndryshimet e mësipërme ligjore.</w:t>
      </w:r>
    </w:p>
    <w:p w:rsidR="004D45A9" w:rsidRPr="0082547E" w:rsidRDefault="00C46A6C" w:rsidP="00595373">
      <w:pPr>
        <w:widowControl w:val="0"/>
        <w:spacing w:line="276" w:lineRule="auto"/>
        <w:jc w:val="both"/>
        <w:rPr>
          <w:rFonts w:eastAsiaTheme="minorHAnsi"/>
        </w:rPr>
      </w:pPr>
      <w:r w:rsidRPr="0082547E">
        <w:rPr>
          <w:rFonts w:eastAsiaTheme="minorHAnsi"/>
        </w:rPr>
        <w:t xml:space="preserve">Aktet e mësipërme ligjore, të cilat detyrojnë tatimpaguesit të pajisen me certifikatë kategorizimi për ushtrimin e veprimtarisë si strukturë akomoduese nuk mund t’i shtrijnë efektet për periudha përpara datës së përcaktuar në Urdhërin nr. 267, datë 24.07.2019, pra përpara datës 31.03.2020. </w:t>
      </w:r>
    </w:p>
    <w:p w:rsidR="00C46A6C" w:rsidRPr="0082547E" w:rsidRDefault="00C46A6C" w:rsidP="00595373">
      <w:pPr>
        <w:widowControl w:val="0"/>
        <w:overflowPunct w:val="0"/>
        <w:autoSpaceDE w:val="0"/>
        <w:autoSpaceDN w:val="0"/>
        <w:adjustRightInd w:val="0"/>
        <w:spacing w:line="276" w:lineRule="auto"/>
        <w:jc w:val="both"/>
      </w:pPr>
    </w:p>
    <w:p w:rsidR="00C46A6C" w:rsidRDefault="00C46A6C" w:rsidP="00595373">
      <w:pPr>
        <w:widowControl w:val="0"/>
        <w:overflowPunct w:val="0"/>
        <w:autoSpaceDE w:val="0"/>
        <w:autoSpaceDN w:val="0"/>
        <w:adjustRightInd w:val="0"/>
        <w:spacing w:line="276" w:lineRule="auto"/>
        <w:jc w:val="both"/>
      </w:pPr>
      <w:r w:rsidRPr="0082547E">
        <w:t>Sa më sipër Drejtoria e Apelimit Tatimor e konsideron të drejtë ankimin e tatimpaguesit dhe shfuqizon vlerësimin e kryer</w:t>
      </w:r>
      <w:r w:rsidR="00F14D91" w:rsidRPr="0082547E">
        <w:t xml:space="preserve"> deri në datën 31.03.2020</w:t>
      </w:r>
      <w:r w:rsidRPr="0082547E">
        <w:t xml:space="preserve">, duke theksuar se në periudhën kur është kryer vlerësimi tatimor, legjislacioni tatimor e lejonte zbatimin e shkallës së reduktuar të TVSH-së </w:t>
      </w:r>
      <w:r w:rsidRPr="0082547E">
        <w:lastRenderedPageBreak/>
        <w:t>për çdo kategori të  strukturave akomoduese të përcaktuar në legjislacionin për turizmin, pa u kufizuar nga marrja e certifikatës së kategorizimit, duke qënë se vetë legjislacioni për turizimin nuk i detyronte tatimpaguesit për t’u pajisur me certifikatë kategorizimi për ushtrimin e veprimtarisë si strukturë akomoduese.</w:t>
      </w:r>
    </w:p>
    <w:p w:rsidR="003F21DE" w:rsidRDefault="003F21DE" w:rsidP="00595373">
      <w:pPr>
        <w:widowControl w:val="0"/>
        <w:overflowPunct w:val="0"/>
        <w:autoSpaceDE w:val="0"/>
        <w:autoSpaceDN w:val="0"/>
        <w:adjustRightInd w:val="0"/>
        <w:spacing w:line="276" w:lineRule="auto"/>
        <w:jc w:val="both"/>
      </w:pPr>
    </w:p>
    <w:p w:rsidR="002223B3" w:rsidRDefault="004D7172" w:rsidP="00595373">
      <w:pPr>
        <w:widowControl w:val="0"/>
        <w:overflowPunct w:val="0"/>
        <w:autoSpaceDE w:val="0"/>
        <w:autoSpaceDN w:val="0"/>
        <w:adjustRightInd w:val="0"/>
        <w:spacing w:line="276" w:lineRule="auto"/>
        <w:jc w:val="both"/>
      </w:pPr>
      <w:r>
        <w:t>Nd</w:t>
      </w:r>
      <w:r w:rsidR="00B04E41">
        <w:t>ë</w:t>
      </w:r>
      <w:r>
        <w:t>rsa p</w:t>
      </w:r>
      <w:r w:rsidR="00B04E41">
        <w:t>ë</w:t>
      </w:r>
      <w:r>
        <w:t>r vler</w:t>
      </w:r>
      <w:r w:rsidR="00B04E41">
        <w:t>ë</w:t>
      </w:r>
      <w:r>
        <w:t>simin e kryer</w:t>
      </w:r>
      <w:r w:rsidR="002B6271">
        <w:t xml:space="preserve"> p</w:t>
      </w:r>
      <w:r w:rsidR="00B04E41">
        <w:t>ë</w:t>
      </w:r>
      <w:r w:rsidR="002B6271">
        <w:t>r periudhat prill 2020 e n</w:t>
      </w:r>
      <w:r w:rsidR="00B04E41">
        <w:t>ë</w:t>
      </w:r>
      <w:r w:rsidR="002B6271">
        <w:t xml:space="preserve"> vijim, DAT </w:t>
      </w:r>
      <w:r w:rsidR="00D3115A">
        <w:t>fillimisht thekson se dokumentacioni i paraqitur nga tatimpaguesi, d</w:t>
      </w:r>
      <w:r w:rsidR="00B04E41">
        <w:t>ë</w:t>
      </w:r>
      <w:r w:rsidR="00D3115A">
        <w:t>ftesa postare e dat</w:t>
      </w:r>
      <w:r w:rsidR="00B04E41">
        <w:t>ë</w:t>
      </w:r>
      <w:r w:rsidR="00D3115A">
        <w:t>s 22.12.2020</w:t>
      </w:r>
      <w:r w:rsidR="002223B3">
        <w:t>,</w:t>
      </w:r>
      <w:r w:rsidR="00D3115A">
        <w:t xml:space="preserve"> nuk provon se tatimpaguesi ka aplikuar pran</w:t>
      </w:r>
      <w:r w:rsidR="00B04E41">
        <w:t>ë</w:t>
      </w:r>
      <w:r w:rsidR="00D3115A">
        <w:t xml:space="preserve"> Ministris</w:t>
      </w:r>
      <w:r w:rsidR="00B04E41">
        <w:t>ë</w:t>
      </w:r>
      <w:r w:rsidR="00D3115A">
        <w:t xml:space="preserve"> s</w:t>
      </w:r>
      <w:r w:rsidR="00B04E41">
        <w:t>ë</w:t>
      </w:r>
      <w:r w:rsidR="00D3115A">
        <w:t xml:space="preserve"> Turizimit dhe Mjedisit p</w:t>
      </w:r>
      <w:r w:rsidR="00B04E41">
        <w:t>ë</w:t>
      </w:r>
      <w:r w:rsidR="00D3115A">
        <w:t>r</w:t>
      </w:r>
      <w:r w:rsidR="002223B3">
        <w:t xml:space="preserve"> </w:t>
      </w:r>
      <w:r w:rsidR="002223B3" w:rsidRPr="00D3115A">
        <w:t>për t’u pajisur me certifikatën e kategorizimit</w:t>
      </w:r>
      <w:r w:rsidR="002223B3">
        <w:t>.</w:t>
      </w:r>
      <w:r w:rsidR="00D3115A">
        <w:t xml:space="preserve"> </w:t>
      </w:r>
    </w:p>
    <w:p w:rsidR="002223B3" w:rsidRDefault="002223B3" w:rsidP="00595373">
      <w:pPr>
        <w:widowControl w:val="0"/>
        <w:overflowPunct w:val="0"/>
        <w:autoSpaceDE w:val="0"/>
        <w:autoSpaceDN w:val="0"/>
        <w:adjustRightInd w:val="0"/>
        <w:spacing w:line="276" w:lineRule="auto"/>
        <w:jc w:val="both"/>
      </w:pPr>
    </w:p>
    <w:p w:rsidR="00595373" w:rsidRDefault="002223B3" w:rsidP="00595373">
      <w:pPr>
        <w:widowControl w:val="0"/>
        <w:overflowPunct w:val="0"/>
        <w:autoSpaceDE w:val="0"/>
        <w:autoSpaceDN w:val="0"/>
        <w:adjustRightInd w:val="0"/>
        <w:spacing w:line="276" w:lineRule="auto"/>
        <w:jc w:val="both"/>
      </w:pPr>
      <w:r>
        <w:t>P</w:t>
      </w:r>
      <w:r w:rsidR="00B04E41">
        <w:t>ë</w:t>
      </w:r>
      <w:r>
        <w:t>r vler</w:t>
      </w:r>
      <w:r w:rsidR="00B04E41">
        <w:t>ë</w:t>
      </w:r>
      <w:r>
        <w:t>simin e kryer p</w:t>
      </w:r>
      <w:r w:rsidR="00B04E41">
        <w:t>ë</w:t>
      </w:r>
      <w:r>
        <w:t>r periudhat pas dat</w:t>
      </w:r>
      <w:r w:rsidR="00B04E41">
        <w:t>ë</w:t>
      </w:r>
      <w:r>
        <w:t xml:space="preserve">s 31.03.2020, pas </w:t>
      </w:r>
      <w:r w:rsidR="002B6271">
        <w:t>shfuqizimit t</w:t>
      </w:r>
      <w:r w:rsidR="00B04E41">
        <w:t>ë</w:t>
      </w:r>
      <w:r w:rsidR="002B6271">
        <w:t xml:space="preserve"> </w:t>
      </w:r>
      <w:r w:rsidR="00D3115A">
        <w:t>njoftim vler</w:t>
      </w:r>
      <w:r w:rsidR="00B04E41">
        <w:t>ë</w:t>
      </w:r>
      <w:r w:rsidR="00D3115A">
        <w:t>simit t</w:t>
      </w:r>
      <w:r w:rsidR="00B04E41">
        <w:t>ë</w:t>
      </w:r>
      <w:r w:rsidR="00D3115A">
        <w:t xml:space="preserve"> ankimuar pasi konstaton që ligji në bazë të të cilit është marrë vendimi është zbatuar gabimisht, bazuar n</w:t>
      </w:r>
      <w:r w:rsidR="00B04E41">
        <w:t>ë</w:t>
      </w:r>
      <w:r w:rsidR="00D3115A">
        <w:t xml:space="preserve"> pikat 108.3.6, 108.3.7 dhe 108.3.8 t</w:t>
      </w:r>
      <w:r w:rsidR="00B04E41">
        <w:t>ë</w:t>
      </w:r>
      <w:r w:rsidR="00D3115A">
        <w:t xml:space="preserve"> Udh</w:t>
      </w:r>
      <w:r w:rsidR="00B04E41">
        <w:t>ë</w:t>
      </w:r>
      <w:r w:rsidR="00D3115A">
        <w:t>zimit nr. 24, dat</w:t>
      </w:r>
      <w:r w:rsidR="00B04E41">
        <w:t>ë</w:t>
      </w:r>
      <w:r w:rsidR="00D3115A">
        <w:t xml:space="preserve"> 02.09.2008 “P</w:t>
      </w:r>
      <w:r w:rsidR="00B04E41">
        <w:t>ë</w:t>
      </w:r>
      <w:r w:rsidR="00D3115A">
        <w:t>r Procedurat Tatimore n</w:t>
      </w:r>
      <w:r w:rsidR="00B04E41">
        <w:t>ë</w:t>
      </w:r>
      <w:r w:rsidR="00D3115A">
        <w:t xml:space="preserve"> RSH”, k</w:t>
      </w:r>
      <w:r w:rsidR="00B04E41">
        <w:t>ë</w:t>
      </w:r>
      <w:r w:rsidR="00D3115A">
        <w:t>rkon nga D</w:t>
      </w:r>
      <w:r w:rsidR="000178CD">
        <w:t xml:space="preserve">rejtoria </w:t>
      </w:r>
      <w:r w:rsidR="00D3115A">
        <w:t>R</w:t>
      </w:r>
      <w:r w:rsidR="000178CD">
        <w:t xml:space="preserve">ajonale </w:t>
      </w:r>
      <w:r w:rsidR="00D3115A">
        <w:t>T</w:t>
      </w:r>
      <w:r w:rsidR="000178CD">
        <w:t>atimore</w:t>
      </w:r>
      <w:r w:rsidR="00D3115A">
        <w:t xml:space="preserve"> zgjidhjen e ç</w:t>
      </w:r>
      <w:r w:rsidR="00B04E41">
        <w:t>ë</w:t>
      </w:r>
      <w:r w:rsidR="00D3115A">
        <w:t xml:space="preserve">shtjes. Konkretisht, </w:t>
      </w:r>
      <w:r w:rsidR="00595373">
        <w:t xml:space="preserve">DRT </w:t>
      </w:r>
      <w:r w:rsidR="00D3115A">
        <w:t>duhet t</w:t>
      </w:r>
      <w:r w:rsidR="00B04E41">
        <w:t>ë</w:t>
      </w:r>
      <w:r w:rsidR="00D3115A">
        <w:t xml:space="preserve"> verifikoj</w:t>
      </w:r>
      <w:r w:rsidR="00B04E41">
        <w:t>ë</w:t>
      </w:r>
      <w:r w:rsidR="00D3115A">
        <w:t xml:space="preserve"> dhe konfirmoj</w:t>
      </w:r>
      <w:r w:rsidR="00B04E41">
        <w:t>ë</w:t>
      </w:r>
      <w:r w:rsidR="00D3115A">
        <w:t xml:space="preserve"> </w:t>
      </w:r>
      <w:r w:rsidR="00595373">
        <w:t>nga Ministria</w:t>
      </w:r>
      <w:r w:rsidR="00D3115A">
        <w:t xml:space="preserve"> e Turizimit dhe Mjedisit n</w:t>
      </w:r>
      <w:r w:rsidR="00B04E41">
        <w:t>ë</w:t>
      </w:r>
      <w:r w:rsidR="00D3115A">
        <w:t xml:space="preserve">se tatimpaguesi ka aplikuar </w:t>
      </w:r>
      <w:r w:rsidR="00D3115A" w:rsidRPr="00D3115A">
        <w:t>për t’u pajisur me certifikatën e kategorizimit brenda datës 31.03.2020</w:t>
      </w:r>
      <w:r w:rsidR="00595373">
        <w:t>, n</w:t>
      </w:r>
      <w:r w:rsidR="00B04E41">
        <w:t>ë</w:t>
      </w:r>
      <w:r w:rsidR="00595373">
        <w:t xml:space="preserve"> p</w:t>
      </w:r>
      <w:r w:rsidR="00B04E41">
        <w:t>ë</w:t>
      </w:r>
      <w:r w:rsidR="00595373">
        <w:t>rputhje me dispozitat e m</w:t>
      </w:r>
      <w:r w:rsidR="00B04E41">
        <w:t>ë</w:t>
      </w:r>
      <w:r w:rsidR="00595373">
        <w:t>sip</w:t>
      </w:r>
      <w:r w:rsidR="00B04E41">
        <w:t>ë</w:t>
      </w:r>
      <w:r w:rsidR="00595373">
        <w:t>rme dhe afatet e p</w:t>
      </w:r>
      <w:r w:rsidR="00B04E41">
        <w:t>ë</w:t>
      </w:r>
      <w:r w:rsidR="00595373">
        <w:t>rcaktuara n</w:t>
      </w:r>
      <w:r w:rsidR="00B04E41">
        <w:t>ë</w:t>
      </w:r>
      <w:r w:rsidR="00595373">
        <w:t xml:space="preserve"> to, t</w:t>
      </w:r>
      <w:r w:rsidR="00B04E41">
        <w:t>ë</w:t>
      </w:r>
      <w:r w:rsidR="00595373">
        <w:t xml:space="preserve"> cilat i japin t</w:t>
      </w:r>
      <w:r w:rsidR="00B04E41">
        <w:t>ë</w:t>
      </w:r>
      <w:r w:rsidR="00595373">
        <w:t xml:space="preserve"> drejt</w:t>
      </w:r>
      <w:r w:rsidR="00B04E41">
        <w:t>ë</w:t>
      </w:r>
      <w:r w:rsidR="00595373">
        <w:t>n të përfitoj</w:t>
      </w:r>
      <w:r w:rsidR="00595373" w:rsidRPr="00595373">
        <w:t>ë shkallën e reduktuar të tatimit mbi vlerën e shtuar</w:t>
      </w:r>
      <w:r w:rsidR="00595373">
        <w:t xml:space="preserve"> n</w:t>
      </w:r>
      <w:r w:rsidR="00B04E41">
        <w:t>ë</w:t>
      </w:r>
      <w:r w:rsidR="00595373">
        <w:t xml:space="preserve"> mas</w:t>
      </w:r>
      <w:r w:rsidR="00B04E41">
        <w:t>ë</w:t>
      </w:r>
      <w:r w:rsidR="00595373">
        <w:t>n 6%</w:t>
      </w:r>
      <w:r w:rsidR="00595373" w:rsidRPr="00595373">
        <w:t>, e cila aplikohet për furnizimin e shërbimit të akomodimit në strukturat akomoduese</w:t>
      </w:r>
      <w:r w:rsidR="00595373">
        <w:t>.</w:t>
      </w:r>
    </w:p>
    <w:p w:rsidR="00595373" w:rsidRDefault="00595373" w:rsidP="00595373">
      <w:pPr>
        <w:widowControl w:val="0"/>
        <w:overflowPunct w:val="0"/>
        <w:autoSpaceDE w:val="0"/>
        <w:autoSpaceDN w:val="0"/>
        <w:adjustRightInd w:val="0"/>
        <w:spacing w:line="276" w:lineRule="auto"/>
        <w:jc w:val="both"/>
      </w:pPr>
    </w:p>
    <w:p w:rsidR="00C46A6C" w:rsidRDefault="00C46A6C" w:rsidP="00595373">
      <w:pPr>
        <w:widowControl w:val="0"/>
        <w:overflowPunct w:val="0"/>
        <w:autoSpaceDE w:val="0"/>
        <w:autoSpaceDN w:val="0"/>
        <w:adjustRightInd w:val="0"/>
        <w:spacing w:line="276" w:lineRule="auto"/>
        <w:jc w:val="both"/>
      </w:pPr>
      <w:r w:rsidRPr="0082547E">
        <w:t xml:space="preserve">Sa më sipër, Drejtoria e Apelimit Tatimor bazuar në Ligjin </w:t>
      </w:r>
      <w:r w:rsidR="00595373">
        <w:t>n</w:t>
      </w:r>
      <w:r w:rsidRPr="0082547E">
        <w:t>r. 9920, datë 19.5.2008 “Për Procedurat Tatimore në RSH”, i ndryshuar, neni 108, dhe Udhëzimin Nr. 24, datë 02.09.2008 (i ndryshuar), në zbatim të tij, pika</w:t>
      </w:r>
      <w:r w:rsidR="00595373">
        <w:t>t</w:t>
      </w:r>
      <w:r w:rsidRPr="0082547E">
        <w:t xml:space="preserve"> 108.3.</w:t>
      </w:r>
      <w:r w:rsidR="00595373">
        <w:t>6</w:t>
      </w:r>
      <w:r w:rsidRPr="0082547E">
        <w:t>,</w:t>
      </w:r>
      <w:r w:rsidR="00595373">
        <w:t xml:space="preserve"> 108.3.7 dhe 108.3.8,</w:t>
      </w:r>
      <w:r w:rsidRPr="0082547E">
        <w:t xml:space="preserve"> </w:t>
      </w:r>
    </w:p>
    <w:p w:rsidR="00660D59" w:rsidRDefault="00660D59" w:rsidP="00595373">
      <w:pPr>
        <w:widowControl w:val="0"/>
        <w:overflowPunct w:val="0"/>
        <w:autoSpaceDE w:val="0"/>
        <w:autoSpaceDN w:val="0"/>
        <w:adjustRightInd w:val="0"/>
        <w:spacing w:line="276" w:lineRule="auto"/>
        <w:jc w:val="both"/>
      </w:pPr>
    </w:p>
    <w:p w:rsidR="00660D59" w:rsidRPr="0082547E" w:rsidRDefault="00660D59" w:rsidP="00595373">
      <w:pPr>
        <w:widowControl w:val="0"/>
        <w:overflowPunct w:val="0"/>
        <w:autoSpaceDE w:val="0"/>
        <w:autoSpaceDN w:val="0"/>
        <w:adjustRightInd w:val="0"/>
        <w:spacing w:line="276" w:lineRule="auto"/>
        <w:jc w:val="both"/>
      </w:pPr>
    </w:p>
    <w:p w:rsidR="00C46A6C" w:rsidRPr="0082547E" w:rsidRDefault="00C46A6C" w:rsidP="00595373">
      <w:pPr>
        <w:widowControl w:val="0"/>
        <w:overflowPunct w:val="0"/>
        <w:autoSpaceDE w:val="0"/>
        <w:autoSpaceDN w:val="0"/>
        <w:adjustRightInd w:val="0"/>
        <w:spacing w:line="276" w:lineRule="auto"/>
        <w:jc w:val="center"/>
        <w:rPr>
          <w:rFonts w:eastAsia="MS Mincho"/>
          <w:b/>
        </w:rPr>
      </w:pPr>
      <w:r w:rsidRPr="0082547E">
        <w:rPr>
          <w:rFonts w:eastAsia="MS Mincho"/>
          <w:b/>
        </w:rPr>
        <w:t>V E N D O S I</w:t>
      </w:r>
    </w:p>
    <w:p w:rsidR="00C46A6C" w:rsidRPr="0082547E" w:rsidRDefault="00C46A6C" w:rsidP="00595373">
      <w:pPr>
        <w:widowControl w:val="0"/>
        <w:spacing w:line="276" w:lineRule="auto"/>
        <w:ind w:left="4456"/>
        <w:jc w:val="both"/>
        <w:rPr>
          <w:rFonts w:eastAsiaTheme="minorHAnsi"/>
          <w:b/>
          <w:u w:val="single"/>
        </w:rPr>
      </w:pPr>
    </w:p>
    <w:p w:rsidR="00FD6DCA" w:rsidRPr="0082547E" w:rsidRDefault="00FD6DCA" w:rsidP="00595373">
      <w:pPr>
        <w:widowControl w:val="0"/>
        <w:spacing w:line="276" w:lineRule="auto"/>
        <w:jc w:val="both"/>
      </w:pPr>
      <w:r w:rsidRPr="0082547E">
        <w:t>Ndryshimin e aktit administrativ, njoftim vlerësimit, si më poshtë:</w:t>
      </w:r>
    </w:p>
    <w:p w:rsidR="00FD6DCA" w:rsidRDefault="00FD6DCA" w:rsidP="00595373">
      <w:pPr>
        <w:pStyle w:val="NoSpacing"/>
        <w:widowControl w:val="0"/>
        <w:spacing w:line="276" w:lineRule="auto"/>
        <w:jc w:val="both"/>
        <w:rPr>
          <w:rFonts w:eastAsiaTheme="minorHAnsi"/>
          <w:b/>
          <w:noProof w:val="0"/>
        </w:rPr>
      </w:pPr>
    </w:p>
    <w:p w:rsidR="000178CD" w:rsidRDefault="000178CD" w:rsidP="000178CD">
      <w:pPr>
        <w:pStyle w:val="NoSpacing"/>
        <w:widowControl w:val="0"/>
        <w:numPr>
          <w:ilvl w:val="0"/>
          <w:numId w:val="42"/>
        </w:numPr>
        <w:spacing w:line="276" w:lineRule="auto"/>
        <w:jc w:val="both"/>
        <w:rPr>
          <w:noProof w:val="0"/>
        </w:rPr>
      </w:pPr>
      <w:r w:rsidRPr="0082547E">
        <w:rPr>
          <w:rFonts w:eastAsiaTheme="minorHAnsi"/>
          <w:b/>
          <w:noProof w:val="0"/>
        </w:rPr>
        <w:t>Shfuqizim</w:t>
      </w:r>
      <w:r>
        <w:rPr>
          <w:rFonts w:eastAsiaTheme="minorHAnsi"/>
          <w:b/>
          <w:noProof w:val="0"/>
        </w:rPr>
        <w:t>in</w:t>
      </w:r>
      <w:r w:rsidRPr="0082547E">
        <w:rPr>
          <w:rFonts w:eastAsiaTheme="minorHAnsi"/>
          <w:b/>
          <w:noProof w:val="0"/>
        </w:rPr>
        <w:t xml:space="preserve"> </w:t>
      </w:r>
      <w:r>
        <w:rPr>
          <w:rFonts w:eastAsiaTheme="minorHAnsi"/>
          <w:b/>
          <w:noProof w:val="0"/>
        </w:rPr>
        <w:t>e</w:t>
      </w:r>
      <w:r w:rsidRPr="0082547E">
        <w:rPr>
          <w:rFonts w:eastAsiaTheme="minorHAnsi"/>
          <w:b/>
          <w:noProof w:val="0"/>
        </w:rPr>
        <w:t xml:space="preserve"> aktit administrativ</w:t>
      </w:r>
      <w:r w:rsidRPr="0082547E">
        <w:rPr>
          <w:rFonts w:eastAsiaTheme="minorHAnsi"/>
          <w:noProof w:val="0"/>
        </w:rPr>
        <w:t>, njoftim vlerësimit</w:t>
      </w:r>
      <w:r w:rsidRPr="0082547E">
        <w:rPr>
          <w:noProof w:val="0"/>
        </w:rPr>
        <w:t>, si më poshtë:</w:t>
      </w:r>
    </w:p>
    <w:p w:rsidR="000178CD" w:rsidRPr="0082547E" w:rsidRDefault="000178CD" w:rsidP="000178CD">
      <w:pPr>
        <w:pStyle w:val="NoSpacing"/>
        <w:widowControl w:val="0"/>
        <w:spacing w:line="276" w:lineRule="auto"/>
        <w:ind w:left="1080"/>
        <w:jc w:val="both"/>
        <w:rPr>
          <w:noProof w:val="0"/>
        </w:rPr>
      </w:pPr>
    </w:p>
    <w:tbl>
      <w:tblPr>
        <w:tblW w:w="5000" w:type="pct"/>
        <w:tblLook w:val="04A0" w:firstRow="1" w:lastRow="0" w:firstColumn="1" w:lastColumn="0" w:noHBand="0" w:noVBand="1"/>
      </w:tblPr>
      <w:tblGrid>
        <w:gridCol w:w="1716"/>
        <w:gridCol w:w="1294"/>
        <w:gridCol w:w="1291"/>
        <w:gridCol w:w="1147"/>
        <w:gridCol w:w="1723"/>
        <w:gridCol w:w="1266"/>
        <w:gridCol w:w="1028"/>
      </w:tblGrid>
      <w:tr w:rsidR="000178CD" w:rsidRPr="0082547E" w:rsidTr="001C1527">
        <w:trPr>
          <w:trHeight w:val="20"/>
        </w:trPr>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b/>
                <w:color w:val="000000"/>
                <w:sz w:val="20"/>
                <w:szCs w:val="20"/>
              </w:rPr>
            </w:pPr>
            <w:r w:rsidRPr="0082547E">
              <w:rPr>
                <w:b/>
                <w:color w:val="000000"/>
                <w:sz w:val="20"/>
                <w:szCs w:val="20"/>
              </w:rPr>
              <w:t>Tatimi</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b/>
                <w:color w:val="000000"/>
                <w:sz w:val="20"/>
                <w:szCs w:val="20"/>
              </w:rPr>
            </w:pPr>
            <w:r w:rsidRPr="0082547E">
              <w:rPr>
                <w:b/>
                <w:color w:val="000000"/>
                <w:sz w:val="20"/>
                <w:szCs w:val="20"/>
              </w:rPr>
              <w:t>Periudha</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b/>
                <w:color w:val="000000"/>
                <w:sz w:val="20"/>
                <w:szCs w:val="20"/>
              </w:rPr>
            </w:pPr>
            <w:r w:rsidRPr="0082547E">
              <w:rPr>
                <w:b/>
                <w:color w:val="000000"/>
                <w:sz w:val="20"/>
                <w:szCs w:val="20"/>
              </w:rPr>
              <w:t>Detyrim</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b/>
                <w:color w:val="000000"/>
                <w:sz w:val="20"/>
                <w:szCs w:val="20"/>
              </w:rPr>
            </w:pPr>
            <w:r w:rsidRPr="0082547E">
              <w:rPr>
                <w:b/>
                <w:color w:val="000000"/>
                <w:sz w:val="20"/>
                <w:szCs w:val="20"/>
              </w:rPr>
              <w:t>Kamatë-vonesa</w:t>
            </w:r>
          </w:p>
        </w:tc>
        <w:tc>
          <w:tcPr>
            <w:tcW w:w="910" w:type="pct"/>
            <w:tcBorders>
              <w:top w:val="single" w:sz="4" w:space="0" w:color="auto"/>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b/>
                <w:color w:val="000000"/>
                <w:sz w:val="20"/>
                <w:szCs w:val="20"/>
              </w:rPr>
            </w:pPr>
            <w:r w:rsidRPr="0082547E">
              <w:rPr>
                <w:b/>
                <w:color w:val="000000"/>
                <w:sz w:val="20"/>
                <w:szCs w:val="20"/>
              </w:rPr>
              <w:t>Gjobë p</w:t>
            </w:r>
            <w:r>
              <w:rPr>
                <w:b/>
                <w:color w:val="000000"/>
                <w:sz w:val="20"/>
                <w:szCs w:val="20"/>
              </w:rPr>
              <w:t>ë</w:t>
            </w:r>
            <w:r w:rsidRPr="0082547E">
              <w:rPr>
                <w:b/>
                <w:color w:val="000000"/>
                <w:sz w:val="20"/>
                <w:szCs w:val="20"/>
              </w:rPr>
              <w:t>r pages</w:t>
            </w:r>
            <w:r>
              <w:rPr>
                <w:b/>
                <w:color w:val="000000"/>
                <w:sz w:val="20"/>
                <w:szCs w:val="20"/>
              </w:rPr>
              <w:t>ë</w:t>
            </w:r>
            <w:r w:rsidRPr="0082547E">
              <w:rPr>
                <w:b/>
                <w:color w:val="000000"/>
                <w:sz w:val="20"/>
                <w:szCs w:val="20"/>
              </w:rPr>
              <w:t xml:space="preserve"> t</w:t>
            </w:r>
            <w:r>
              <w:rPr>
                <w:b/>
                <w:color w:val="000000"/>
                <w:sz w:val="20"/>
                <w:szCs w:val="20"/>
              </w:rPr>
              <w:t>ë</w:t>
            </w:r>
            <w:r w:rsidRPr="0082547E">
              <w:rPr>
                <w:b/>
                <w:color w:val="000000"/>
                <w:sz w:val="20"/>
                <w:szCs w:val="20"/>
              </w:rPr>
              <w:t xml:space="preserve"> vonuar</w:t>
            </w:r>
          </w:p>
        </w:tc>
        <w:tc>
          <w:tcPr>
            <w:tcW w:w="669" w:type="pct"/>
            <w:tcBorders>
              <w:top w:val="single" w:sz="4" w:space="0" w:color="auto"/>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b/>
                <w:color w:val="000000"/>
                <w:sz w:val="20"/>
                <w:szCs w:val="20"/>
              </w:rPr>
            </w:pPr>
            <w:r w:rsidRPr="0082547E">
              <w:rPr>
                <w:b/>
                <w:color w:val="000000"/>
                <w:sz w:val="20"/>
                <w:szCs w:val="20"/>
              </w:rPr>
              <w:t xml:space="preserve">Gjobë </w:t>
            </w:r>
            <w:r>
              <w:rPr>
                <w:b/>
                <w:color w:val="000000"/>
                <w:sz w:val="20"/>
                <w:szCs w:val="20"/>
              </w:rPr>
              <w:t>inspektori</w:t>
            </w:r>
          </w:p>
        </w:tc>
        <w:tc>
          <w:tcPr>
            <w:tcW w:w="543" w:type="pct"/>
            <w:tcBorders>
              <w:top w:val="single" w:sz="4" w:space="0" w:color="auto"/>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b/>
                <w:color w:val="000000"/>
                <w:sz w:val="20"/>
                <w:szCs w:val="20"/>
              </w:rPr>
            </w:pPr>
            <w:r w:rsidRPr="0082547E">
              <w:rPr>
                <w:b/>
                <w:color w:val="000000"/>
                <w:sz w:val="20"/>
                <w:szCs w:val="20"/>
              </w:rPr>
              <w:t>Shuma</w:t>
            </w:r>
          </w:p>
        </w:tc>
      </w:tr>
      <w:tr w:rsidR="000178CD" w:rsidRPr="0082547E" w:rsidTr="001C1527">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202006</w:t>
            </w:r>
          </w:p>
        </w:tc>
        <w:tc>
          <w:tcPr>
            <w:tcW w:w="682"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2,673</w:t>
            </w:r>
          </w:p>
        </w:tc>
        <w:tc>
          <w:tcPr>
            <w:tcW w:w="606" w:type="pct"/>
            <w:tcBorders>
              <w:top w:val="nil"/>
              <w:left w:val="nil"/>
              <w:bottom w:val="single" w:sz="4" w:space="0" w:color="auto"/>
              <w:right w:val="single" w:sz="4" w:space="0" w:color="auto"/>
            </w:tcBorders>
            <w:shd w:val="clear" w:color="auto" w:fill="auto"/>
            <w:noWrap/>
            <w:vAlign w:val="center"/>
            <w:hideMark/>
          </w:tcPr>
          <w:p w:rsidR="000178CD" w:rsidRPr="0082547E" w:rsidRDefault="000178CD" w:rsidP="001C1527">
            <w:pPr>
              <w:widowControl w:val="0"/>
              <w:spacing w:line="276" w:lineRule="auto"/>
              <w:jc w:val="center"/>
              <w:rPr>
                <w:color w:val="000000"/>
                <w:sz w:val="20"/>
                <w:szCs w:val="20"/>
              </w:rPr>
            </w:pPr>
          </w:p>
        </w:tc>
        <w:tc>
          <w:tcPr>
            <w:tcW w:w="910"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p>
        </w:tc>
        <w:tc>
          <w:tcPr>
            <w:tcW w:w="669"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585</w:t>
            </w:r>
          </w:p>
        </w:tc>
        <w:tc>
          <w:tcPr>
            <w:tcW w:w="543"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3,258</w:t>
            </w:r>
          </w:p>
        </w:tc>
      </w:tr>
      <w:tr w:rsidR="000178CD" w:rsidRPr="0082547E" w:rsidTr="001C1527">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202007</w:t>
            </w:r>
          </w:p>
        </w:tc>
        <w:tc>
          <w:tcPr>
            <w:tcW w:w="682"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32,794</w:t>
            </w:r>
          </w:p>
        </w:tc>
        <w:tc>
          <w:tcPr>
            <w:tcW w:w="606" w:type="pct"/>
            <w:tcBorders>
              <w:top w:val="nil"/>
              <w:left w:val="nil"/>
              <w:bottom w:val="single" w:sz="4" w:space="0" w:color="auto"/>
              <w:right w:val="single" w:sz="4" w:space="0" w:color="auto"/>
            </w:tcBorders>
            <w:shd w:val="clear" w:color="auto" w:fill="auto"/>
            <w:noWrap/>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2,269</w:t>
            </w:r>
          </w:p>
        </w:tc>
        <w:tc>
          <w:tcPr>
            <w:tcW w:w="910"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7,182</w:t>
            </w:r>
          </w:p>
        </w:tc>
        <w:tc>
          <w:tcPr>
            <w:tcW w:w="669"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7,182</w:t>
            </w:r>
          </w:p>
        </w:tc>
        <w:tc>
          <w:tcPr>
            <w:tcW w:w="543"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49,427</w:t>
            </w:r>
          </w:p>
        </w:tc>
      </w:tr>
      <w:tr w:rsidR="000178CD" w:rsidRPr="0082547E" w:rsidTr="001C1527">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202008</w:t>
            </w:r>
          </w:p>
        </w:tc>
        <w:tc>
          <w:tcPr>
            <w:tcW w:w="682"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111,769</w:t>
            </w:r>
          </w:p>
        </w:tc>
        <w:tc>
          <w:tcPr>
            <w:tcW w:w="606" w:type="pct"/>
            <w:tcBorders>
              <w:top w:val="nil"/>
              <w:left w:val="nil"/>
              <w:bottom w:val="single" w:sz="4" w:space="0" w:color="auto"/>
              <w:right w:val="single" w:sz="4" w:space="0" w:color="auto"/>
            </w:tcBorders>
            <w:shd w:val="clear" w:color="auto" w:fill="auto"/>
            <w:noWrap/>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7,164</w:t>
            </w:r>
          </w:p>
        </w:tc>
        <w:tc>
          <w:tcPr>
            <w:tcW w:w="910"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24,477</w:t>
            </w:r>
          </w:p>
        </w:tc>
        <w:tc>
          <w:tcPr>
            <w:tcW w:w="669"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24,477</w:t>
            </w:r>
          </w:p>
        </w:tc>
        <w:tc>
          <w:tcPr>
            <w:tcW w:w="543"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167,887</w:t>
            </w:r>
          </w:p>
        </w:tc>
      </w:tr>
      <w:tr w:rsidR="000178CD" w:rsidRPr="0082547E" w:rsidTr="001C1527">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202009</w:t>
            </w:r>
          </w:p>
        </w:tc>
        <w:tc>
          <w:tcPr>
            <w:tcW w:w="682"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110,050</w:t>
            </w:r>
          </w:p>
        </w:tc>
        <w:tc>
          <w:tcPr>
            <w:tcW w:w="606" w:type="pct"/>
            <w:tcBorders>
              <w:top w:val="nil"/>
              <w:left w:val="nil"/>
              <w:bottom w:val="single" w:sz="4" w:space="0" w:color="auto"/>
              <w:right w:val="single" w:sz="4" w:space="0" w:color="auto"/>
            </w:tcBorders>
            <w:shd w:val="clear" w:color="auto" w:fill="auto"/>
            <w:noWrap/>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6,511</w:t>
            </w:r>
          </w:p>
        </w:tc>
        <w:tc>
          <w:tcPr>
            <w:tcW w:w="910"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24,101</w:t>
            </w:r>
          </w:p>
        </w:tc>
        <w:tc>
          <w:tcPr>
            <w:tcW w:w="669"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24,101</w:t>
            </w:r>
          </w:p>
        </w:tc>
        <w:tc>
          <w:tcPr>
            <w:tcW w:w="543" w:type="pct"/>
            <w:tcBorders>
              <w:top w:val="nil"/>
              <w:left w:val="nil"/>
              <w:bottom w:val="single" w:sz="4" w:space="0" w:color="auto"/>
              <w:right w:val="single" w:sz="4" w:space="0" w:color="auto"/>
            </w:tcBorders>
            <w:shd w:val="clear" w:color="auto" w:fill="auto"/>
            <w:vAlign w:val="center"/>
            <w:hideMark/>
          </w:tcPr>
          <w:p w:rsidR="000178CD" w:rsidRPr="0082547E" w:rsidRDefault="000178CD" w:rsidP="001C1527">
            <w:pPr>
              <w:widowControl w:val="0"/>
              <w:spacing w:line="276" w:lineRule="auto"/>
              <w:jc w:val="center"/>
              <w:rPr>
                <w:color w:val="000000"/>
                <w:sz w:val="20"/>
                <w:szCs w:val="20"/>
              </w:rPr>
            </w:pPr>
            <w:r w:rsidRPr="0082547E">
              <w:rPr>
                <w:color w:val="000000"/>
                <w:sz w:val="20"/>
                <w:szCs w:val="20"/>
              </w:rPr>
              <w:t>164,763</w:t>
            </w:r>
          </w:p>
        </w:tc>
      </w:tr>
    </w:tbl>
    <w:p w:rsidR="000178CD" w:rsidRDefault="000178CD" w:rsidP="000178CD">
      <w:pPr>
        <w:widowControl w:val="0"/>
        <w:overflowPunct w:val="0"/>
        <w:autoSpaceDE w:val="0"/>
        <w:autoSpaceDN w:val="0"/>
        <w:adjustRightInd w:val="0"/>
        <w:spacing w:line="276" w:lineRule="auto"/>
        <w:ind w:left="720"/>
        <w:jc w:val="both"/>
        <w:rPr>
          <w:bCs/>
        </w:rPr>
      </w:pPr>
    </w:p>
    <w:p w:rsidR="000178CD" w:rsidRPr="00B04E41" w:rsidRDefault="000178CD" w:rsidP="000178CD">
      <w:pPr>
        <w:widowControl w:val="0"/>
        <w:overflowPunct w:val="0"/>
        <w:autoSpaceDE w:val="0"/>
        <w:autoSpaceDN w:val="0"/>
        <w:adjustRightInd w:val="0"/>
        <w:spacing w:line="276" w:lineRule="auto"/>
        <w:ind w:left="720"/>
        <w:jc w:val="both"/>
        <w:rPr>
          <w:bCs/>
          <w:i/>
        </w:rPr>
      </w:pPr>
      <w:r w:rsidRPr="00B04E41">
        <w:rPr>
          <w:bCs/>
          <w:i/>
        </w:rPr>
        <w:t>Drejtoria e Apelimit Tatimor, bazuar në Udhëzimin nr. 24, datë 02.09.2008 “Për Procedurat Tatimore në R.Sh”, paragrafi 108.3.6, 108.3.7 dhe 108.3.8, pas anullimit të njoftim vlerësimit të ankimuar, kërkon nga DRT zgjidhjen e çështjes referuar trajtimit në pjesën arsyetuese të vendimit.</w:t>
      </w:r>
    </w:p>
    <w:p w:rsidR="000178CD" w:rsidRDefault="000178CD" w:rsidP="00595373">
      <w:pPr>
        <w:pStyle w:val="NoSpacing"/>
        <w:widowControl w:val="0"/>
        <w:spacing w:line="276" w:lineRule="auto"/>
        <w:jc w:val="both"/>
        <w:rPr>
          <w:rFonts w:eastAsiaTheme="minorHAnsi"/>
          <w:b/>
          <w:noProof w:val="0"/>
        </w:rPr>
      </w:pPr>
    </w:p>
    <w:p w:rsidR="000178CD" w:rsidRPr="0082547E" w:rsidRDefault="000178CD" w:rsidP="00595373">
      <w:pPr>
        <w:pStyle w:val="NoSpacing"/>
        <w:widowControl w:val="0"/>
        <w:spacing w:line="276" w:lineRule="auto"/>
        <w:jc w:val="both"/>
        <w:rPr>
          <w:rFonts w:eastAsiaTheme="minorHAnsi"/>
          <w:b/>
          <w:noProof w:val="0"/>
        </w:rPr>
      </w:pPr>
    </w:p>
    <w:p w:rsidR="004D45A9" w:rsidRDefault="00C46A6C" w:rsidP="00595373">
      <w:pPr>
        <w:pStyle w:val="NoSpacing"/>
        <w:widowControl w:val="0"/>
        <w:numPr>
          <w:ilvl w:val="0"/>
          <w:numId w:val="42"/>
        </w:numPr>
        <w:spacing w:line="276" w:lineRule="auto"/>
        <w:jc w:val="both"/>
        <w:rPr>
          <w:noProof w:val="0"/>
        </w:rPr>
      </w:pPr>
      <w:r w:rsidRPr="0082547E">
        <w:rPr>
          <w:rFonts w:eastAsiaTheme="minorHAnsi"/>
          <w:b/>
          <w:noProof w:val="0"/>
        </w:rPr>
        <w:lastRenderedPageBreak/>
        <w:t>Shfuqizim</w:t>
      </w:r>
      <w:r w:rsidR="00595373">
        <w:rPr>
          <w:rFonts w:eastAsiaTheme="minorHAnsi"/>
          <w:b/>
          <w:noProof w:val="0"/>
        </w:rPr>
        <w:t>in</w:t>
      </w:r>
      <w:r w:rsidRPr="0082547E">
        <w:rPr>
          <w:rFonts w:eastAsiaTheme="minorHAnsi"/>
          <w:b/>
          <w:noProof w:val="0"/>
        </w:rPr>
        <w:t xml:space="preserve"> </w:t>
      </w:r>
      <w:r w:rsidR="00595373">
        <w:rPr>
          <w:rFonts w:eastAsiaTheme="minorHAnsi"/>
          <w:b/>
          <w:noProof w:val="0"/>
        </w:rPr>
        <w:t>e</w:t>
      </w:r>
      <w:r w:rsidRPr="0082547E">
        <w:rPr>
          <w:rFonts w:eastAsiaTheme="minorHAnsi"/>
          <w:b/>
          <w:noProof w:val="0"/>
        </w:rPr>
        <w:t xml:space="preserve"> aktit administrativ</w:t>
      </w:r>
      <w:r w:rsidRPr="0082547E">
        <w:rPr>
          <w:rFonts w:eastAsiaTheme="minorHAnsi"/>
          <w:noProof w:val="0"/>
        </w:rPr>
        <w:t xml:space="preserve">, </w:t>
      </w:r>
      <w:r w:rsidR="00660D59" w:rsidRPr="0082547E">
        <w:rPr>
          <w:rFonts w:eastAsiaTheme="minorHAnsi"/>
          <w:noProof w:val="0"/>
        </w:rPr>
        <w:t>njoftim vlerësimit</w:t>
      </w:r>
      <w:r w:rsidR="004D45A9" w:rsidRPr="0082547E">
        <w:rPr>
          <w:noProof w:val="0"/>
        </w:rPr>
        <w:t>, si më poshtë:</w:t>
      </w:r>
    </w:p>
    <w:p w:rsidR="00595373" w:rsidRPr="0082547E" w:rsidRDefault="00595373" w:rsidP="00595373">
      <w:pPr>
        <w:pStyle w:val="NoSpacing"/>
        <w:widowControl w:val="0"/>
        <w:spacing w:line="276" w:lineRule="auto"/>
        <w:ind w:left="720"/>
        <w:jc w:val="both"/>
        <w:rPr>
          <w:noProof w:val="0"/>
        </w:rPr>
      </w:pPr>
    </w:p>
    <w:tbl>
      <w:tblPr>
        <w:tblW w:w="5000" w:type="pct"/>
        <w:tblLook w:val="04A0" w:firstRow="1" w:lastRow="0" w:firstColumn="1" w:lastColumn="0" w:noHBand="0" w:noVBand="1"/>
      </w:tblPr>
      <w:tblGrid>
        <w:gridCol w:w="1716"/>
        <w:gridCol w:w="1294"/>
        <w:gridCol w:w="1291"/>
        <w:gridCol w:w="1147"/>
        <w:gridCol w:w="1723"/>
        <w:gridCol w:w="1266"/>
        <w:gridCol w:w="1028"/>
      </w:tblGrid>
      <w:tr w:rsidR="00595373" w:rsidRPr="0082547E" w:rsidTr="00595373">
        <w:trPr>
          <w:trHeight w:val="20"/>
        </w:trPr>
        <w:tc>
          <w:tcPr>
            <w:tcW w:w="9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b/>
                <w:color w:val="000000"/>
                <w:sz w:val="20"/>
                <w:szCs w:val="20"/>
              </w:rPr>
            </w:pPr>
            <w:r w:rsidRPr="0082547E">
              <w:rPr>
                <w:b/>
                <w:color w:val="000000"/>
                <w:sz w:val="20"/>
                <w:szCs w:val="20"/>
              </w:rPr>
              <w:t>Tatimi</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b/>
                <w:color w:val="000000"/>
                <w:sz w:val="20"/>
                <w:szCs w:val="20"/>
              </w:rPr>
            </w:pPr>
            <w:r w:rsidRPr="0082547E">
              <w:rPr>
                <w:b/>
                <w:color w:val="000000"/>
                <w:sz w:val="20"/>
                <w:szCs w:val="20"/>
              </w:rPr>
              <w:t>Periudha</w:t>
            </w:r>
          </w:p>
        </w:tc>
        <w:tc>
          <w:tcPr>
            <w:tcW w:w="682" w:type="pct"/>
            <w:tcBorders>
              <w:top w:val="single" w:sz="4" w:space="0" w:color="auto"/>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b/>
                <w:color w:val="000000"/>
                <w:sz w:val="20"/>
                <w:szCs w:val="20"/>
              </w:rPr>
            </w:pPr>
            <w:r w:rsidRPr="0082547E">
              <w:rPr>
                <w:b/>
                <w:color w:val="000000"/>
                <w:sz w:val="20"/>
                <w:szCs w:val="20"/>
              </w:rPr>
              <w:t>Detyrim</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b/>
                <w:color w:val="000000"/>
                <w:sz w:val="20"/>
                <w:szCs w:val="20"/>
              </w:rPr>
            </w:pPr>
            <w:r w:rsidRPr="0082547E">
              <w:rPr>
                <w:b/>
                <w:color w:val="000000"/>
                <w:sz w:val="20"/>
                <w:szCs w:val="20"/>
              </w:rPr>
              <w:t>Kamatë-vonesa</w:t>
            </w:r>
          </w:p>
        </w:tc>
        <w:tc>
          <w:tcPr>
            <w:tcW w:w="910" w:type="pct"/>
            <w:tcBorders>
              <w:top w:val="single" w:sz="4" w:space="0" w:color="auto"/>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b/>
                <w:color w:val="000000"/>
                <w:sz w:val="20"/>
                <w:szCs w:val="20"/>
              </w:rPr>
            </w:pPr>
            <w:r w:rsidRPr="0082547E">
              <w:rPr>
                <w:b/>
                <w:color w:val="000000"/>
                <w:sz w:val="20"/>
                <w:szCs w:val="20"/>
              </w:rPr>
              <w:t>Gjobë p</w:t>
            </w:r>
            <w:r w:rsidR="00B04E41">
              <w:rPr>
                <w:b/>
                <w:color w:val="000000"/>
                <w:sz w:val="20"/>
                <w:szCs w:val="20"/>
              </w:rPr>
              <w:t>ë</w:t>
            </w:r>
            <w:r w:rsidRPr="0082547E">
              <w:rPr>
                <w:b/>
                <w:color w:val="000000"/>
                <w:sz w:val="20"/>
                <w:szCs w:val="20"/>
              </w:rPr>
              <w:t>r pages</w:t>
            </w:r>
            <w:r w:rsidR="00B04E41">
              <w:rPr>
                <w:b/>
                <w:color w:val="000000"/>
                <w:sz w:val="20"/>
                <w:szCs w:val="20"/>
              </w:rPr>
              <w:t>ë</w:t>
            </w:r>
            <w:r w:rsidRPr="0082547E">
              <w:rPr>
                <w:b/>
                <w:color w:val="000000"/>
                <w:sz w:val="20"/>
                <w:szCs w:val="20"/>
              </w:rPr>
              <w:t xml:space="preserve"> t</w:t>
            </w:r>
            <w:r w:rsidR="00B04E41">
              <w:rPr>
                <w:b/>
                <w:color w:val="000000"/>
                <w:sz w:val="20"/>
                <w:szCs w:val="20"/>
              </w:rPr>
              <w:t>ë</w:t>
            </w:r>
            <w:r w:rsidRPr="0082547E">
              <w:rPr>
                <w:b/>
                <w:color w:val="000000"/>
                <w:sz w:val="20"/>
                <w:szCs w:val="20"/>
              </w:rPr>
              <w:t xml:space="preserve"> vonuar</w:t>
            </w:r>
          </w:p>
        </w:tc>
        <w:tc>
          <w:tcPr>
            <w:tcW w:w="669" w:type="pct"/>
            <w:tcBorders>
              <w:top w:val="single" w:sz="4" w:space="0" w:color="auto"/>
              <w:left w:val="nil"/>
              <w:bottom w:val="single" w:sz="4" w:space="0" w:color="auto"/>
              <w:right w:val="single" w:sz="4" w:space="0" w:color="auto"/>
            </w:tcBorders>
            <w:shd w:val="clear" w:color="auto" w:fill="auto"/>
            <w:vAlign w:val="center"/>
            <w:hideMark/>
          </w:tcPr>
          <w:p w:rsidR="00595373" w:rsidRPr="0082547E" w:rsidRDefault="00595373" w:rsidP="00711B45">
            <w:pPr>
              <w:widowControl w:val="0"/>
              <w:spacing w:line="276" w:lineRule="auto"/>
              <w:jc w:val="center"/>
              <w:rPr>
                <w:b/>
                <w:color w:val="000000"/>
                <w:sz w:val="20"/>
                <w:szCs w:val="20"/>
              </w:rPr>
            </w:pPr>
            <w:r w:rsidRPr="0082547E">
              <w:rPr>
                <w:b/>
                <w:color w:val="000000"/>
                <w:sz w:val="20"/>
                <w:szCs w:val="20"/>
              </w:rPr>
              <w:t xml:space="preserve">Gjobë </w:t>
            </w:r>
            <w:r w:rsidR="00711B45">
              <w:rPr>
                <w:b/>
                <w:color w:val="000000"/>
                <w:sz w:val="20"/>
                <w:szCs w:val="20"/>
              </w:rPr>
              <w:t>inspektori</w:t>
            </w:r>
          </w:p>
        </w:tc>
        <w:tc>
          <w:tcPr>
            <w:tcW w:w="543" w:type="pct"/>
            <w:tcBorders>
              <w:top w:val="single" w:sz="4" w:space="0" w:color="auto"/>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b/>
                <w:color w:val="000000"/>
                <w:sz w:val="20"/>
                <w:szCs w:val="20"/>
              </w:rPr>
            </w:pPr>
            <w:r w:rsidRPr="0082547E">
              <w:rPr>
                <w:b/>
                <w:color w:val="000000"/>
                <w:sz w:val="20"/>
                <w:szCs w:val="20"/>
              </w:rPr>
              <w:t>Shuma</w:t>
            </w:r>
          </w:p>
        </w:tc>
      </w:tr>
      <w:tr w:rsidR="00595373" w:rsidRPr="0082547E" w:rsidTr="00595373">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201908</w:t>
            </w:r>
          </w:p>
        </w:tc>
        <w:tc>
          <w:tcPr>
            <w:tcW w:w="682"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346,686</w:t>
            </w:r>
          </w:p>
        </w:tc>
        <w:tc>
          <w:tcPr>
            <w:tcW w:w="606" w:type="pct"/>
            <w:tcBorders>
              <w:top w:val="nil"/>
              <w:left w:val="nil"/>
              <w:bottom w:val="single" w:sz="4" w:space="0" w:color="auto"/>
              <w:right w:val="single" w:sz="4" w:space="0" w:color="auto"/>
            </w:tcBorders>
            <w:shd w:val="clear" w:color="auto" w:fill="auto"/>
            <w:noWrap/>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42,024</w:t>
            </w:r>
          </w:p>
        </w:tc>
        <w:tc>
          <w:tcPr>
            <w:tcW w:w="910"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75,924</w:t>
            </w:r>
          </w:p>
        </w:tc>
        <w:tc>
          <w:tcPr>
            <w:tcW w:w="669"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75,924</w:t>
            </w:r>
          </w:p>
        </w:tc>
        <w:tc>
          <w:tcPr>
            <w:tcW w:w="54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540,558</w:t>
            </w:r>
          </w:p>
        </w:tc>
      </w:tr>
      <w:tr w:rsidR="00595373" w:rsidRPr="0082547E" w:rsidTr="00595373">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201909</w:t>
            </w:r>
          </w:p>
        </w:tc>
        <w:tc>
          <w:tcPr>
            <w:tcW w:w="682"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155,488</w:t>
            </w:r>
          </w:p>
        </w:tc>
        <w:tc>
          <w:tcPr>
            <w:tcW w:w="606" w:type="pct"/>
            <w:tcBorders>
              <w:top w:val="nil"/>
              <w:left w:val="nil"/>
              <w:bottom w:val="single" w:sz="4" w:space="0" w:color="auto"/>
              <w:right w:val="single" w:sz="4" w:space="0" w:color="auto"/>
            </w:tcBorders>
            <w:shd w:val="clear" w:color="auto" w:fill="auto"/>
            <w:noWrap/>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18,132</w:t>
            </w:r>
          </w:p>
        </w:tc>
        <w:tc>
          <w:tcPr>
            <w:tcW w:w="910"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34,052</w:t>
            </w:r>
          </w:p>
        </w:tc>
        <w:tc>
          <w:tcPr>
            <w:tcW w:w="669"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34,052</w:t>
            </w:r>
          </w:p>
        </w:tc>
        <w:tc>
          <w:tcPr>
            <w:tcW w:w="54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241,724</w:t>
            </w:r>
          </w:p>
        </w:tc>
      </w:tr>
      <w:tr w:rsidR="00595373" w:rsidRPr="0082547E" w:rsidTr="00595373">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201910</w:t>
            </w:r>
          </w:p>
        </w:tc>
        <w:tc>
          <w:tcPr>
            <w:tcW w:w="682"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50,117</w:t>
            </w:r>
          </w:p>
        </w:tc>
        <w:tc>
          <w:tcPr>
            <w:tcW w:w="606" w:type="pct"/>
            <w:tcBorders>
              <w:top w:val="nil"/>
              <w:left w:val="nil"/>
              <w:bottom w:val="single" w:sz="4" w:space="0" w:color="auto"/>
              <w:right w:val="single" w:sz="4" w:space="0" w:color="auto"/>
            </w:tcBorders>
            <w:shd w:val="clear" w:color="auto" w:fill="auto"/>
            <w:noWrap/>
            <w:vAlign w:val="center"/>
            <w:hideMark/>
          </w:tcPr>
          <w:p w:rsidR="00595373" w:rsidRPr="0082547E" w:rsidRDefault="00595373" w:rsidP="00595373">
            <w:pPr>
              <w:widowControl w:val="0"/>
              <w:spacing w:line="276" w:lineRule="auto"/>
              <w:jc w:val="center"/>
              <w:rPr>
                <w:color w:val="000000"/>
                <w:sz w:val="20"/>
                <w:szCs w:val="20"/>
              </w:rPr>
            </w:pPr>
          </w:p>
        </w:tc>
        <w:tc>
          <w:tcPr>
            <w:tcW w:w="910"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p>
        </w:tc>
        <w:tc>
          <w:tcPr>
            <w:tcW w:w="669"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10,976</w:t>
            </w:r>
          </w:p>
        </w:tc>
        <w:tc>
          <w:tcPr>
            <w:tcW w:w="54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61,093</w:t>
            </w:r>
          </w:p>
        </w:tc>
      </w:tr>
      <w:tr w:rsidR="00595373" w:rsidRPr="0082547E" w:rsidTr="00595373">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201911</w:t>
            </w:r>
          </w:p>
        </w:tc>
        <w:tc>
          <w:tcPr>
            <w:tcW w:w="682"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39,632</w:t>
            </w:r>
          </w:p>
        </w:tc>
        <w:tc>
          <w:tcPr>
            <w:tcW w:w="606" w:type="pct"/>
            <w:tcBorders>
              <w:top w:val="nil"/>
              <w:left w:val="nil"/>
              <w:bottom w:val="single" w:sz="4" w:space="0" w:color="auto"/>
              <w:right w:val="single" w:sz="4" w:space="0" w:color="auto"/>
            </w:tcBorders>
            <w:shd w:val="clear" w:color="auto" w:fill="auto"/>
            <w:noWrap/>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4,211</w:t>
            </w:r>
          </w:p>
        </w:tc>
        <w:tc>
          <w:tcPr>
            <w:tcW w:w="910"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8,679</w:t>
            </w:r>
          </w:p>
        </w:tc>
        <w:tc>
          <w:tcPr>
            <w:tcW w:w="669"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8,679</w:t>
            </w:r>
          </w:p>
        </w:tc>
        <w:tc>
          <w:tcPr>
            <w:tcW w:w="54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61,201</w:t>
            </w:r>
          </w:p>
        </w:tc>
      </w:tr>
      <w:tr w:rsidR="00595373" w:rsidRPr="0082547E" w:rsidTr="00595373">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202001</w:t>
            </w:r>
          </w:p>
        </w:tc>
        <w:tc>
          <w:tcPr>
            <w:tcW w:w="682"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19,356</w:t>
            </w:r>
          </w:p>
        </w:tc>
        <w:tc>
          <w:tcPr>
            <w:tcW w:w="606" w:type="pct"/>
            <w:tcBorders>
              <w:top w:val="nil"/>
              <w:left w:val="nil"/>
              <w:bottom w:val="single" w:sz="4" w:space="0" w:color="auto"/>
              <w:right w:val="single" w:sz="4" w:space="0" w:color="auto"/>
            </w:tcBorders>
            <w:shd w:val="clear" w:color="auto" w:fill="auto"/>
            <w:noWrap/>
            <w:vAlign w:val="center"/>
            <w:hideMark/>
          </w:tcPr>
          <w:p w:rsidR="00595373" w:rsidRPr="0082547E" w:rsidRDefault="00595373" w:rsidP="00595373">
            <w:pPr>
              <w:widowControl w:val="0"/>
              <w:spacing w:line="276" w:lineRule="auto"/>
              <w:jc w:val="center"/>
              <w:rPr>
                <w:color w:val="000000"/>
                <w:sz w:val="20"/>
                <w:szCs w:val="20"/>
              </w:rPr>
            </w:pPr>
          </w:p>
        </w:tc>
        <w:tc>
          <w:tcPr>
            <w:tcW w:w="910"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p>
        </w:tc>
        <w:tc>
          <w:tcPr>
            <w:tcW w:w="669"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4,239</w:t>
            </w:r>
          </w:p>
        </w:tc>
        <w:tc>
          <w:tcPr>
            <w:tcW w:w="54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23,595</w:t>
            </w:r>
          </w:p>
        </w:tc>
      </w:tr>
      <w:tr w:rsidR="00595373" w:rsidRPr="0082547E" w:rsidTr="00595373">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202002</w:t>
            </w:r>
          </w:p>
        </w:tc>
        <w:tc>
          <w:tcPr>
            <w:tcW w:w="682"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19,453</w:t>
            </w:r>
          </w:p>
        </w:tc>
        <w:tc>
          <w:tcPr>
            <w:tcW w:w="606" w:type="pct"/>
            <w:tcBorders>
              <w:top w:val="nil"/>
              <w:left w:val="nil"/>
              <w:bottom w:val="single" w:sz="4" w:space="0" w:color="auto"/>
              <w:right w:val="single" w:sz="4" w:space="0" w:color="auto"/>
            </w:tcBorders>
            <w:shd w:val="clear" w:color="auto" w:fill="auto"/>
            <w:noWrap/>
            <w:vAlign w:val="center"/>
            <w:hideMark/>
          </w:tcPr>
          <w:p w:rsidR="00595373" w:rsidRPr="0082547E" w:rsidRDefault="00595373" w:rsidP="00595373">
            <w:pPr>
              <w:widowControl w:val="0"/>
              <w:spacing w:line="276" w:lineRule="auto"/>
              <w:jc w:val="center"/>
              <w:rPr>
                <w:color w:val="000000"/>
                <w:sz w:val="20"/>
                <w:szCs w:val="20"/>
              </w:rPr>
            </w:pPr>
          </w:p>
        </w:tc>
        <w:tc>
          <w:tcPr>
            <w:tcW w:w="910"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p>
        </w:tc>
        <w:tc>
          <w:tcPr>
            <w:tcW w:w="669"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4,260</w:t>
            </w:r>
          </w:p>
        </w:tc>
        <w:tc>
          <w:tcPr>
            <w:tcW w:w="54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23,713</w:t>
            </w:r>
          </w:p>
        </w:tc>
      </w:tr>
      <w:tr w:rsidR="00595373" w:rsidRPr="0082547E" w:rsidTr="00595373">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202003</w:t>
            </w:r>
          </w:p>
        </w:tc>
        <w:tc>
          <w:tcPr>
            <w:tcW w:w="682"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10,355</w:t>
            </w:r>
          </w:p>
        </w:tc>
        <w:tc>
          <w:tcPr>
            <w:tcW w:w="606" w:type="pct"/>
            <w:tcBorders>
              <w:top w:val="nil"/>
              <w:left w:val="nil"/>
              <w:bottom w:val="single" w:sz="4" w:space="0" w:color="auto"/>
              <w:right w:val="single" w:sz="4" w:space="0" w:color="auto"/>
            </w:tcBorders>
            <w:shd w:val="clear" w:color="auto" w:fill="auto"/>
            <w:noWrap/>
            <w:vAlign w:val="center"/>
            <w:hideMark/>
          </w:tcPr>
          <w:p w:rsidR="00595373" w:rsidRPr="0082547E" w:rsidRDefault="00595373" w:rsidP="00595373">
            <w:pPr>
              <w:widowControl w:val="0"/>
              <w:spacing w:line="276" w:lineRule="auto"/>
              <w:jc w:val="center"/>
              <w:rPr>
                <w:color w:val="000000"/>
                <w:sz w:val="20"/>
                <w:szCs w:val="20"/>
              </w:rPr>
            </w:pPr>
          </w:p>
        </w:tc>
        <w:tc>
          <w:tcPr>
            <w:tcW w:w="910"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p>
        </w:tc>
        <w:tc>
          <w:tcPr>
            <w:tcW w:w="669"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2,268</w:t>
            </w:r>
          </w:p>
        </w:tc>
        <w:tc>
          <w:tcPr>
            <w:tcW w:w="54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12,623</w:t>
            </w:r>
          </w:p>
        </w:tc>
      </w:tr>
      <w:tr w:rsidR="00595373" w:rsidRPr="0082547E" w:rsidTr="00595373">
        <w:trPr>
          <w:trHeight w:val="20"/>
        </w:trPr>
        <w:tc>
          <w:tcPr>
            <w:tcW w:w="906" w:type="pct"/>
            <w:tcBorders>
              <w:top w:val="nil"/>
              <w:left w:val="single" w:sz="4" w:space="0" w:color="auto"/>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TVSH</w:t>
            </w:r>
          </w:p>
        </w:tc>
        <w:tc>
          <w:tcPr>
            <w:tcW w:w="68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201912</w:t>
            </w:r>
          </w:p>
        </w:tc>
        <w:tc>
          <w:tcPr>
            <w:tcW w:w="682"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58,882</w:t>
            </w:r>
          </w:p>
        </w:tc>
        <w:tc>
          <w:tcPr>
            <w:tcW w:w="606" w:type="pct"/>
            <w:tcBorders>
              <w:top w:val="nil"/>
              <w:left w:val="nil"/>
              <w:bottom w:val="single" w:sz="4" w:space="0" w:color="auto"/>
              <w:right w:val="single" w:sz="4" w:space="0" w:color="auto"/>
            </w:tcBorders>
            <w:shd w:val="clear" w:color="auto" w:fill="auto"/>
            <w:noWrap/>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5,976</w:t>
            </w:r>
          </w:p>
        </w:tc>
        <w:tc>
          <w:tcPr>
            <w:tcW w:w="910"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12,895</w:t>
            </w:r>
          </w:p>
        </w:tc>
        <w:tc>
          <w:tcPr>
            <w:tcW w:w="669"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12,895</w:t>
            </w:r>
          </w:p>
        </w:tc>
        <w:tc>
          <w:tcPr>
            <w:tcW w:w="543" w:type="pct"/>
            <w:tcBorders>
              <w:top w:val="nil"/>
              <w:left w:val="nil"/>
              <w:bottom w:val="single" w:sz="4" w:space="0" w:color="auto"/>
              <w:right w:val="single" w:sz="4" w:space="0" w:color="auto"/>
            </w:tcBorders>
            <w:shd w:val="clear" w:color="auto" w:fill="auto"/>
            <w:vAlign w:val="center"/>
            <w:hideMark/>
          </w:tcPr>
          <w:p w:rsidR="00595373" w:rsidRPr="0082547E" w:rsidRDefault="00595373" w:rsidP="00595373">
            <w:pPr>
              <w:widowControl w:val="0"/>
              <w:spacing w:line="276" w:lineRule="auto"/>
              <w:jc w:val="center"/>
              <w:rPr>
                <w:color w:val="000000"/>
                <w:sz w:val="20"/>
                <w:szCs w:val="20"/>
              </w:rPr>
            </w:pPr>
            <w:r w:rsidRPr="0082547E">
              <w:rPr>
                <w:color w:val="000000"/>
                <w:sz w:val="20"/>
                <w:szCs w:val="20"/>
              </w:rPr>
              <w:t>90,648</w:t>
            </w:r>
          </w:p>
        </w:tc>
      </w:tr>
    </w:tbl>
    <w:p w:rsidR="00C46A6C" w:rsidRPr="0082547E" w:rsidRDefault="00C46A6C" w:rsidP="00595373">
      <w:pPr>
        <w:widowControl w:val="0"/>
        <w:overflowPunct w:val="0"/>
        <w:autoSpaceDE w:val="0"/>
        <w:autoSpaceDN w:val="0"/>
        <w:adjustRightInd w:val="0"/>
        <w:spacing w:line="276" w:lineRule="auto"/>
        <w:ind w:left="720"/>
        <w:jc w:val="both"/>
        <w:rPr>
          <w:bCs/>
        </w:rPr>
      </w:pPr>
    </w:p>
    <w:p w:rsidR="00FD6DCA" w:rsidRPr="0082547E" w:rsidRDefault="00FD6DCA" w:rsidP="00595373">
      <w:pPr>
        <w:widowControl w:val="0"/>
        <w:spacing w:line="276" w:lineRule="auto"/>
        <w:jc w:val="both"/>
        <w:rPr>
          <w:rFonts w:eastAsiaTheme="minorHAnsi"/>
        </w:rPr>
      </w:pPr>
      <w:r w:rsidRPr="0082547E">
        <w:rPr>
          <w:rFonts w:eastAsiaTheme="minorHAnsi"/>
        </w:rPr>
        <w:t>Në zbatim të pikave 2 dhe 3 të nenit 109 të Ligjit nr. 9920 datë 19.05.2008, “Për Procedurat Tatimore në R.Sh”, tatimpaguesi mund t’a kundërshtojë vendimin e Drejtorisë së Apelimit Tatimor në gjykatë brenda 30 ditëve kalendarike nga data e marrjes dijeni për këtë vendim, ndërsa organi i administratës tatimore që ka bërë vlerësimin tatimor e ka të detyrueshëm për zbatim këtë vendim.</w:t>
      </w:r>
    </w:p>
    <w:p w:rsidR="009129FF" w:rsidRDefault="009129FF" w:rsidP="00595373">
      <w:pPr>
        <w:widowControl w:val="0"/>
        <w:spacing w:line="276" w:lineRule="auto"/>
        <w:jc w:val="both"/>
      </w:pPr>
    </w:p>
    <w:p w:rsidR="000178CD" w:rsidRPr="0082547E" w:rsidRDefault="000178CD" w:rsidP="00595373">
      <w:pPr>
        <w:widowControl w:val="0"/>
        <w:spacing w:line="276" w:lineRule="auto"/>
        <w:jc w:val="both"/>
      </w:pPr>
      <w:bookmarkStart w:id="0" w:name="_GoBack"/>
      <w:bookmarkEnd w:id="0"/>
    </w:p>
    <w:p w:rsidR="00876093" w:rsidRPr="0082547E" w:rsidRDefault="00595373" w:rsidP="00595373">
      <w:pPr>
        <w:widowControl w:val="0"/>
        <w:spacing w:line="276" w:lineRule="auto"/>
        <w:ind w:left="3600" w:firstLine="720"/>
        <w:jc w:val="both"/>
        <w:rPr>
          <w:b/>
          <w:bCs/>
        </w:rPr>
      </w:pPr>
      <w:r>
        <w:rPr>
          <w:b/>
          <w:bCs/>
        </w:rPr>
        <w:t xml:space="preserve">     </w:t>
      </w:r>
      <w:r w:rsidR="00876093" w:rsidRPr="0082547E">
        <w:rPr>
          <w:b/>
          <w:bCs/>
        </w:rPr>
        <w:t xml:space="preserve">DREJTOR I APELIMIT TATIMOR </w:t>
      </w:r>
    </w:p>
    <w:p w:rsidR="00876093" w:rsidRPr="0082547E" w:rsidRDefault="00876093" w:rsidP="00595373">
      <w:pPr>
        <w:widowControl w:val="0"/>
        <w:spacing w:line="276" w:lineRule="auto"/>
        <w:ind w:left="3600" w:firstLine="720"/>
        <w:jc w:val="both"/>
        <w:rPr>
          <w:b/>
          <w:bCs/>
        </w:rPr>
      </w:pPr>
    </w:p>
    <w:p w:rsidR="00876093" w:rsidRPr="0082547E" w:rsidRDefault="00876093" w:rsidP="00595373">
      <w:pPr>
        <w:widowControl w:val="0"/>
        <w:tabs>
          <w:tab w:val="left" w:pos="1260"/>
        </w:tabs>
        <w:spacing w:line="276" w:lineRule="auto"/>
        <w:jc w:val="both"/>
        <w:rPr>
          <w:color w:val="FFFFFF" w:themeColor="background1"/>
          <w:sz w:val="16"/>
          <w:szCs w:val="16"/>
        </w:rPr>
      </w:pPr>
      <w:r w:rsidRPr="0082547E">
        <w:rPr>
          <w:color w:val="FFFFFF" w:themeColor="background1"/>
          <w:sz w:val="16"/>
          <w:szCs w:val="16"/>
        </w:rPr>
        <w:t>Punoi I.Pano</w:t>
      </w:r>
    </w:p>
    <w:p w:rsidR="00876093" w:rsidRPr="0082547E" w:rsidRDefault="00876093" w:rsidP="00595373">
      <w:pPr>
        <w:widowControl w:val="0"/>
        <w:spacing w:line="276" w:lineRule="auto"/>
        <w:rPr>
          <w:i/>
          <w:sz w:val="16"/>
          <w:szCs w:val="16"/>
        </w:rPr>
      </w:pPr>
    </w:p>
    <w:sectPr w:rsidR="00876093" w:rsidRPr="0082547E" w:rsidSect="00711B45">
      <w:footerReference w:type="default" r:id="rId9"/>
      <w:pgSz w:w="12240" w:h="15840" w:code="1"/>
      <w:pgMar w:top="851" w:right="1325" w:bottom="993" w:left="1440" w:header="709" w:footer="1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CD9" w:rsidRDefault="00AA5CD9" w:rsidP="006725DD">
      <w:r>
        <w:separator/>
      </w:r>
    </w:p>
  </w:endnote>
  <w:endnote w:type="continuationSeparator" w:id="0">
    <w:p w:rsidR="00AA5CD9" w:rsidRDefault="00AA5CD9" w:rsidP="0067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FProText-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373" w:rsidRPr="00595373" w:rsidRDefault="00595373" w:rsidP="006725DD">
    <w:pPr>
      <w:pStyle w:val="Footer"/>
      <w:pBdr>
        <w:top w:val="single" w:sz="4" w:space="8" w:color="5B9BD5" w:themeColor="accent1"/>
      </w:pBdr>
      <w:tabs>
        <w:tab w:val="clear" w:pos="4680"/>
        <w:tab w:val="clear" w:pos="9360"/>
      </w:tabs>
      <w:spacing w:before="360"/>
      <w:contextualSpacing/>
      <w:jc w:val="center"/>
      <w:rPr>
        <w:noProof/>
        <w:color w:val="404040" w:themeColor="text1" w:themeTint="BF"/>
        <w:sz w:val="22"/>
      </w:rPr>
    </w:pPr>
    <w:r w:rsidRPr="00595373">
      <w:rPr>
        <w:noProof/>
        <w:color w:val="404040" w:themeColor="text1" w:themeTint="BF"/>
        <w:sz w:val="22"/>
      </w:rPr>
      <w:t xml:space="preserve">Bulevardi “Dëshmorët e Kombit”, nr. 3, </w:t>
    </w:r>
    <w:hyperlink r:id="rId1" w:history="1">
      <w:r w:rsidRPr="00595373">
        <w:rPr>
          <w:rStyle w:val="Hyperlink"/>
          <w:noProof/>
          <w:sz w:val="22"/>
        </w:rPr>
        <w:t>www.financa.gov.al</w:t>
      </w:r>
    </w:hyperlink>
    <w:r w:rsidRPr="00595373">
      <w:rPr>
        <w:noProof/>
        <w:color w:val="404040" w:themeColor="text1" w:themeTint="BF"/>
        <w:sz w:val="22"/>
      </w:rPr>
      <w:t xml:space="preserve">                                    </w:t>
    </w:r>
    <w:r w:rsidRPr="00595373">
      <w:rPr>
        <w:sz w:val="22"/>
      </w:rPr>
      <w:t xml:space="preserve">Faqe </w:t>
    </w:r>
    <w:r w:rsidRPr="00595373">
      <w:rPr>
        <w:noProof/>
        <w:color w:val="404040" w:themeColor="text1" w:themeTint="BF"/>
        <w:sz w:val="22"/>
      </w:rPr>
      <w:fldChar w:fldCharType="begin"/>
    </w:r>
    <w:r w:rsidRPr="00595373">
      <w:rPr>
        <w:noProof/>
        <w:color w:val="404040" w:themeColor="text1" w:themeTint="BF"/>
        <w:sz w:val="22"/>
      </w:rPr>
      <w:instrText xml:space="preserve"> PAGE   \* MERGEFORMAT </w:instrText>
    </w:r>
    <w:r w:rsidRPr="00595373">
      <w:rPr>
        <w:noProof/>
        <w:color w:val="404040" w:themeColor="text1" w:themeTint="BF"/>
        <w:sz w:val="22"/>
      </w:rPr>
      <w:fldChar w:fldCharType="separate"/>
    </w:r>
    <w:r w:rsidR="000178CD">
      <w:rPr>
        <w:noProof/>
        <w:color w:val="404040" w:themeColor="text1" w:themeTint="BF"/>
        <w:sz w:val="22"/>
      </w:rPr>
      <w:t>9</w:t>
    </w:r>
    <w:r w:rsidRPr="00595373">
      <w:rPr>
        <w:noProof/>
        <w:color w:val="404040" w:themeColor="text1" w:themeTint="BF"/>
        <w:sz w:val="22"/>
      </w:rPr>
      <w:fldChar w:fldCharType="end"/>
    </w:r>
  </w:p>
  <w:p w:rsidR="00595373" w:rsidRDefault="00595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CD9" w:rsidRDefault="00AA5CD9" w:rsidP="006725DD">
      <w:r>
        <w:separator/>
      </w:r>
    </w:p>
  </w:footnote>
  <w:footnote w:type="continuationSeparator" w:id="0">
    <w:p w:rsidR="00AA5CD9" w:rsidRDefault="00AA5CD9" w:rsidP="00672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D18"/>
    <w:multiLevelType w:val="hybridMultilevel"/>
    <w:tmpl w:val="C20AB4EE"/>
    <w:lvl w:ilvl="0" w:tplc="E0C8EBF6">
      <w:start w:val="1"/>
      <w:numFmt w:val="bullet"/>
      <w:lvlText w:val="▬"/>
      <w:lvlJc w:val="left"/>
      <w:pPr>
        <w:ind w:left="720" w:hanging="360"/>
      </w:pPr>
      <w:rPr>
        <w:rFonts w:ascii="Courier New" w:hAnsi="Courier New"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2273B26"/>
    <w:multiLevelType w:val="hybridMultilevel"/>
    <w:tmpl w:val="D778B6C8"/>
    <w:lvl w:ilvl="0" w:tplc="5636DD6A">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84AFA"/>
    <w:multiLevelType w:val="hybridMultilevel"/>
    <w:tmpl w:val="24E6FC7C"/>
    <w:lvl w:ilvl="0" w:tplc="E0C8EB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A72CE"/>
    <w:multiLevelType w:val="hybridMultilevel"/>
    <w:tmpl w:val="A9060050"/>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094D6EDD"/>
    <w:multiLevelType w:val="hybridMultilevel"/>
    <w:tmpl w:val="0170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84DC1"/>
    <w:multiLevelType w:val="hybridMultilevel"/>
    <w:tmpl w:val="D048D818"/>
    <w:lvl w:ilvl="0" w:tplc="3009000F">
      <w:start w:val="1"/>
      <w:numFmt w:val="decimal"/>
      <w:lvlText w:val="%1."/>
      <w:lvlJc w:val="left"/>
      <w:pPr>
        <w:ind w:left="360" w:hanging="360"/>
      </w:pPr>
    </w:lvl>
    <w:lvl w:ilvl="1" w:tplc="E0C8EBF6">
      <w:start w:val="1"/>
      <w:numFmt w:val="bullet"/>
      <w:lvlText w:val="▬"/>
      <w:lvlJc w:val="left"/>
      <w:pPr>
        <w:ind w:left="1080" w:hanging="360"/>
      </w:pPr>
      <w:rPr>
        <w:rFonts w:ascii="Courier New" w:hAnsi="Courier New" w:hint="default"/>
      </w:rPr>
    </w:lvl>
    <w:lvl w:ilvl="2" w:tplc="3009001B">
      <w:start w:val="1"/>
      <w:numFmt w:val="lowerRoman"/>
      <w:lvlText w:val="%3."/>
      <w:lvlJc w:val="right"/>
      <w:pPr>
        <w:ind w:left="1800" w:hanging="180"/>
      </w:pPr>
    </w:lvl>
    <w:lvl w:ilvl="3" w:tplc="9D60D2FA">
      <w:start w:val="1"/>
      <w:numFmt w:val="lowerLetter"/>
      <w:lvlText w:val="%4)"/>
      <w:lvlJc w:val="left"/>
      <w:pPr>
        <w:ind w:left="2520" w:hanging="360"/>
      </w:pPr>
      <w:rPr>
        <w:rFonts w:hint="default"/>
      </w:r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nsid w:val="143162D0"/>
    <w:multiLevelType w:val="hybridMultilevel"/>
    <w:tmpl w:val="F128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B3A37"/>
    <w:multiLevelType w:val="hybridMultilevel"/>
    <w:tmpl w:val="088AE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D3E3D"/>
    <w:multiLevelType w:val="multilevel"/>
    <w:tmpl w:val="E64C8B80"/>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5D2309D"/>
    <w:multiLevelType w:val="hybridMultilevel"/>
    <w:tmpl w:val="95A2EC16"/>
    <w:lvl w:ilvl="0" w:tplc="7924BD9C">
      <w:start w:val="2"/>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nsid w:val="27290AA6"/>
    <w:multiLevelType w:val="hybridMultilevel"/>
    <w:tmpl w:val="C2CCB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C7423A"/>
    <w:multiLevelType w:val="hybridMultilevel"/>
    <w:tmpl w:val="E8B4C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1336AA"/>
    <w:multiLevelType w:val="hybridMultilevel"/>
    <w:tmpl w:val="52ECB06C"/>
    <w:lvl w:ilvl="0" w:tplc="041C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3">
    <w:nsid w:val="2E551D09"/>
    <w:multiLevelType w:val="hybridMultilevel"/>
    <w:tmpl w:val="7F1E2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41456A"/>
    <w:multiLevelType w:val="hybridMultilevel"/>
    <w:tmpl w:val="7B62F2DA"/>
    <w:lvl w:ilvl="0" w:tplc="E0C8EBF6">
      <w:start w:val="1"/>
      <w:numFmt w:val="bullet"/>
      <w:lvlText w:val="▬"/>
      <w:lvlJc w:val="left"/>
      <w:pPr>
        <w:ind w:left="1500" w:hanging="360"/>
      </w:pPr>
      <w:rPr>
        <w:rFonts w:ascii="Courier New" w:hAnsi="Courier New" w:hint="default"/>
      </w:rPr>
    </w:lvl>
    <w:lvl w:ilvl="1" w:tplc="30090003" w:tentative="1">
      <w:start w:val="1"/>
      <w:numFmt w:val="bullet"/>
      <w:lvlText w:val="o"/>
      <w:lvlJc w:val="left"/>
      <w:pPr>
        <w:ind w:left="2220" w:hanging="360"/>
      </w:pPr>
      <w:rPr>
        <w:rFonts w:ascii="Courier New" w:hAnsi="Courier New" w:cs="Courier New" w:hint="default"/>
      </w:rPr>
    </w:lvl>
    <w:lvl w:ilvl="2" w:tplc="30090005" w:tentative="1">
      <w:start w:val="1"/>
      <w:numFmt w:val="bullet"/>
      <w:lvlText w:val=""/>
      <w:lvlJc w:val="left"/>
      <w:pPr>
        <w:ind w:left="2940" w:hanging="360"/>
      </w:pPr>
      <w:rPr>
        <w:rFonts w:ascii="Wingdings" w:hAnsi="Wingdings" w:hint="default"/>
      </w:rPr>
    </w:lvl>
    <w:lvl w:ilvl="3" w:tplc="30090001" w:tentative="1">
      <w:start w:val="1"/>
      <w:numFmt w:val="bullet"/>
      <w:lvlText w:val=""/>
      <w:lvlJc w:val="left"/>
      <w:pPr>
        <w:ind w:left="3660" w:hanging="360"/>
      </w:pPr>
      <w:rPr>
        <w:rFonts w:ascii="Symbol" w:hAnsi="Symbol" w:hint="default"/>
      </w:rPr>
    </w:lvl>
    <w:lvl w:ilvl="4" w:tplc="30090003" w:tentative="1">
      <w:start w:val="1"/>
      <w:numFmt w:val="bullet"/>
      <w:lvlText w:val="o"/>
      <w:lvlJc w:val="left"/>
      <w:pPr>
        <w:ind w:left="4380" w:hanging="360"/>
      </w:pPr>
      <w:rPr>
        <w:rFonts w:ascii="Courier New" w:hAnsi="Courier New" w:cs="Courier New" w:hint="default"/>
      </w:rPr>
    </w:lvl>
    <w:lvl w:ilvl="5" w:tplc="30090005" w:tentative="1">
      <w:start w:val="1"/>
      <w:numFmt w:val="bullet"/>
      <w:lvlText w:val=""/>
      <w:lvlJc w:val="left"/>
      <w:pPr>
        <w:ind w:left="5100" w:hanging="360"/>
      </w:pPr>
      <w:rPr>
        <w:rFonts w:ascii="Wingdings" w:hAnsi="Wingdings" w:hint="default"/>
      </w:rPr>
    </w:lvl>
    <w:lvl w:ilvl="6" w:tplc="30090001" w:tentative="1">
      <w:start w:val="1"/>
      <w:numFmt w:val="bullet"/>
      <w:lvlText w:val=""/>
      <w:lvlJc w:val="left"/>
      <w:pPr>
        <w:ind w:left="5820" w:hanging="360"/>
      </w:pPr>
      <w:rPr>
        <w:rFonts w:ascii="Symbol" w:hAnsi="Symbol" w:hint="default"/>
      </w:rPr>
    </w:lvl>
    <w:lvl w:ilvl="7" w:tplc="30090003" w:tentative="1">
      <w:start w:val="1"/>
      <w:numFmt w:val="bullet"/>
      <w:lvlText w:val="o"/>
      <w:lvlJc w:val="left"/>
      <w:pPr>
        <w:ind w:left="6540" w:hanging="360"/>
      </w:pPr>
      <w:rPr>
        <w:rFonts w:ascii="Courier New" w:hAnsi="Courier New" w:cs="Courier New" w:hint="default"/>
      </w:rPr>
    </w:lvl>
    <w:lvl w:ilvl="8" w:tplc="30090005" w:tentative="1">
      <w:start w:val="1"/>
      <w:numFmt w:val="bullet"/>
      <w:lvlText w:val=""/>
      <w:lvlJc w:val="left"/>
      <w:pPr>
        <w:ind w:left="7260" w:hanging="360"/>
      </w:pPr>
      <w:rPr>
        <w:rFonts w:ascii="Wingdings" w:hAnsi="Wingdings" w:hint="default"/>
      </w:rPr>
    </w:lvl>
  </w:abstractNum>
  <w:abstractNum w:abstractNumId="15">
    <w:nsid w:val="31D43F18"/>
    <w:multiLevelType w:val="hybridMultilevel"/>
    <w:tmpl w:val="A95E3022"/>
    <w:lvl w:ilvl="0" w:tplc="13C493EC">
      <w:numFmt w:val="bullet"/>
      <w:lvlText w:val="-"/>
      <w:lvlJc w:val="left"/>
      <w:pPr>
        <w:ind w:left="720" w:hanging="360"/>
      </w:pPr>
      <w:rPr>
        <w:rFonts w:ascii="Calibri Light" w:eastAsia="Calibri"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F515D"/>
    <w:multiLevelType w:val="hybridMultilevel"/>
    <w:tmpl w:val="69181E46"/>
    <w:lvl w:ilvl="0" w:tplc="5A6652B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390D57C3"/>
    <w:multiLevelType w:val="hybridMultilevel"/>
    <w:tmpl w:val="35CC5A6A"/>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nsid w:val="3BD52BDD"/>
    <w:multiLevelType w:val="hybridMultilevel"/>
    <w:tmpl w:val="DF9E3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D325FA4"/>
    <w:multiLevelType w:val="hybridMultilevel"/>
    <w:tmpl w:val="D98EC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6B4518"/>
    <w:multiLevelType w:val="hybridMultilevel"/>
    <w:tmpl w:val="B7A00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1E2AD3"/>
    <w:multiLevelType w:val="hybridMultilevel"/>
    <w:tmpl w:val="C18A4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D0165"/>
    <w:multiLevelType w:val="hybridMultilevel"/>
    <w:tmpl w:val="98F44B66"/>
    <w:lvl w:ilvl="0" w:tplc="3009000F">
      <w:start w:val="1"/>
      <w:numFmt w:val="decimal"/>
      <w:lvlText w:val="%1."/>
      <w:lvlJc w:val="left"/>
      <w:pPr>
        <w:ind w:left="360" w:hanging="360"/>
      </w:p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3">
    <w:nsid w:val="48A40B67"/>
    <w:multiLevelType w:val="hybridMultilevel"/>
    <w:tmpl w:val="1C868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8103F"/>
    <w:multiLevelType w:val="hybridMultilevel"/>
    <w:tmpl w:val="09102E30"/>
    <w:lvl w:ilvl="0" w:tplc="502AC57E">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881B6F"/>
    <w:multiLevelType w:val="hybridMultilevel"/>
    <w:tmpl w:val="AD2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5B6CCB"/>
    <w:multiLevelType w:val="hybridMultilevel"/>
    <w:tmpl w:val="02AE12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79450D"/>
    <w:multiLevelType w:val="hybridMultilevel"/>
    <w:tmpl w:val="A386C7A4"/>
    <w:lvl w:ilvl="0" w:tplc="3009000F">
      <w:start w:val="1"/>
      <w:numFmt w:val="decimal"/>
      <w:lvlText w:val="%1."/>
      <w:lvlJc w:val="left"/>
      <w:pPr>
        <w:ind w:left="720" w:hanging="360"/>
      </w:pPr>
      <w:rPr>
        <w:rFonts w:hint="default"/>
      </w:rPr>
    </w:lvl>
    <w:lvl w:ilvl="1" w:tplc="30090017">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51D47CAC"/>
    <w:multiLevelType w:val="hybridMultilevel"/>
    <w:tmpl w:val="7F1E2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611977"/>
    <w:multiLevelType w:val="hybridMultilevel"/>
    <w:tmpl w:val="40B493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6C6E1B"/>
    <w:multiLevelType w:val="multilevel"/>
    <w:tmpl w:val="F50C5156"/>
    <w:lvl w:ilvl="0">
      <w:start w:val="1"/>
      <w:numFmt w:val="decimal"/>
      <w:lvlText w:val="%1."/>
      <w:lvlJc w:val="left"/>
      <w:pPr>
        <w:ind w:left="720" w:hanging="360"/>
      </w:pPr>
      <w:rPr>
        <w:rFonts w:eastAsia="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FE819DF"/>
    <w:multiLevelType w:val="hybridMultilevel"/>
    <w:tmpl w:val="747A0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6A7BC1"/>
    <w:multiLevelType w:val="hybridMultilevel"/>
    <w:tmpl w:val="04769520"/>
    <w:lvl w:ilvl="0" w:tplc="BD1082EC">
      <w:start w:val="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46E67"/>
    <w:multiLevelType w:val="hybridMultilevel"/>
    <w:tmpl w:val="7E78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D40F5A"/>
    <w:multiLevelType w:val="hybridMultilevel"/>
    <w:tmpl w:val="2968C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0A1485"/>
    <w:multiLevelType w:val="hybridMultilevel"/>
    <w:tmpl w:val="6B2CE8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59431D"/>
    <w:multiLevelType w:val="hybridMultilevel"/>
    <w:tmpl w:val="93E67758"/>
    <w:lvl w:ilvl="0" w:tplc="1E1A316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8E306C"/>
    <w:multiLevelType w:val="multilevel"/>
    <w:tmpl w:val="1D2EE8F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DAB6B49"/>
    <w:multiLevelType w:val="hybridMultilevel"/>
    <w:tmpl w:val="5C3E0E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AC134F"/>
    <w:multiLevelType w:val="hybridMultilevel"/>
    <w:tmpl w:val="E758CC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F74114"/>
    <w:multiLevelType w:val="hybridMultilevel"/>
    <w:tmpl w:val="D802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BE0EA5"/>
    <w:multiLevelType w:val="hybridMultilevel"/>
    <w:tmpl w:val="E07CB5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31"/>
  </w:num>
  <w:num w:numId="4">
    <w:abstractNumId w:val="39"/>
  </w:num>
  <w:num w:numId="5">
    <w:abstractNumId w:val="11"/>
  </w:num>
  <w:num w:numId="6">
    <w:abstractNumId w:val="29"/>
  </w:num>
  <w:num w:numId="7">
    <w:abstractNumId w:val="38"/>
  </w:num>
  <w:num w:numId="8">
    <w:abstractNumId w:val="41"/>
  </w:num>
  <w:num w:numId="9">
    <w:abstractNumId w:val="19"/>
  </w:num>
  <w:num w:numId="10">
    <w:abstractNumId w:val="26"/>
  </w:num>
  <w:num w:numId="11">
    <w:abstractNumId w:val="35"/>
  </w:num>
  <w:num w:numId="12">
    <w:abstractNumId w:val="21"/>
  </w:num>
  <w:num w:numId="13">
    <w:abstractNumId w:val="34"/>
  </w:num>
  <w:num w:numId="14">
    <w:abstractNumId w:val="23"/>
  </w:num>
  <w:num w:numId="15">
    <w:abstractNumId w:val="6"/>
  </w:num>
  <w:num w:numId="16">
    <w:abstractNumId w:val="7"/>
  </w:num>
  <w:num w:numId="17">
    <w:abstractNumId w:val="10"/>
  </w:num>
  <w:num w:numId="18">
    <w:abstractNumId w:val="4"/>
  </w:num>
  <w:num w:numId="19">
    <w:abstractNumId w:val="33"/>
  </w:num>
  <w:num w:numId="20">
    <w:abstractNumId w:val="36"/>
  </w:num>
  <w:num w:numId="21">
    <w:abstractNumId w:val="15"/>
  </w:num>
  <w:num w:numId="22">
    <w:abstractNumId w:val="30"/>
  </w:num>
  <w:num w:numId="23">
    <w:abstractNumId w:val="37"/>
  </w:num>
  <w:num w:numId="24">
    <w:abstractNumId w:val="0"/>
  </w:num>
  <w:num w:numId="25">
    <w:abstractNumId w:val="27"/>
  </w:num>
  <w:num w:numId="26">
    <w:abstractNumId w:val="22"/>
  </w:num>
  <w:num w:numId="27">
    <w:abstractNumId w:val="8"/>
  </w:num>
  <w:num w:numId="28">
    <w:abstractNumId w:val="2"/>
  </w:num>
  <w:num w:numId="29">
    <w:abstractNumId w:val="14"/>
  </w:num>
  <w:num w:numId="30">
    <w:abstractNumId w:val="1"/>
  </w:num>
  <w:num w:numId="31">
    <w:abstractNumId w:val="5"/>
  </w:num>
  <w:num w:numId="32">
    <w:abstractNumId w:val="16"/>
  </w:num>
  <w:num w:numId="33">
    <w:abstractNumId w:val="25"/>
  </w:num>
  <w:num w:numId="34">
    <w:abstractNumId w:val="32"/>
  </w:num>
  <w:num w:numId="35">
    <w:abstractNumId w:val="28"/>
  </w:num>
  <w:num w:numId="36">
    <w:abstractNumId w:val="18"/>
  </w:num>
  <w:num w:numId="37">
    <w:abstractNumId w:val="13"/>
  </w:num>
  <w:num w:numId="38">
    <w:abstractNumId w:val="3"/>
  </w:num>
  <w:num w:numId="39">
    <w:abstractNumId w:val="9"/>
  </w:num>
  <w:num w:numId="40">
    <w:abstractNumId w:val="17"/>
  </w:num>
  <w:num w:numId="41">
    <w:abstractNumId w:val="40"/>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51"/>
    <w:rsid w:val="00000F5A"/>
    <w:rsid w:val="000038BF"/>
    <w:rsid w:val="000045A5"/>
    <w:rsid w:val="000071D1"/>
    <w:rsid w:val="00010E94"/>
    <w:rsid w:val="00016854"/>
    <w:rsid w:val="000178CD"/>
    <w:rsid w:val="00024F7E"/>
    <w:rsid w:val="0002537A"/>
    <w:rsid w:val="000345A7"/>
    <w:rsid w:val="00051765"/>
    <w:rsid w:val="00053BD9"/>
    <w:rsid w:val="00060E32"/>
    <w:rsid w:val="000618EC"/>
    <w:rsid w:val="000630B7"/>
    <w:rsid w:val="00064687"/>
    <w:rsid w:val="00070BF3"/>
    <w:rsid w:val="0007249D"/>
    <w:rsid w:val="000743AB"/>
    <w:rsid w:val="000860FF"/>
    <w:rsid w:val="00091F3F"/>
    <w:rsid w:val="00096C9D"/>
    <w:rsid w:val="00096E5C"/>
    <w:rsid w:val="000B1E06"/>
    <w:rsid w:val="000C0C41"/>
    <w:rsid w:val="000C760B"/>
    <w:rsid w:val="000D4470"/>
    <w:rsid w:val="000E1861"/>
    <w:rsid w:val="000F50F1"/>
    <w:rsid w:val="0010209D"/>
    <w:rsid w:val="00103BC7"/>
    <w:rsid w:val="001049B4"/>
    <w:rsid w:val="00104A72"/>
    <w:rsid w:val="001108B7"/>
    <w:rsid w:val="00120A28"/>
    <w:rsid w:val="00126824"/>
    <w:rsid w:val="001360BE"/>
    <w:rsid w:val="00140AC0"/>
    <w:rsid w:val="00151435"/>
    <w:rsid w:val="00156446"/>
    <w:rsid w:val="00157691"/>
    <w:rsid w:val="00163C71"/>
    <w:rsid w:val="00163DDD"/>
    <w:rsid w:val="00165F15"/>
    <w:rsid w:val="001712C9"/>
    <w:rsid w:val="00173903"/>
    <w:rsid w:val="00182E1D"/>
    <w:rsid w:val="00187907"/>
    <w:rsid w:val="00190E2E"/>
    <w:rsid w:val="00191A79"/>
    <w:rsid w:val="00195663"/>
    <w:rsid w:val="001A157C"/>
    <w:rsid w:val="001A3593"/>
    <w:rsid w:val="001A3875"/>
    <w:rsid w:val="001A3ADD"/>
    <w:rsid w:val="001A3EA2"/>
    <w:rsid w:val="001A6F40"/>
    <w:rsid w:val="001B3767"/>
    <w:rsid w:val="001B4C88"/>
    <w:rsid w:val="001B7C60"/>
    <w:rsid w:val="001C09CE"/>
    <w:rsid w:val="001C2CFB"/>
    <w:rsid w:val="001C6376"/>
    <w:rsid w:val="001C6E15"/>
    <w:rsid w:val="001F427B"/>
    <w:rsid w:val="001F68B2"/>
    <w:rsid w:val="00200FB4"/>
    <w:rsid w:val="002016E9"/>
    <w:rsid w:val="002223B3"/>
    <w:rsid w:val="00226A1F"/>
    <w:rsid w:val="00230104"/>
    <w:rsid w:val="00234073"/>
    <w:rsid w:val="0023413F"/>
    <w:rsid w:val="00235129"/>
    <w:rsid w:val="00236C3D"/>
    <w:rsid w:val="00240E30"/>
    <w:rsid w:val="0024416A"/>
    <w:rsid w:val="00245BB1"/>
    <w:rsid w:val="00257B73"/>
    <w:rsid w:val="002702A6"/>
    <w:rsid w:val="002769B3"/>
    <w:rsid w:val="002858B7"/>
    <w:rsid w:val="00285D28"/>
    <w:rsid w:val="002A329C"/>
    <w:rsid w:val="002A5CB6"/>
    <w:rsid w:val="002B6271"/>
    <w:rsid w:val="002C60DA"/>
    <w:rsid w:val="002D1AE3"/>
    <w:rsid w:val="002D45E0"/>
    <w:rsid w:val="002F04B3"/>
    <w:rsid w:val="003069CD"/>
    <w:rsid w:val="0032341B"/>
    <w:rsid w:val="0033364B"/>
    <w:rsid w:val="00350879"/>
    <w:rsid w:val="00351B1D"/>
    <w:rsid w:val="00356691"/>
    <w:rsid w:val="0036269E"/>
    <w:rsid w:val="003713DA"/>
    <w:rsid w:val="00371616"/>
    <w:rsid w:val="0037352F"/>
    <w:rsid w:val="00377823"/>
    <w:rsid w:val="00386831"/>
    <w:rsid w:val="0038795A"/>
    <w:rsid w:val="00387FD7"/>
    <w:rsid w:val="0039026C"/>
    <w:rsid w:val="00392D73"/>
    <w:rsid w:val="00395E22"/>
    <w:rsid w:val="003A3572"/>
    <w:rsid w:val="003A50B8"/>
    <w:rsid w:val="003B5CED"/>
    <w:rsid w:val="003C075E"/>
    <w:rsid w:val="003D3808"/>
    <w:rsid w:val="003D74B0"/>
    <w:rsid w:val="003E3355"/>
    <w:rsid w:val="003E49FF"/>
    <w:rsid w:val="003E7B1C"/>
    <w:rsid w:val="003F21DE"/>
    <w:rsid w:val="003F3BEC"/>
    <w:rsid w:val="00402BC6"/>
    <w:rsid w:val="00405E89"/>
    <w:rsid w:val="00410EB1"/>
    <w:rsid w:val="00416528"/>
    <w:rsid w:val="004303F0"/>
    <w:rsid w:val="00434C1B"/>
    <w:rsid w:val="00441D42"/>
    <w:rsid w:val="004442C0"/>
    <w:rsid w:val="00446D92"/>
    <w:rsid w:val="004475B1"/>
    <w:rsid w:val="00455067"/>
    <w:rsid w:val="00463C0D"/>
    <w:rsid w:val="004676E8"/>
    <w:rsid w:val="0047400A"/>
    <w:rsid w:val="0049134C"/>
    <w:rsid w:val="00491658"/>
    <w:rsid w:val="00492047"/>
    <w:rsid w:val="004A1FAE"/>
    <w:rsid w:val="004B144E"/>
    <w:rsid w:val="004B1CA9"/>
    <w:rsid w:val="004B7514"/>
    <w:rsid w:val="004B7EFE"/>
    <w:rsid w:val="004C1CC7"/>
    <w:rsid w:val="004C4ED5"/>
    <w:rsid w:val="004C599E"/>
    <w:rsid w:val="004C72AF"/>
    <w:rsid w:val="004D45A9"/>
    <w:rsid w:val="004D7172"/>
    <w:rsid w:val="004D758D"/>
    <w:rsid w:val="004E0F02"/>
    <w:rsid w:val="004F04D1"/>
    <w:rsid w:val="004F1E1E"/>
    <w:rsid w:val="00507A25"/>
    <w:rsid w:val="00511BDA"/>
    <w:rsid w:val="00516EF8"/>
    <w:rsid w:val="00517051"/>
    <w:rsid w:val="0052273A"/>
    <w:rsid w:val="00533C08"/>
    <w:rsid w:val="0053591B"/>
    <w:rsid w:val="00535995"/>
    <w:rsid w:val="00540814"/>
    <w:rsid w:val="00547680"/>
    <w:rsid w:val="00547FF5"/>
    <w:rsid w:val="005607CA"/>
    <w:rsid w:val="00563AEF"/>
    <w:rsid w:val="00564BEB"/>
    <w:rsid w:val="005700B1"/>
    <w:rsid w:val="00570600"/>
    <w:rsid w:val="0057653E"/>
    <w:rsid w:val="0058358B"/>
    <w:rsid w:val="00583D58"/>
    <w:rsid w:val="00584DB9"/>
    <w:rsid w:val="00585DBA"/>
    <w:rsid w:val="00586CD0"/>
    <w:rsid w:val="00587D10"/>
    <w:rsid w:val="00595373"/>
    <w:rsid w:val="005A349A"/>
    <w:rsid w:val="005A4528"/>
    <w:rsid w:val="005B0E55"/>
    <w:rsid w:val="005B1654"/>
    <w:rsid w:val="005B5DF6"/>
    <w:rsid w:val="005C703C"/>
    <w:rsid w:val="005D0667"/>
    <w:rsid w:val="005D20B5"/>
    <w:rsid w:val="005D4586"/>
    <w:rsid w:val="005E7453"/>
    <w:rsid w:val="005F44C9"/>
    <w:rsid w:val="005F5AEE"/>
    <w:rsid w:val="005F7974"/>
    <w:rsid w:val="00604D67"/>
    <w:rsid w:val="00607F15"/>
    <w:rsid w:val="0061794B"/>
    <w:rsid w:val="006219A1"/>
    <w:rsid w:val="00623DCD"/>
    <w:rsid w:val="00626117"/>
    <w:rsid w:val="006308CE"/>
    <w:rsid w:val="00634485"/>
    <w:rsid w:val="00637C27"/>
    <w:rsid w:val="006408B9"/>
    <w:rsid w:val="006418E4"/>
    <w:rsid w:val="00650D49"/>
    <w:rsid w:val="0065211F"/>
    <w:rsid w:val="0065690E"/>
    <w:rsid w:val="00660D59"/>
    <w:rsid w:val="00663D49"/>
    <w:rsid w:val="006725DD"/>
    <w:rsid w:val="00675626"/>
    <w:rsid w:val="00690905"/>
    <w:rsid w:val="006911E3"/>
    <w:rsid w:val="006958C0"/>
    <w:rsid w:val="006A0079"/>
    <w:rsid w:val="006A7A69"/>
    <w:rsid w:val="006B0659"/>
    <w:rsid w:val="006B3865"/>
    <w:rsid w:val="006C39A3"/>
    <w:rsid w:val="006C549E"/>
    <w:rsid w:val="006C6398"/>
    <w:rsid w:val="006C7CC9"/>
    <w:rsid w:val="006D1411"/>
    <w:rsid w:val="006D1F8C"/>
    <w:rsid w:val="006D7340"/>
    <w:rsid w:val="006E3A94"/>
    <w:rsid w:val="006E5C32"/>
    <w:rsid w:val="006E680D"/>
    <w:rsid w:val="006E7642"/>
    <w:rsid w:val="006F1A54"/>
    <w:rsid w:val="00707024"/>
    <w:rsid w:val="00711B45"/>
    <w:rsid w:val="007139EC"/>
    <w:rsid w:val="00715643"/>
    <w:rsid w:val="00727F2D"/>
    <w:rsid w:val="00742BF4"/>
    <w:rsid w:val="0074662D"/>
    <w:rsid w:val="00746CA7"/>
    <w:rsid w:val="0074748A"/>
    <w:rsid w:val="00750308"/>
    <w:rsid w:val="007547FD"/>
    <w:rsid w:val="0078197C"/>
    <w:rsid w:val="00781D87"/>
    <w:rsid w:val="007842C4"/>
    <w:rsid w:val="00787808"/>
    <w:rsid w:val="0079091A"/>
    <w:rsid w:val="00791CF1"/>
    <w:rsid w:val="0079565E"/>
    <w:rsid w:val="007A1664"/>
    <w:rsid w:val="007A704C"/>
    <w:rsid w:val="007A76C9"/>
    <w:rsid w:val="007B10DA"/>
    <w:rsid w:val="007B2646"/>
    <w:rsid w:val="007B5823"/>
    <w:rsid w:val="007B7C7E"/>
    <w:rsid w:val="007C2A8D"/>
    <w:rsid w:val="007C5084"/>
    <w:rsid w:val="007D7EDE"/>
    <w:rsid w:val="007E261C"/>
    <w:rsid w:val="007E4592"/>
    <w:rsid w:val="007E755F"/>
    <w:rsid w:val="007F1730"/>
    <w:rsid w:val="007F242B"/>
    <w:rsid w:val="00802411"/>
    <w:rsid w:val="00804A17"/>
    <w:rsid w:val="008064DA"/>
    <w:rsid w:val="00807540"/>
    <w:rsid w:val="00810948"/>
    <w:rsid w:val="00811ADB"/>
    <w:rsid w:val="00811F33"/>
    <w:rsid w:val="00812B39"/>
    <w:rsid w:val="0081523F"/>
    <w:rsid w:val="00823740"/>
    <w:rsid w:val="0082547E"/>
    <w:rsid w:val="00832126"/>
    <w:rsid w:val="0083357D"/>
    <w:rsid w:val="00840F81"/>
    <w:rsid w:val="00843A69"/>
    <w:rsid w:val="0084660B"/>
    <w:rsid w:val="00850F26"/>
    <w:rsid w:val="008518A0"/>
    <w:rsid w:val="00862932"/>
    <w:rsid w:val="00867466"/>
    <w:rsid w:val="00871302"/>
    <w:rsid w:val="00873941"/>
    <w:rsid w:val="00876093"/>
    <w:rsid w:val="00880505"/>
    <w:rsid w:val="00880C66"/>
    <w:rsid w:val="00887DE2"/>
    <w:rsid w:val="00895D77"/>
    <w:rsid w:val="008B2E1C"/>
    <w:rsid w:val="008B6962"/>
    <w:rsid w:val="008C0DF5"/>
    <w:rsid w:val="008C48AA"/>
    <w:rsid w:val="008D0B6D"/>
    <w:rsid w:val="008D388B"/>
    <w:rsid w:val="008E1DC6"/>
    <w:rsid w:val="0091260E"/>
    <w:rsid w:val="009129FF"/>
    <w:rsid w:val="009141D5"/>
    <w:rsid w:val="00921670"/>
    <w:rsid w:val="00932B39"/>
    <w:rsid w:val="009332A9"/>
    <w:rsid w:val="00935668"/>
    <w:rsid w:val="00935EC9"/>
    <w:rsid w:val="00936E4A"/>
    <w:rsid w:val="0093715B"/>
    <w:rsid w:val="009538B6"/>
    <w:rsid w:val="00953EA2"/>
    <w:rsid w:val="00954791"/>
    <w:rsid w:val="00964FE2"/>
    <w:rsid w:val="009655F6"/>
    <w:rsid w:val="009779DE"/>
    <w:rsid w:val="00983058"/>
    <w:rsid w:val="009834E8"/>
    <w:rsid w:val="00984EF0"/>
    <w:rsid w:val="009969D9"/>
    <w:rsid w:val="00996B6F"/>
    <w:rsid w:val="009A05D6"/>
    <w:rsid w:val="009A42C3"/>
    <w:rsid w:val="009B4173"/>
    <w:rsid w:val="009C0909"/>
    <w:rsid w:val="009C72BE"/>
    <w:rsid w:val="009C7393"/>
    <w:rsid w:val="009D3822"/>
    <w:rsid w:val="009E67EF"/>
    <w:rsid w:val="009F6B51"/>
    <w:rsid w:val="00A03075"/>
    <w:rsid w:val="00A03C2D"/>
    <w:rsid w:val="00A20D4D"/>
    <w:rsid w:val="00A233AE"/>
    <w:rsid w:val="00A24836"/>
    <w:rsid w:val="00A30DF7"/>
    <w:rsid w:val="00A3741E"/>
    <w:rsid w:val="00A419A7"/>
    <w:rsid w:val="00A44186"/>
    <w:rsid w:val="00A4515E"/>
    <w:rsid w:val="00A52390"/>
    <w:rsid w:val="00A54BCA"/>
    <w:rsid w:val="00A809ED"/>
    <w:rsid w:val="00A83029"/>
    <w:rsid w:val="00A91FC0"/>
    <w:rsid w:val="00A92776"/>
    <w:rsid w:val="00A9669B"/>
    <w:rsid w:val="00A97F42"/>
    <w:rsid w:val="00AA5CD9"/>
    <w:rsid w:val="00AA61CB"/>
    <w:rsid w:val="00AB010C"/>
    <w:rsid w:val="00AB69F5"/>
    <w:rsid w:val="00AC0812"/>
    <w:rsid w:val="00AC21C1"/>
    <w:rsid w:val="00AC75A0"/>
    <w:rsid w:val="00AD3C37"/>
    <w:rsid w:val="00AD5E76"/>
    <w:rsid w:val="00AE0DEB"/>
    <w:rsid w:val="00AE3EE5"/>
    <w:rsid w:val="00AE7368"/>
    <w:rsid w:val="00AF4F76"/>
    <w:rsid w:val="00B01B96"/>
    <w:rsid w:val="00B04E41"/>
    <w:rsid w:val="00B051A8"/>
    <w:rsid w:val="00B054C3"/>
    <w:rsid w:val="00B16146"/>
    <w:rsid w:val="00B218C3"/>
    <w:rsid w:val="00B262A8"/>
    <w:rsid w:val="00B34487"/>
    <w:rsid w:val="00B352D8"/>
    <w:rsid w:val="00B415D9"/>
    <w:rsid w:val="00B50987"/>
    <w:rsid w:val="00B525CD"/>
    <w:rsid w:val="00B56E6C"/>
    <w:rsid w:val="00B611A1"/>
    <w:rsid w:val="00B6365D"/>
    <w:rsid w:val="00B6418A"/>
    <w:rsid w:val="00B70E48"/>
    <w:rsid w:val="00B72AA6"/>
    <w:rsid w:val="00B7363E"/>
    <w:rsid w:val="00B74174"/>
    <w:rsid w:val="00B7513E"/>
    <w:rsid w:val="00B770C2"/>
    <w:rsid w:val="00B83E50"/>
    <w:rsid w:val="00B9047D"/>
    <w:rsid w:val="00B91051"/>
    <w:rsid w:val="00B92725"/>
    <w:rsid w:val="00B95AFC"/>
    <w:rsid w:val="00BA6652"/>
    <w:rsid w:val="00BB165E"/>
    <w:rsid w:val="00BB3FFA"/>
    <w:rsid w:val="00BB593C"/>
    <w:rsid w:val="00BC4E59"/>
    <w:rsid w:val="00BC622A"/>
    <w:rsid w:val="00BE2950"/>
    <w:rsid w:val="00BF287A"/>
    <w:rsid w:val="00BF2A0A"/>
    <w:rsid w:val="00BF4877"/>
    <w:rsid w:val="00C00842"/>
    <w:rsid w:val="00C00D6B"/>
    <w:rsid w:val="00C0452E"/>
    <w:rsid w:val="00C11D70"/>
    <w:rsid w:val="00C1203A"/>
    <w:rsid w:val="00C132A0"/>
    <w:rsid w:val="00C24327"/>
    <w:rsid w:val="00C30548"/>
    <w:rsid w:val="00C32026"/>
    <w:rsid w:val="00C32813"/>
    <w:rsid w:val="00C34BE4"/>
    <w:rsid w:val="00C35964"/>
    <w:rsid w:val="00C364E0"/>
    <w:rsid w:val="00C42B99"/>
    <w:rsid w:val="00C46A6C"/>
    <w:rsid w:val="00C551A3"/>
    <w:rsid w:val="00C62507"/>
    <w:rsid w:val="00C66E2C"/>
    <w:rsid w:val="00C71BAC"/>
    <w:rsid w:val="00C724BE"/>
    <w:rsid w:val="00C77BA0"/>
    <w:rsid w:val="00C822AD"/>
    <w:rsid w:val="00C83362"/>
    <w:rsid w:val="00C87E21"/>
    <w:rsid w:val="00C9009D"/>
    <w:rsid w:val="00C941C3"/>
    <w:rsid w:val="00CB69AE"/>
    <w:rsid w:val="00CC32E0"/>
    <w:rsid w:val="00CC42C3"/>
    <w:rsid w:val="00CC74DD"/>
    <w:rsid w:val="00CD0742"/>
    <w:rsid w:val="00CD1B0F"/>
    <w:rsid w:val="00CD39DE"/>
    <w:rsid w:val="00CD4C63"/>
    <w:rsid w:val="00CE6550"/>
    <w:rsid w:val="00CF3AA0"/>
    <w:rsid w:val="00CF3F95"/>
    <w:rsid w:val="00CF4388"/>
    <w:rsid w:val="00CF7327"/>
    <w:rsid w:val="00CF75B3"/>
    <w:rsid w:val="00CF7C0F"/>
    <w:rsid w:val="00D00E02"/>
    <w:rsid w:val="00D015E6"/>
    <w:rsid w:val="00D01775"/>
    <w:rsid w:val="00D034F9"/>
    <w:rsid w:val="00D03DE1"/>
    <w:rsid w:val="00D0737A"/>
    <w:rsid w:val="00D10665"/>
    <w:rsid w:val="00D11CFC"/>
    <w:rsid w:val="00D1341A"/>
    <w:rsid w:val="00D144B6"/>
    <w:rsid w:val="00D1626F"/>
    <w:rsid w:val="00D172F8"/>
    <w:rsid w:val="00D204E3"/>
    <w:rsid w:val="00D3115A"/>
    <w:rsid w:val="00D312FE"/>
    <w:rsid w:val="00D42848"/>
    <w:rsid w:val="00D548D3"/>
    <w:rsid w:val="00D55D4A"/>
    <w:rsid w:val="00D5645E"/>
    <w:rsid w:val="00D56FDB"/>
    <w:rsid w:val="00D61ED6"/>
    <w:rsid w:val="00D63428"/>
    <w:rsid w:val="00D67E1E"/>
    <w:rsid w:val="00D734AD"/>
    <w:rsid w:val="00D840EC"/>
    <w:rsid w:val="00D85422"/>
    <w:rsid w:val="00D923E6"/>
    <w:rsid w:val="00D9730E"/>
    <w:rsid w:val="00DA42F1"/>
    <w:rsid w:val="00DB1A8A"/>
    <w:rsid w:val="00DB296F"/>
    <w:rsid w:val="00DB61AB"/>
    <w:rsid w:val="00DB7C41"/>
    <w:rsid w:val="00DC3C9E"/>
    <w:rsid w:val="00DC478E"/>
    <w:rsid w:val="00DC61B1"/>
    <w:rsid w:val="00DE10B6"/>
    <w:rsid w:val="00DE441D"/>
    <w:rsid w:val="00DE56A6"/>
    <w:rsid w:val="00DE7ABC"/>
    <w:rsid w:val="00DF291C"/>
    <w:rsid w:val="00DF4246"/>
    <w:rsid w:val="00E20F5F"/>
    <w:rsid w:val="00E3626F"/>
    <w:rsid w:val="00E36895"/>
    <w:rsid w:val="00E37764"/>
    <w:rsid w:val="00E42611"/>
    <w:rsid w:val="00E46C7D"/>
    <w:rsid w:val="00E50AF8"/>
    <w:rsid w:val="00E55236"/>
    <w:rsid w:val="00E56B02"/>
    <w:rsid w:val="00E56CA4"/>
    <w:rsid w:val="00E5790F"/>
    <w:rsid w:val="00E620F2"/>
    <w:rsid w:val="00E6635F"/>
    <w:rsid w:val="00E679CB"/>
    <w:rsid w:val="00E7142B"/>
    <w:rsid w:val="00E7163D"/>
    <w:rsid w:val="00E807D0"/>
    <w:rsid w:val="00E8317B"/>
    <w:rsid w:val="00E85965"/>
    <w:rsid w:val="00E86120"/>
    <w:rsid w:val="00E86154"/>
    <w:rsid w:val="00E93074"/>
    <w:rsid w:val="00E979ED"/>
    <w:rsid w:val="00E979F9"/>
    <w:rsid w:val="00EA4670"/>
    <w:rsid w:val="00EB0BC2"/>
    <w:rsid w:val="00EB2F3E"/>
    <w:rsid w:val="00EB663F"/>
    <w:rsid w:val="00EC12E5"/>
    <w:rsid w:val="00EE078F"/>
    <w:rsid w:val="00EE7058"/>
    <w:rsid w:val="00EF050F"/>
    <w:rsid w:val="00EF60E0"/>
    <w:rsid w:val="00EF706B"/>
    <w:rsid w:val="00F023DA"/>
    <w:rsid w:val="00F11DA0"/>
    <w:rsid w:val="00F126FB"/>
    <w:rsid w:val="00F14D91"/>
    <w:rsid w:val="00F16660"/>
    <w:rsid w:val="00F16A60"/>
    <w:rsid w:val="00F20E35"/>
    <w:rsid w:val="00F334E1"/>
    <w:rsid w:val="00F35CE0"/>
    <w:rsid w:val="00F52C17"/>
    <w:rsid w:val="00F60193"/>
    <w:rsid w:val="00F82141"/>
    <w:rsid w:val="00F82ACA"/>
    <w:rsid w:val="00F906ED"/>
    <w:rsid w:val="00F94CAF"/>
    <w:rsid w:val="00F97BA1"/>
    <w:rsid w:val="00FB0075"/>
    <w:rsid w:val="00FB32DE"/>
    <w:rsid w:val="00FB3C93"/>
    <w:rsid w:val="00FC6DB3"/>
    <w:rsid w:val="00FD6DCA"/>
    <w:rsid w:val="00FE10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83ABB3-0765-4EFF-8A87-977A9AD0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F95"/>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CF7327"/>
    <w:pPr>
      <w:keepNext/>
      <w:outlineLvl w:val="0"/>
    </w:pPr>
    <w:rPr>
      <w:rFonts w:eastAsia="MS Mincho"/>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Intestazione.int,Header1"/>
    <w:basedOn w:val="Normal"/>
    <w:link w:val="HeaderChar"/>
    <w:unhideWhenUsed/>
    <w:rsid w:val="006725DD"/>
    <w:pPr>
      <w:tabs>
        <w:tab w:val="center" w:pos="4680"/>
        <w:tab w:val="right" w:pos="9360"/>
      </w:tabs>
    </w:pPr>
  </w:style>
  <w:style w:type="character" w:customStyle="1" w:styleId="HeaderChar">
    <w:name w:val="Header Char"/>
    <w:aliases w:val=" Char Char,Char Char,Intestazione.int Char,Header1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basedOn w:val="Normal"/>
    <w:uiPriority w:val="34"/>
    <w:qFormat/>
    <w:rsid w:val="006C7CC9"/>
    <w:pPr>
      <w:ind w:left="720"/>
      <w:contextualSpacing/>
    </w:pPr>
  </w:style>
  <w:style w:type="paragraph" w:styleId="Subtitle">
    <w:name w:val="Subtitle"/>
    <w:basedOn w:val="Normal"/>
    <w:link w:val="SubtitleChar"/>
    <w:qFormat/>
    <w:rsid w:val="002D45E0"/>
    <w:pPr>
      <w:jc w:val="center"/>
    </w:pPr>
    <w:rPr>
      <w:b/>
      <w:bCs/>
      <w:noProof/>
      <w:lang w:val="it-IT"/>
    </w:rPr>
  </w:style>
  <w:style w:type="character" w:customStyle="1" w:styleId="SubtitleChar">
    <w:name w:val="Subtitle Char"/>
    <w:basedOn w:val="DefaultParagraphFont"/>
    <w:link w:val="Subtitle"/>
    <w:rsid w:val="002D45E0"/>
    <w:rPr>
      <w:rFonts w:ascii="Times New Roman" w:eastAsia="Times New Roman" w:hAnsi="Times New Roman" w:cs="Times New Roman"/>
      <w:b/>
      <w:bCs/>
      <w:noProof/>
      <w:sz w:val="24"/>
      <w:szCs w:val="24"/>
      <w:lang w:val="it-IT"/>
    </w:rPr>
  </w:style>
  <w:style w:type="paragraph" w:styleId="NoSpacing">
    <w:name w:val="No Spacing"/>
    <w:link w:val="NoSpacingChar"/>
    <w:uiPriority w:val="1"/>
    <w:qFormat/>
    <w:rsid w:val="00B70E48"/>
    <w:pPr>
      <w:spacing w:after="0" w:line="240" w:lineRule="auto"/>
    </w:pPr>
    <w:rPr>
      <w:rFonts w:ascii="Times New Roman" w:eastAsia="SimSun" w:hAnsi="Times New Roman" w:cs="Times New Roman"/>
      <w:noProof/>
      <w:sz w:val="24"/>
      <w:szCs w:val="24"/>
      <w:lang w:val="sq-AL" w:eastAsia="zh-CN"/>
    </w:rPr>
  </w:style>
  <w:style w:type="character" w:customStyle="1" w:styleId="NoSpacingChar">
    <w:name w:val="No Spacing Char"/>
    <w:basedOn w:val="DefaultParagraphFont"/>
    <w:link w:val="NoSpacing"/>
    <w:uiPriority w:val="1"/>
    <w:rsid w:val="00B70E48"/>
    <w:rPr>
      <w:rFonts w:ascii="Times New Roman" w:eastAsia="SimSun" w:hAnsi="Times New Roman" w:cs="Times New Roman"/>
      <w:noProof/>
      <w:sz w:val="24"/>
      <w:szCs w:val="24"/>
      <w:lang w:val="sq-AL" w:eastAsia="zh-CN"/>
    </w:rPr>
  </w:style>
  <w:style w:type="paragraph" w:customStyle="1" w:styleId="Default">
    <w:name w:val="Default"/>
    <w:rsid w:val="006911E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C32813"/>
    <w:pPr>
      <w:jc w:val="both"/>
    </w:pPr>
    <w:rPr>
      <w:rFonts w:ascii="Arial" w:eastAsia="MS Mincho" w:hAnsi="Arial"/>
      <w:noProof/>
    </w:rPr>
  </w:style>
  <w:style w:type="character" w:customStyle="1" w:styleId="BodyTextChar">
    <w:name w:val="Body Text Char"/>
    <w:basedOn w:val="DefaultParagraphFont"/>
    <w:link w:val="BodyText"/>
    <w:rsid w:val="00C32813"/>
    <w:rPr>
      <w:rFonts w:ascii="Arial" w:eastAsia="MS Mincho" w:hAnsi="Arial" w:cs="Times New Roman"/>
      <w:noProof/>
      <w:sz w:val="24"/>
      <w:szCs w:val="20"/>
      <w:lang w:val="sq-AL"/>
    </w:rPr>
  </w:style>
  <w:style w:type="paragraph" w:styleId="BalloonText">
    <w:name w:val="Balloon Text"/>
    <w:basedOn w:val="Normal"/>
    <w:link w:val="BalloonTextChar"/>
    <w:uiPriority w:val="99"/>
    <w:semiHidden/>
    <w:unhideWhenUsed/>
    <w:rsid w:val="003E7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B1C"/>
    <w:rPr>
      <w:rFonts w:ascii="Segoe UI" w:hAnsi="Segoe UI" w:cs="Segoe UI"/>
      <w:sz w:val="18"/>
      <w:szCs w:val="18"/>
    </w:rPr>
  </w:style>
  <w:style w:type="character" w:customStyle="1" w:styleId="Heading1Char">
    <w:name w:val="Heading 1 Char"/>
    <w:basedOn w:val="DefaultParagraphFont"/>
    <w:link w:val="Heading1"/>
    <w:rsid w:val="00CF7327"/>
    <w:rPr>
      <w:rFonts w:ascii="Times New Roman" w:eastAsia="MS Mincho" w:hAnsi="Times New Roman" w:cs="Times New Roman"/>
      <w:sz w:val="24"/>
      <w:szCs w:val="24"/>
      <w:u w:val="single"/>
      <w:lang w:val="x-none" w:eastAsia="x-none"/>
    </w:rPr>
  </w:style>
  <w:style w:type="character" w:customStyle="1" w:styleId="Bodytext0">
    <w:name w:val="Body text_"/>
    <w:basedOn w:val="DefaultParagraphFont"/>
    <w:link w:val="BodyText2"/>
    <w:rsid w:val="00386831"/>
    <w:rPr>
      <w:rFonts w:ascii="Times New Roman" w:eastAsia="Times New Roman" w:hAnsi="Times New Roman" w:cs="Times New Roman"/>
      <w:sz w:val="21"/>
      <w:szCs w:val="21"/>
      <w:shd w:val="clear" w:color="auto" w:fill="FFFFFF"/>
    </w:rPr>
  </w:style>
  <w:style w:type="paragraph" w:customStyle="1" w:styleId="BodyText2">
    <w:name w:val="Body Text2"/>
    <w:basedOn w:val="Normal"/>
    <w:link w:val="Bodytext0"/>
    <w:rsid w:val="00386831"/>
    <w:pPr>
      <w:widowControl w:val="0"/>
      <w:shd w:val="clear" w:color="auto" w:fill="FFFFFF"/>
      <w:spacing w:line="278" w:lineRule="exact"/>
      <w:ind w:hanging="520"/>
      <w:jc w:val="both"/>
    </w:pPr>
    <w:rPr>
      <w:sz w:val="21"/>
      <w:szCs w:val="21"/>
    </w:rPr>
  </w:style>
  <w:style w:type="character" w:styleId="Emphasis">
    <w:name w:val="Emphasis"/>
    <w:basedOn w:val="DefaultParagraphFont"/>
    <w:uiPriority w:val="20"/>
    <w:qFormat/>
    <w:rsid w:val="004303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13114">
      <w:bodyDiv w:val="1"/>
      <w:marLeft w:val="0"/>
      <w:marRight w:val="0"/>
      <w:marTop w:val="0"/>
      <w:marBottom w:val="0"/>
      <w:divBdr>
        <w:top w:val="none" w:sz="0" w:space="0" w:color="auto"/>
        <w:left w:val="none" w:sz="0" w:space="0" w:color="auto"/>
        <w:bottom w:val="none" w:sz="0" w:space="0" w:color="auto"/>
        <w:right w:val="none" w:sz="0" w:space="0" w:color="auto"/>
      </w:divBdr>
    </w:div>
    <w:div w:id="137067535">
      <w:bodyDiv w:val="1"/>
      <w:marLeft w:val="0"/>
      <w:marRight w:val="0"/>
      <w:marTop w:val="0"/>
      <w:marBottom w:val="0"/>
      <w:divBdr>
        <w:top w:val="none" w:sz="0" w:space="0" w:color="auto"/>
        <w:left w:val="none" w:sz="0" w:space="0" w:color="auto"/>
        <w:bottom w:val="none" w:sz="0" w:space="0" w:color="auto"/>
        <w:right w:val="none" w:sz="0" w:space="0" w:color="auto"/>
      </w:divBdr>
    </w:div>
    <w:div w:id="144054907">
      <w:bodyDiv w:val="1"/>
      <w:marLeft w:val="0"/>
      <w:marRight w:val="0"/>
      <w:marTop w:val="0"/>
      <w:marBottom w:val="0"/>
      <w:divBdr>
        <w:top w:val="none" w:sz="0" w:space="0" w:color="auto"/>
        <w:left w:val="none" w:sz="0" w:space="0" w:color="auto"/>
        <w:bottom w:val="none" w:sz="0" w:space="0" w:color="auto"/>
        <w:right w:val="none" w:sz="0" w:space="0" w:color="auto"/>
      </w:divBdr>
    </w:div>
    <w:div w:id="149101040">
      <w:bodyDiv w:val="1"/>
      <w:marLeft w:val="0"/>
      <w:marRight w:val="0"/>
      <w:marTop w:val="0"/>
      <w:marBottom w:val="0"/>
      <w:divBdr>
        <w:top w:val="none" w:sz="0" w:space="0" w:color="auto"/>
        <w:left w:val="none" w:sz="0" w:space="0" w:color="auto"/>
        <w:bottom w:val="none" w:sz="0" w:space="0" w:color="auto"/>
        <w:right w:val="none" w:sz="0" w:space="0" w:color="auto"/>
      </w:divBdr>
    </w:div>
    <w:div w:id="167722672">
      <w:bodyDiv w:val="1"/>
      <w:marLeft w:val="0"/>
      <w:marRight w:val="0"/>
      <w:marTop w:val="0"/>
      <w:marBottom w:val="0"/>
      <w:divBdr>
        <w:top w:val="none" w:sz="0" w:space="0" w:color="auto"/>
        <w:left w:val="none" w:sz="0" w:space="0" w:color="auto"/>
        <w:bottom w:val="none" w:sz="0" w:space="0" w:color="auto"/>
        <w:right w:val="none" w:sz="0" w:space="0" w:color="auto"/>
      </w:divBdr>
    </w:div>
    <w:div w:id="167991465">
      <w:bodyDiv w:val="1"/>
      <w:marLeft w:val="0"/>
      <w:marRight w:val="0"/>
      <w:marTop w:val="0"/>
      <w:marBottom w:val="0"/>
      <w:divBdr>
        <w:top w:val="none" w:sz="0" w:space="0" w:color="auto"/>
        <w:left w:val="none" w:sz="0" w:space="0" w:color="auto"/>
        <w:bottom w:val="none" w:sz="0" w:space="0" w:color="auto"/>
        <w:right w:val="none" w:sz="0" w:space="0" w:color="auto"/>
      </w:divBdr>
    </w:div>
    <w:div w:id="196310019">
      <w:bodyDiv w:val="1"/>
      <w:marLeft w:val="0"/>
      <w:marRight w:val="0"/>
      <w:marTop w:val="0"/>
      <w:marBottom w:val="0"/>
      <w:divBdr>
        <w:top w:val="none" w:sz="0" w:space="0" w:color="auto"/>
        <w:left w:val="none" w:sz="0" w:space="0" w:color="auto"/>
        <w:bottom w:val="none" w:sz="0" w:space="0" w:color="auto"/>
        <w:right w:val="none" w:sz="0" w:space="0" w:color="auto"/>
      </w:divBdr>
    </w:div>
    <w:div w:id="561211753">
      <w:bodyDiv w:val="1"/>
      <w:marLeft w:val="0"/>
      <w:marRight w:val="0"/>
      <w:marTop w:val="0"/>
      <w:marBottom w:val="0"/>
      <w:divBdr>
        <w:top w:val="none" w:sz="0" w:space="0" w:color="auto"/>
        <w:left w:val="none" w:sz="0" w:space="0" w:color="auto"/>
        <w:bottom w:val="none" w:sz="0" w:space="0" w:color="auto"/>
        <w:right w:val="none" w:sz="0" w:space="0" w:color="auto"/>
      </w:divBdr>
    </w:div>
    <w:div w:id="582881073">
      <w:bodyDiv w:val="1"/>
      <w:marLeft w:val="0"/>
      <w:marRight w:val="0"/>
      <w:marTop w:val="0"/>
      <w:marBottom w:val="0"/>
      <w:divBdr>
        <w:top w:val="none" w:sz="0" w:space="0" w:color="auto"/>
        <w:left w:val="none" w:sz="0" w:space="0" w:color="auto"/>
        <w:bottom w:val="none" w:sz="0" w:space="0" w:color="auto"/>
        <w:right w:val="none" w:sz="0" w:space="0" w:color="auto"/>
      </w:divBdr>
    </w:div>
    <w:div w:id="588392968">
      <w:bodyDiv w:val="1"/>
      <w:marLeft w:val="0"/>
      <w:marRight w:val="0"/>
      <w:marTop w:val="0"/>
      <w:marBottom w:val="0"/>
      <w:divBdr>
        <w:top w:val="none" w:sz="0" w:space="0" w:color="auto"/>
        <w:left w:val="none" w:sz="0" w:space="0" w:color="auto"/>
        <w:bottom w:val="none" w:sz="0" w:space="0" w:color="auto"/>
        <w:right w:val="none" w:sz="0" w:space="0" w:color="auto"/>
      </w:divBdr>
    </w:div>
    <w:div w:id="596669731">
      <w:bodyDiv w:val="1"/>
      <w:marLeft w:val="0"/>
      <w:marRight w:val="0"/>
      <w:marTop w:val="0"/>
      <w:marBottom w:val="0"/>
      <w:divBdr>
        <w:top w:val="none" w:sz="0" w:space="0" w:color="auto"/>
        <w:left w:val="none" w:sz="0" w:space="0" w:color="auto"/>
        <w:bottom w:val="none" w:sz="0" w:space="0" w:color="auto"/>
        <w:right w:val="none" w:sz="0" w:space="0" w:color="auto"/>
      </w:divBdr>
    </w:div>
    <w:div w:id="777605370">
      <w:bodyDiv w:val="1"/>
      <w:marLeft w:val="0"/>
      <w:marRight w:val="0"/>
      <w:marTop w:val="0"/>
      <w:marBottom w:val="0"/>
      <w:divBdr>
        <w:top w:val="none" w:sz="0" w:space="0" w:color="auto"/>
        <w:left w:val="none" w:sz="0" w:space="0" w:color="auto"/>
        <w:bottom w:val="none" w:sz="0" w:space="0" w:color="auto"/>
        <w:right w:val="none" w:sz="0" w:space="0" w:color="auto"/>
      </w:divBdr>
    </w:div>
    <w:div w:id="840313719">
      <w:bodyDiv w:val="1"/>
      <w:marLeft w:val="0"/>
      <w:marRight w:val="0"/>
      <w:marTop w:val="0"/>
      <w:marBottom w:val="0"/>
      <w:divBdr>
        <w:top w:val="none" w:sz="0" w:space="0" w:color="auto"/>
        <w:left w:val="none" w:sz="0" w:space="0" w:color="auto"/>
        <w:bottom w:val="none" w:sz="0" w:space="0" w:color="auto"/>
        <w:right w:val="none" w:sz="0" w:space="0" w:color="auto"/>
      </w:divBdr>
    </w:div>
    <w:div w:id="847252840">
      <w:bodyDiv w:val="1"/>
      <w:marLeft w:val="0"/>
      <w:marRight w:val="0"/>
      <w:marTop w:val="0"/>
      <w:marBottom w:val="0"/>
      <w:divBdr>
        <w:top w:val="none" w:sz="0" w:space="0" w:color="auto"/>
        <w:left w:val="none" w:sz="0" w:space="0" w:color="auto"/>
        <w:bottom w:val="none" w:sz="0" w:space="0" w:color="auto"/>
        <w:right w:val="none" w:sz="0" w:space="0" w:color="auto"/>
      </w:divBdr>
    </w:div>
    <w:div w:id="848909425">
      <w:bodyDiv w:val="1"/>
      <w:marLeft w:val="0"/>
      <w:marRight w:val="0"/>
      <w:marTop w:val="0"/>
      <w:marBottom w:val="0"/>
      <w:divBdr>
        <w:top w:val="none" w:sz="0" w:space="0" w:color="auto"/>
        <w:left w:val="none" w:sz="0" w:space="0" w:color="auto"/>
        <w:bottom w:val="none" w:sz="0" w:space="0" w:color="auto"/>
        <w:right w:val="none" w:sz="0" w:space="0" w:color="auto"/>
      </w:divBdr>
    </w:div>
    <w:div w:id="890767354">
      <w:bodyDiv w:val="1"/>
      <w:marLeft w:val="0"/>
      <w:marRight w:val="0"/>
      <w:marTop w:val="0"/>
      <w:marBottom w:val="0"/>
      <w:divBdr>
        <w:top w:val="none" w:sz="0" w:space="0" w:color="auto"/>
        <w:left w:val="none" w:sz="0" w:space="0" w:color="auto"/>
        <w:bottom w:val="none" w:sz="0" w:space="0" w:color="auto"/>
        <w:right w:val="none" w:sz="0" w:space="0" w:color="auto"/>
      </w:divBdr>
    </w:div>
    <w:div w:id="1106461477">
      <w:bodyDiv w:val="1"/>
      <w:marLeft w:val="0"/>
      <w:marRight w:val="0"/>
      <w:marTop w:val="0"/>
      <w:marBottom w:val="0"/>
      <w:divBdr>
        <w:top w:val="none" w:sz="0" w:space="0" w:color="auto"/>
        <w:left w:val="none" w:sz="0" w:space="0" w:color="auto"/>
        <w:bottom w:val="none" w:sz="0" w:space="0" w:color="auto"/>
        <w:right w:val="none" w:sz="0" w:space="0" w:color="auto"/>
      </w:divBdr>
    </w:div>
    <w:div w:id="1142968356">
      <w:bodyDiv w:val="1"/>
      <w:marLeft w:val="0"/>
      <w:marRight w:val="0"/>
      <w:marTop w:val="0"/>
      <w:marBottom w:val="0"/>
      <w:divBdr>
        <w:top w:val="none" w:sz="0" w:space="0" w:color="auto"/>
        <w:left w:val="none" w:sz="0" w:space="0" w:color="auto"/>
        <w:bottom w:val="none" w:sz="0" w:space="0" w:color="auto"/>
        <w:right w:val="none" w:sz="0" w:space="0" w:color="auto"/>
      </w:divBdr>
    </w:div>
    <w:div w:id="1202940391">
      <w:bodyDiv w:val="1"/>
      <w:marLeft w:val="0"/>
      <w:marRight w:val="0"/>
      <w:marTop w:val="0"/>
      <w:marBottom w:val="0"/>
      <w:divBdr>
        <w:top w:val="none" w:sz="0" w:space="0" w:color="auto"/>
        <w:left w:val="none" w:sz="0" w:space="0" w:color="auto"/>
        <w:bottom w:val="none" w:sz="0" w:space="0" w:color="auto"/>
        <w:right w:val="none" w:sz="0" w:space="0" w:color="auto"/>
      </w:divBdr>
    </w:div>
    <w:div w:id="1246066062">
      <w:bodyDiv w:val="1"/>
      <w:marLeft w:val="0"/>
      <w:marRight w:val="0"/>
      <w:marTop w:val="0"/>
      <w:marBottom w:val="0"/>
      <w:divBdr>
        <w:top w:val="none" w:sz="0" w:space="0" w:color="auto"/>
        <w:left w:val="none" w:sz="0" w:space="0" w:color="auto"/>
        <w:bottom w:val="none" w:sz="0" w:space="0" w:color="auto"/>
        <w:right w:val="none" w:sz="0" w:space="0" w:color="auto"/>
      </w:divBdr>
    </w:div>
    <w:div w:id="1347051709">
      <w:bodyDiv w:val="1"/>
      <w:marLeft w:val="0"/>
      <w:marRight w:val="0"/>
      <w:marTop w:val="0"/>
      <w:marBottom w:val="0"/>
      <w:divBdr>
        <w:top w:val="none" w:sz="0" w:space="0" w:color="auto"/>
        <w:left w:val="none" w:sz="0" w:space="0" w:color="auto"/>
        <w:bottom w:val="none" w:sz="0" w:space="0" w:color="auto"/>
        <w:right w:val="none" w:sz="0" w:space="0" w:color="auto"/>
      </w:divBdr>
    </w:div>
    <w:div w:id="1347486310">
      <w:bodyDiv w:val="1"/>
      <w:marLeft w:val="0"/>
      <w:marRight w:val="0"/>
      <w:marTop w:val="0"/>
      <w:marBottom w:val="0"/>
      <w:divBdr>
        <w:top w:val="none" w:sz="0" w:space="0" w:color="auto"/>
        <w:left w:val="none" w:sz="0" w:space="0" w:color="auto"/>
        <w:bottom w:val="none" w:sz="0" w:space="0" w:color="auto"/>
        <w:right w:val="none" w:sz="0" w:space="0" w:color="auto"/>
      </w:divBdr>
    </w:div>
    <w:div w:id="1365979505">
      <w:bodyDiv w:val="1"/>
      <w:marLeft w:val="0"/>
      <w:marRight w:val="0"/>
      <w:marTop w:val="0"/>
      <w:marBottom w:val="0"/>
      <w:divBdr>
        <w:top w:val="none" w:sz="0" w:space="0" w:color="auto"/>
        <w:left w:val="none" w:sz="0" w:space="0" w:color="auto"/>
        <w:bottom w:val="none" w:sz="0" w:space="0" w:color="auto"/>
        <w:right w:val="none" w:sz="0" w:space="0" w:color="auto"/>
      </w:divBdr>
    </w:div>
    <w:div w:id="1461414213">
      <w:bodyDiv w:val="1"/>
      <w:marLeft w:val="0"/>
      <w:marRight w:val="0"/>
      <w:marTop w:val="0"/>
      <w:marBottom w:val="0"/>
      <w:divBdr>
        <w:top w:val="none" w:sz="0" w:space="0" w:color="auto"/>
        <w:left w:val="none" w:sz="0" w:space="0" w:color="auto"/>
        <w:bottom w:val="none" w:sz="0" w:space="0" w:color="auto"/>
        <w:right w:val="none" w:sz="0" w:space="0" w:color="auto"/>
      </w:divBdr>
    </w:div>
    <w:div w:id="1526169135">
      <w:bodyDiv w:val="1"/>
      <w:marLeft w:val="0"/>
      <w:marRight w:val="0"/>
      <w:marTop w:val="0"/>
      <w:marBottom w:val="0"/>
      <w:divBdr>
        <w:top w:val="none" w:sz="0" w:space="0" w:color="auto"/>
        <w:left w:val="none" w:sz="0" w:space="0" w:color="auto"/>
        <w:bottom w:val="none" w:sz="0" w:space="0" w:color="auto"/>
        <w:right w:val="none" w:sz="0" w:space="0" w:color="auto"/>
      </w:divBdr>
    </w:div>
    <w:div w:id="1668558713">
      <w:bodyDiv w:val="1"/>
      <w:marLeft w:val="0"/>
      <w:marRight w:val="0"/>
      <w:marTop w:val="0"/>
      <w:marBottom w:val="0"/>
      <w:divBdr>
        <w:top w:val="none" w:sz="0" w:space="0" w:color="auto"/>
        <w:left w:val="none" w:sz="0" w:space="0" w:color="auto"/>
        <w:bottom w:val="none" w:sz="0" w:space="0" w:color="auto"/>
        <w:right w:val="none" w:sz="0" w:space="0" w:color="auto"/>
      </w:divBdr>
    </w:div>
    <w:div w:id="1753353718">
      <w:bodyDiv w:val="1"/>
      <w:marLeft w:val="0"/>
      <w:marRight w:val="0"/>
      <w:marTop w:val="0"/>
      <w:marBottom w:val="0"/>
      <w:divBdr>
        <w:top w:val="none" w:sz="0" w:space="0" w:color="auto"/>
        <w:left w:val="none" w:sz="0" w:space="0" w:color="auto"/>
        <w:bottom w:val="none" w:sz="0" w:space="0" w:color="auto"/>
        <w:right w:val="none" w:sz="0" w:space="0" w:color="auto"/>
      </w:divBdr>
    </w:div>
    <w:div w:id="1835224763">
      <w:bodyDiv w:val="1"/>
      <w:marLeft w:val="0"/>
      <w:marRight w:val="0"/>
      <w:marTop w:val="0"/>
      <w:marBottom w:val="0"/>
      <w:divBdr>
        <w:top w:val="none" w:sz="0" w:space="0" w:color="auto"/>
        <w:left w:val="none" w:sz="0" w:space="0" w:color="auto"/>
        <w:bottom w:val="none" w:sz="0" w:space="0" w:color="auto"/>
        <w:right w:val="none" w:sz="0" w:space="0" w:color="auto"/>
      </w:divBdr>
    </w:div>
    <w:div w:id="1906257682">
      <w:bodyDiv w:val="1"/>
      <w:marLeft w:val="0"/>
      <w:marRight w:val="0"/>
      <w:marTop w:val="0"/>
      <w:marBottom w:val="0"/>
      <w:divBdr>
        <w:top w:val="none" w:sz="0" w:space="0" w:color="auto"/>
        <w:left w:val="none" w:sz="0" w:space="0" w:color="auto"/>
        <w:bottom w:val="none" w:sz="0" w:space="0" w:color="auto"/>
        <w:right w:val="none" w:sz="0" w:space="0" w:color="auto"/>
      </w:divBdr>
    </w:div>
    <w:div w:id="1937592702">
      <w:bodyDiv w:val="1"/>
      <w:marLeft w:val="0"/>
      <w:marRight w:val="0"/>
      <w:marTop w:val="0"/>
      <w:marBottom w:val="0"/>
      <w:divBdr>
        <w:top w:val="none" w:sz="0" w:space="0" w:color="auto"/>
        <w:left w:val="none" w:sz="0" w:space="0" w:color="auto"/>
        <w:bottom w:val="none" w:sz="0" w:space="0" w:color="auto"/>
        <w:right w:val="none" w:sz="0" w:space="0" w:color="auto"/>
      </w:divBdr>
    </w:div>
    <w:div w:id="19683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ADFE3-6F03-4FEA-A0D2-A34EFF063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3710</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Julvit Shazivari</dc:creator>
  <cp:lastModifiedBy>julvit shazivari</cp:lastModifiedBy>
  <cp:revision>5</cp:revision>
  <cp:lastPrinted>2020-02-24T08:52:00Z</cp:lastPrinted>
  <dcterms:created xsi:type="dcterms:W3CDTF">2022-09-12T11:23:00Z</dcterms:created>
  <dcterms:modified xsi:type="dcterms:W3CDTF">2022-09-16T10:51:00Z</dcterms:modified>
</cp:coreProperties>
</file>