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D28" w:rsidRPr="00B031E4" w:rsidRDefault="00844F69" w:rsidP="00F3184E">
      <w:pPr>
        <w:widowControl w:val="0"/>
        <w:spacing w:after="0" w:line="276" w:lineRule="auto"/>
        <w:jc w:val="center"/>
        <w:rPr>
          <w:rFonts w:ascii="Times New Roman" w:hAnsi="Times New Roman" w:cs="Times New Roman"/>
          <w:b/>
          <w:sz w:val="24"/>
          <w:szCs w:val="24"/>
        </w:rPr>
      </w:pPr>
      <w:r w:rsidRPr="00B031E4">
        <w:rPr>
          <w:rFonts w:ascii="Times New Roman" w:hAnsi="Times New Roman" w:cs="Times New Roman"/>
          <w:noProof/>
          <w:sz w:val="24"/>
          <w:szCs w:val="24"/>
          <w:lang w:eastAsia="sq-AL"/>
        </w:rPr>
        <w:drawing>
          <wp:anchor distT="0" distB="0" distL="114300" distR="114300" simplePos="0" relativeHeight="251659264" behindDoc="0" locked="0" layoutInCell="1" allowOverlap="1" wp14:anchorId="207EF963" wp14:editId="4232033C">
            <wp:simplePos x="0" y="0"/>
            <wp:positionH relativeFrom="margin">
              <wp:posOffset>-423545</wp:posOffset>
            </wp:positionH>
            <wp:positionV relativeFrom="paragraph">
              <wp:posOffset>-92075</wp:posOffset>
            </wp:positionV>
            <wp:extent cx="6587490" cy="863600"/>
            <wp:effectExtent l="0" t="0" r="0" b="0"/>
            <wp:wrapTopAndBottom/>
            <wp:docPr id="1" name="Picture 2"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8"/>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anchor>
        </w:drawing>
      </w:r>
      <w:r w:rsidR="00C62507" w:rsidRPr="00B031E4">
        <w:rPr>
          <w:rFonts w:ascii="Times New Roman" w:hAnsi="Times New Roman" w:cs="Times New Roman"/>
          <w:b/>
          <w:sz w:val="24"/>
          <w:szCs w:val="24"/>
        </w:rPr>
        <w:t>MINISTRIA E FINANCAVE</w:t>
      </w:r>
      <w:r w:rsidR="00022374" w:rsidRPr="00B031E4">
        <w:rPr>
          <w:rFonts w:ascii="Times New Roman" w:hAnsi="Times New Roman" w:cs="Times New Roman"/>
          <w:b/>
          <w:sz w:val="24"/>
          <w:szCs w:val="24"/>
        </w:rPr>
        <w:t xml:space="preserve"> DHE EKONOMISE</w:t>
      </w:r>
    </w:p>
    <w:p w:rsidR="00C62507" w:rsidRPr="00B031E4" w:rsidRDefault="00C62507" w:rsidP="00F3184E">
      <w:pPr>
        <w:widowControl w:val="0"/>
        <w:spacing w:after="0" w:line="276" w:lineRule="auto"/>
        <w:jc w:val="center"/>
        <w:rPr>
          <w:rFonts w:ascii="Times New Roman" w:hAnsi="Times New Roman" w:cs="Times New Roman"/>
          <w:b/>
          <w:sz w:val="28"/>
          <w:szCs w:val="24"/>
        </w:rPr>
      </w:pPr>
      <w:r w:rsidRPr="00B031E4">
        <w:rPr>
          <w:rFonts w:ascii="Times New Roman" w:hAnsi="Times New Roman" w:cs="Times New Roman"/>
          <w:b/>
          <w:sz w:val="24"/>
          <w:szCs w:val="24"/>
        </w:rPr>
        <w:t>DREJTORIA E APELIMIT TATIMOR</w:t>
      </w:r>
    </w:p>
    <w:p w:rsidR="00C62507" w:rsidRPr="00B031E4" w:rsidRDefault="00C62507" w:rsidP="00F3184E">
      <w:pPr>
        <w:widowControl w:val="0"/>
        <w:spacing w:after="0" w:line="276" w:lineRule="auto"/>
        <w:jc w:val="center"/>
        <w:rPr>
          <w:rFonts w:ascii="Times New Roman" w:hAnsi="Times New Roman" w:cs="Times New Roman"/>
          <w:b/>
          <w:sz w:val="24"/>
          <w:szCs w:val="24"/>
        </w:rPr>
      </w:pPr>
    </w:p>
    <w:p w:rsidR="00C62507" w:rsidRPr="00B031E4" w:rsidRDefault="00C00BDF" w:rsidP="00F3184E">
      <w:pPr>
        <w:widowControl w:val="0"/>
        <w:spacing w:after="0" w:line="276" w:lineRule="auto"/>
        <w:jc w:val="both"/>
        <w:rPr>
          <w:rFonts w:ascii="Times New Roman" w:hAnsi="Times New Roman" w:cs="Times New Roman"/>
          <w:sz w:val="24"/>
          <w:szCs w:val="24"/>
        </w:rPr>
      </w:pPr>
      <w:r w:rsidRPr="00B031E4">
        <w:rPr>
          <w:rFonts w:ascii="Times New Roman" w:hAnsi="Times New Roman" w:cs="Times New Roman"/>
          <w:sz w:val="24"/>
          <w:szCs w:val="24"/>
        </w:rPr>
        <w:t>Nr.</w:t>
      </w:r>
      <w:r w:rsidR="00F77EC6" w:rsidRPr="00B031E4">
        <w:rPr>
          <w:rFonts w:ascii="Times New Roman" w:hAnsi="Times New Roman" w:cs="Times New Roman"/>
          <w:sz w:val="24"/>
          <w:szCs w:val="24"/>
        </w:rPr>
        <w:t xml:space="preserve"> </w:t>
      </w:r>
      <w:r w:rsidR="00431B5D">
        <w:rPr>
          <w:sz w:val="24"/>
          <w:szCs w:val="24"/>
        </w:rPr>
        <w:t>_____</w:t>
      </w:r>
      <w:r w:rsidR="00B92CE3" w:rsidRPr="00B031E4">
        <w:rPr>
          <w:rFonts w:ascii="Times New Roman" w:hAnsi="Times New Roman" w:cs="Times New Roman"/>
          <w:sz w:val="24"/>
          <w:szCs w:val="24"/>
        </w:rPr>
        <w:t xml:space="preserve">/   </w:t>
      </w:r>
      <w:r w:rsidR="00F77EC6" w:rsidRPr="00B031E4">
        <w:rPr>
          <w:rFonts w:ascii="Times New Roman" w:hAnsi="Times New Roman" w:cs="Times New Roman"/>
          <w:sz w:val="24"/>
          <w:szCs w:val="24"/>
        </w:rPr>
        <w:t xml:space="preserve">      </w:t>
      </w:r>
      <w:r w:rsidR="00C62BF9" w:rsidRPr="00B031E4">
        <w:rPr>
          <w:rFonts w:ascii="Times New Roman" w:hAnsi="Times New Roman" w:cs="Times New Roman"/>
          <w:sz w:val="24"/>
          <w:szCs w:val="24"/>
        </w:rPr>
        <w:t>prot.</w:t>
      </w:r>
      <w:r w:rsidR="00C62BF9" w:rsidRPr="00B031E4">
        <w:rPr>
          <w:rFonts w:ascii="Times New Roman" w:hAnsi="Times New Roman" w:cs="Times New Roman"/>
          <w:sz w:val="24"/>
          <w:szCs w:val="24"/>
        </w:rPr>
        <w:tab/>
      </w:r>
      <w:r w:rsidR="00C62BF9" w:rsidRPr="00B031E4">
        <w:rPr>
          <w:rFonts w:ascii="Times New Roman" w:hAnsi="Times New Roman" w:cs="Times New Roman"/>
          <w:sz w:val="24"/>
          <w:szCs w:val="24"/>
        </w:rPr>
        <w:tab/>
      </w:r>
      <w:r w:rsidR="00C62BF9" w:rsidRPr="00B031E4">
        <w:rPr>
          <w:rFonts w:ascii="Times New Roman" w:hAnsi="Times New Roman" w:cs="Times New Roman"/>
          <w:sz w:val="24"/>
          <w:szCs w:val="24"/>
        </w:rPr>
        <w:tab/>
      </w:r>
      <w:r w:rsidR="00C62BF9" w:rsidRPr="00B031E4">
        <w:rPr>
          <w:rFonts w:ascii="Times New Roman" w:hAnsi="Times New Roman" w:cs="Times New Roman"/>
          <w:sz w:val="24"/>
          <w:szCs w:val="24"/>
        </w:rPr>
        <w:tab/>
        <w:t xml:space="preserve">             </w:t>
      </w:r>
      <w:r w:rsidR="00D75062" w:rsidRPr="00B031E4">
        <w:rPr>
          <w:rFonts w:ascii="Times New Roman" w:hAnsi="Times New Roman" w:cs="Times New Roman"/>
          <w:sz w:val="24"/>
          <w:szCs w:val="24"/>
        </w:rPr>
        <w:t xml:space="preserve">  </w:t>
      </w:r>
      <w:r w:rsidR="00F77EC6" w:rsidRPr="00B031E4">
        <w:rPr>
          <w:rFonts w:ascii="Times New Roman" w:hAnsi="Times New Roman" w:cs="Times New Roman"/>
          <w:sz w:val="24"/>
          <w:szCs w:val="24"/>
        </w:rPr>
        <w:tab/>
      </w:r>
      <w:r w:rsidR="00F77EC6" w:rsidRPr="00B031E4">
        <w:rPr>
          <w:rFonts w:ascii="Times New Roman" w:hAnsi="Times New Roman" w:cs="Times New Roman"/>
          <w:sz w:val="24"/>
          <w:szCs w:val="24"/>
        </w:rPr>
        <w:tab/>
        <w:t xml:space="preserve">   </w:t>
      </w:r>
      <w:r w:rsidR="00D75062" w:rsidRPr="00B031E4">
        <w:rPr>
          <w:rFonts w:ascii="Times New Roman" w:hAnsi="Times New Roman" w:cs="Times New Roman"/>
          <w:sz w:val="24"/>
          <w:szCs w:val="24"/>
        </w:rPr>
        <w:t>Tiranë, më___.___.20</w:t>
      </w:r>
      <w:r w:rsidR="00FD6443" w:rsidRPr="00B031E4">
        <w:rPr>
          <w:rFonts w:ascii="Times New Roman" w:hAnsi="Times New Roman" w:cs="Times New Roman"/>
          <w:sz w:val="24"/>
          <w:szCs w:val="24"/>
        </w:rPr>
        <w:t>2</w:t>
      </w:r>
      <w:r w:rsidR="00390892" w:rsidRPr="00B031E4">
        <w:rPr>
          <w:rFonts w:ascii="Times New Roman" w:hAnsi="Times New Roman" w:cs="Times New Roman"/>
          <w:sz w:val="24"/>
          <w:szCs w:val="24"/>
        </w:rPr>
        <w:t>2</w:t>
      </w:r>
    </w:p>
    <w:p w:rsidR="009960D7" w:rsidRPr="00B031E4" w:rsidRDefault="009960D7" w:rsidP="00F3184E">
      <w:pPr>
        <w:widowControl w:val="0"/>
        <w:spacing w:after="0" w:line="276" w:lineRule="auto"/>
        <w:jc w:val="both"/>
        <w:rPr>
          <w:rFonts w:ascii="Times New Roman" w:hAnsi="Times New Roman" w:cs="Times New Roman"/>
          <w:sz w:val="24"/>
          <w:szCs w:val="24"/>
        </w:rPr>
      </w:pPr>
    </w:p>
    <w:p w:rsidR="00476EAF" w:rsidRPr="00B031E4" w:rsidRDefault="00476EAF" w:rsidP="00F3184E">
      <w:pPr>
        <w:widowControl w:val="0"/>
        <w:spacing w:after="0" w:line="276" w:lineRule="auto"/>
        <w:jc w:val="center"/>
        <w:rPr>
          <w:rFonts w:ascii="Times New Roman" w:hAnsi="Times New Roman" w:cs="Times New Roman"/>
          <w:b/>
          <w:sz w:val="24"/>
          <w:szCs w:val="24"/>
        </w:rPr>
      </w:pPr>
      <w:r w:rsidRPr="00B031E4">
        <w:rPr>
          <w:rFonts w:ascii="Times New Roman" w:hAnsi="Times New Roman" w:cs="Times New Roman"/>
          <w:b/>
          <w:sz w:val="24"/>
          <w:szCs w:val="24"/>
        </w:rPr>
        <w:t>V E N D I M</w:t>
      </w:r>
    </w:p>
    <w:p w:rsidR="009960D7" w:rsidRPr="00B031E4" w:rsidRDefault="009960D7" w:rsidP="00F3184E">
      <w:pPr>
        <w:widowControl w:val="0"/>
        <w:spacing w:after="0" w:line="276" w:lineRule="auto"/>
        <w:jc w:val="center"/>
        <w:rPr>
          <w:rFonts w:ascii="Times New Roman" w:hAnsi="Times New Roman" w:cs="Times New Roman"/>
          <w:b/>
          <w:sz w:val="24"/>
          <w:szCs w:val="24"/>
        </w:rPr>
      </w:pPr>
    </w:p>
    <w:p w:rsidR="00476EAF" w:rsidRPr="00B031E4" w:rsidRDefault="00476EAF" w:rsidP="00F3184E">
      <w:pPr>
        <w:widowControl w:val="0"/>
        <w:spacing w:after="0" w:line="276" w:lineRule="auto"/>
        <w:jc w:val="both"/>
        <w:rPr>
          <w:rFonts w:ascii="Times New Roman" w:hAnsi="Times New Roman" w:cs="Times New Roman"/>
          <w:sz w:val="24"/>
          <w:szCs w:val="24"/>
        </w:rPr>
      </w:pPr>
      <w:r w:rsidRPr="00B031E4">
        <w:rPr>
          <w:rFonts w:ascii="Times New Roman" w:hAnsi="Times New Roman" w:cs="Times New Roman"/>
          <w:sz w:val="24"/>
          <w:szCs w:val="24"/>
        </w:rPr>
        <w:t>Drejtoria e Apelimit Tatimor, në zbatim të kreut XIII të Ligjit nr. 9920, datë 19.05.2008 “Për Procedurat Tatimore në RSH”, mori në shqyrtim kërkesën a</w:t>
      </w:r>
      <w:r w:rsidR="00506D09" w:rsidRPr="00B031E4">
        <w:rPr>
          <w:rFonts w:ascii="Times New Roman" w:hAnsi="Times New Roman" w:cs="Times New Roman"/>
          <w:sz w:val="24"/>
          <w:szCs w:val="24"/>
        </w:rPr>
        <w:t>nkimore protokolluar</w:t>
      </w:r>
      <w:r w:rsidRPr="00B031E4">
        <w:rPr>
          <w:rFonts w:ascii="Times New Roman" w:hAnsi="Times New Roman" w:cs="Times New Roman"/>
          <w:sz w:val="24"/>
          <w:szCs w:val="24"/>
        </w:rPr>
        <w:t>, që i përket:</w:t>
      </w:r>
    </w:p>
    <w:p w:rsidR="009960D7" w:rsidRPr="00B031E4" w:rsidRDefault="009960D7" w:rsidP="00F3184E">
      <w:pPr>
        <w:widowControl w:val="0"/>
        <w:spacing w:after="0" w:line="276" w:lineRule="auto"/>
        <w:jc w:val="both"/>
        <w:rPr>
          <w:rFonts w:ascii="Times New Roman" w:hAnsi="Times New Roman" w:cs="Times New Roman"/>
          <w:sz w:val="24"/>
          <w:szCs w:val="24"/>
        </w:rPr>
      </w:pPr>
    </w:p>
    <w:p w:rsidR="00476EAF" w:rsidRPr="00B031E4" w:rsidRDefault="00115AF2" w:rsidP="00F3184E">
      <w:pPr>
        <w:widowControl w:val="0"/>
        <w:spacing w:after="0" w:line="276" w:lineRule="auto"/>
        <w:jc w:val="both"/>
        <w:rPr>
          <w:rFonts w:ascii="Times New Roman" w:hAnsi="Times New Roman" w:cs="Times New Roman"/>
          <w:sz w:val="24"/>
          <w:szCs w:val="24"/>
        </w:rPr>
      </w:pPr>
      <w:r w:rsidRPr="00B031E4">
        <w:rPr>
          <w:rFonts w:ascii="Times New Roman" w:hAnsi="Times New Roman" w:cs="Times New Roman"/>
          <w:sz w:val="24"/>
          <w:szCs w:val="24"/>
        </w:rPr>
        <w:t>KËRKUES:</w:t>
      </w:r>
      <w:r w:rsidR="00C275ED" w:rsidRPr="00B031E4">
        <w:rPr>
          <w:rFonts w:ascii="Times New Roman" w:hAnsi="Times New Roman" w:cs="Times New Roman"/>
          <w:sz w:val="24"/>
          <w:szCs w:val="24"/>
        </w:rPr>
        <w:tab/>
      </w:r>
      <w:r w:rsidR="00431B5D">
        <w:rPr>
          <w:sz w:val="24"/>
          <w:szCs w:val="24"/>
        </w:rPr>
        <w:t>__________</w:t>
      </w:r>
    </w:p>
    <w:p w:rsidR="008B65F4" w:rsidRPr="00B031E4" w:rsidRDefault="00115AF2" w:rsidP="00F3184E">
      <w:pPr>
        <w:widowControl w:val="0"/>
        <w:spacing w:after="0" w:line="276" w:lineRule="auto"/>
        <w:ind w:left="1440" w:hanging="1440"/>
        <w:jc w:val="both"/>
        <w:rPr>
          <w:rFonts w:ascii="Times New Roman" w:hAnsi="Times New Roman" w:cs="Times New Roman"/>
          <w:sz w:val="24"/>
          <w:szCs w:val="24"/>
        </w:rPr>
      </w:pPr>
      <w:r w:rsidRPr="00B031E4">
        <w:rPr>
          <w:rFonts w:ascii="Times New Roman" w:hAnsi="Times New Roman" w:cs="Times New Roman"/>
          <w:sz w:val="24"/>
          <w:szCs w:val="24"/>
        </w:rPr>
        <w:t>OBJEKTI:</w:t>
      </w:r>
      <w:r w:rsidR="00C275ED" w:rsidRPr="00B031E4">
        <w:rPr>
          <w:rFonts w:ascii="Times New Roman" w:hAnsi="Times New Roman" w:cs="Times New Roman"/>
          <w:sz w:val="24"/>
          <w:szCs w:val="24"/>
        </w:rPr>
        <w:tab/>
      </w:r>
      <w:r w:rsidR="00960F98" w:rsidRPr="00B031E4">
        <w:rPr>
          <w:rFonts w:ascii="Times New Roman" w:hAnsi="Times New Roman" w:cs="Times New Roman"/>
          <w:sz w:val="24"/>
          <w:szCs w:val="24"/>
        </w:rPr>
        <w:t xml:space="preserve">Ankim ndaj </w:t>
      </w:r>
      <w:r w:rsidR="00E441FF" w:rsidRPr="00B031E4">
        <w:rPr>
          <w:rFonts w:ascii="Times New Roman" w:hAnsi="Times New Roman" w:cs="Times New Roman"/>
          <w:sz w:val="24"/>
          <w:szCs w:val="24"/>
        </w:rPr>
        <w:t>njoftim vlerësim</w:t>
      </w:r>
      <w:r w:rsidR="00D7646B">
        <w:rPr>
          <w:rFonts w:ascii="Times New Roman" w:hAnsi="Times New Roman" w:cs="Times New Roman"/>
          <w:sz w:val="24"/>
          <w:szCs w:val="24"/>
        </w:rPr>
        <w:t>eve, ku jan</w:t>
      </w:r>
      <w:r w:rsidR="00F3184E">
        <w:rPr>
          <w:rFonts w:ascii="Times New Roman" w:hAnsi="Times New Roman" w:cs="Times New Roman"/>
          <w:sz w:val="24"/>
          <w:szCs w:val="24"/>
        </w:rPr>
        <w:t>ë</w:t>
      </w:r>
      <w:r w:rsidR="00D7646B">
        <w:rPr>
          <w:rFonts w:ascii="Times New Roman" w:hAnsi="Times New Roman" w:cs="Times New Roman"/>
          <w:sz w:val="24"/>
          <w:szCs w:val="24"/>
        </w:rPr>
        <w:t xml:space="preserve"> p</w:t>
      </w:r>
      <w:r w:rsidR="00F3184E">
        <w:rPr>
          <w:rFonts w:ascii="Times New Roman" w:hAnsi="Times New Roman" w:cs="Times New Roman"/>
          <w:sz w:val="24"/>
          <w:szCs w:val="24"/>
        </w:rPr>
        <w:t>ë</w:t>
      </w:r>
      <w:r w:rsidR="00D7646B">
        <w:rPr>
          <w:rFonts w:ascii="Times New Roman" w:hAnsi="Times New Roman" w:cs="Times New Roman"/>
          <w:sz w:val="24"/>
          <w:szCs w:val="24"/>
        </w:rPr>
        <w:t>rcaktuar</w:t>
      </w:r>
      <w:r w:rsidR="00A75AA3" w:rsidRPr="00B031E4">
        <w:rPr>
          <w:rFonts w:ascii="Times New Roman" w:hAnsi="Times New Roman" w:cs="Times New Roman"/>
          <w:sz w:val="24"/>
          <w:szCs w:val="24"/>
        </w:rPr>
        <w:t xml:space="preserve"> </w:t>
      </w:r>
      <w:r w:rsidR="0088231F" w:rsidRPr="00B031E4">
        <w:rPr>
          <w:rFonts w:ascii="Times New Roman" w:hAnsi="Times New Roman" w:cs="Times New Roman"/>
          <w:sz w:val="24"/>
          <w:szCs w:val="24"/>
        </w:rPr>
        <w:t>detyrimet s</w:t>
      </w:r>
      <w:r w:rsidR="00D7646B">
        <w:rPr>
          <w:rFonts w:ascii="Times New Roman" w:hAnsi="Times New Roman" w:cs="Times New Roman"/>
          <w:sz w:val="24"/>
          <w:szCs w:val="24"/>
        </w:rPr>
        <w:t>i</w:t>
      </w:r>
      <w:r w:rsidR="0088231F" w:rsidRPr="00B031E4">
        <w:rPr>
          <w:rFonts w:ascii="Times New Roman" w:hAnsi="Times New Roman" w:cs="Times New Roman"/>
          <w:sz w:val="24"/>
          <w:szCs w:val="24"/>
        </w:rPr>
        <w:t xml:space="preserve"> m</w:t>
      </w:r>
      <w:r w:rsidR="003A77AA" w:rsidRPr="00B031E4">
        <w:rPr>
          <w:rFonts w:ascii="Times New Roman" w:hAnsi="Times New Roman" w:cs="Times New Roman"/>
          <w:sz w:val="24"/>
          <w:szCs w:val="24"/>
        </w:rPr>
        <w:t>ë</w:t>
      </w:r>
      <w:r w:rsidR="0088231F" w:rsidRPr="00B031E4">
        <w:rPr>
          <w:rFonts w:ascii="Times New Roman" w:hAnsi="Times New Roman" w:cs="Times New Roman"/>
          <w:sz w:val="24"/>
          <w:szCs w:val="24"/>
        </w:rPr>
        <w:t xml:space="preserve"> posht</w:t>
      </w:r>
      <w:r w:rsidR="003A77AA" w:rsidRPr="00B031E4">
        <w:rPr>
          <w:rFonts w:ascii="Times New Roman" w:hAnsi="Times New Roman" w:cs="Times New Roman"/>
          <w:sz w:val="24"/>
          <w:szCs w:val="24"/>
        </w:rPr>
        <w:t>ë</w:t>
      </w:r>
      <w:r w:rsidR="0088231F" w:rsidRPr="00B031E4">
        <w:rPr>
          <w:rFonts w:ascii="Times New Roman" w:hAnsi="Times New Roman" w:cs="Times New Roman"/>
          <w:sz w:val="24"/>
          <w:szCs w:val="24"/>
        </w:rPr>
        <w:t>:</w:t>
      </w:r>
    </w:p>
    <w:p w:rsidR="00F77EC6" w:rsidRDefault="00F77EC6" w:rsidP="00F3184E">
      <w:pPr>
        <w:widowControl w:val="0"/>
        <w:spacing w:after="0" w:line="276" w:lineRule="auto"/>
        <w:ind w:left="1440" w:hanging="1440"/>
        <w:jc w:val="both"/>
        <w:rPr>
          <w:rFonts w:ascii="Times New Roman" w:hAnsi="Times New Roman" w:cs="Times New Roman"/>
          <w:sz w:val="24"/>
          <w:szCs w:val="24"/>
        </w:rPr>
      </w:pPr>
    </w:p>
    <w:p w:rsidR="007E117E" w:rsidRPr="00B031E4" w:rsidRDefault="007E117E" w:rsidP="00F3184E">
      <w:pPr>
        <w:widowControl w:val="0"/>
        <w:spacing w:after="0" w:line="276" w:lineRule="auto"/>
        <w:ind w:left="1440" w:hanging="1440"/>
        <w:jc w:val="both"/>
        <w:rPr>
          <w:rFonts w:ascii="Times New Roman" w:hAnsi="Times New Roman" w:cs="Times New Roman"/>
          <w:sz w:val="24"/>
          <w:szCs w:val="24"/>
        </w:rPr>
      </w:pPr>
      <w:r>
        <w:rPr>
          <w:rFonts w:ascii="Times New Roman" w:hAnsi="Times New Roman" w:cs="Times New Roman"/>
          <w:sz w:val="24"/>
          <w:szCs w:val="24"/>
        </w:rPr>
        <w:t>Njoftim vler</w:t>
      </w:r>
      <w:r w:rsidRPr="007E117E">
        <w:rPr>
          <w:rFonts w:ascii="Times New Roman" w:hAnsi="Times New Roman" w:cs="Times New Roman"/>
          <w:sz w:val="24"/>
          <w:szCs w:val="24"/>
        </w:rPr>
        <w:t>ë</w:t>
      </w:r>
      <w:r>
        <w:rPr>
          <w:rFonts w:ascii="Times New Roman" w:hAnsi="Times New Roman" w:cs="Times New Roman"/>
          <w:sz w:val="24"/>
          <w:szCs w:val="24"/>
        </w:rPr>
        <w:t xml:space="preserve">simi </w:t>
      </w:r>
    </w:p>
    <w:tbl>
      <w:tblPr>
        <w:tblW w:w="4966" w:type="pct"/>
        <w:tblLook w:val="04A0" w:firstRow="1" w:lastRow="0" w:firstColumn="1" w:lastColumn="0" w:noHBand="0" w:noVBand="1"/>
      </w:tblPr>
      <w:tblGrid>
        <w:gridCol w:w="1583"/>
        <w:gridCol w:w="1005"/>
        <w:gridCol w:w="1069"/>
        <w:gridCol w:w="961"/>
        <w:gridCol w:w="1426"/>
        <w:gridCol w:w="1896"/>
        <w:gridCol w:w="1016"/>
      </w:tblGrid>
      <w:tr w:rsidR="00D7646B" w:rsidRPr="00D7646B" w:rsidTr="00D7646B">
        <w:trPr>
          <w:trHeight w:val="20"/>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r w:rsidRPr="00D7646B">
              <w:rPr>
                <w:sz w:val="20"/>
                <w:szCs w:val="20"/>
              </w:rPr>
              <w:t>Tatimi</w:t>
            </w:r>
          </w:p>
        </w:tc>
        <w:tc>
          <w:tcPr>
            <w:tcW w:w="547"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r w:rsidRPr="00D7646B">
              <w:rPr>
                <w:sz w:val="20"/>
                <w:szCs w:val="20"/>
              </w:rPr>
              <w:t>Periudha</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D7646B" w:rsidP="00F3184E">
            <w:pPr>
              <w:pStyle w:val="Subtitle"/>
              <w:widowControl w:val="0"/>
              <w:spacing w:line="276" w:lineRule="auto"/>
              <w:rPr>
                <w:sz w:val="20"/>
                <w:szCs w:val="20"/>
              </w:rPr>
            </w:pPr>
            <w:r w:rsidRPr="00D7646B">
              <w:rPr>
                <w:sz w:val="20"/>
                <w:szCs w:val="20"/>
              </w:rPr>
              <w:t>Detyrim</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r w:rsidRPr="00D7646B">
              <w:rPr>
                <w:sz w:val="20"/>
                <w:szCs w:val="20"/>
              </w:rPr>
              <w:t>Kamatë</w:t>
            </w:r>
            <w:r w:rsidR="00D7646B" w:rsidRPr="00D7646B">
              <w:rPr>
                <w:sz w:val="20"/>
                <w:szCs w:val="20"/>
              </w:rPr>
              <w:t>-</w:t>
            </w:r>
            <w:r w:rsidRPr="00D7646B">
              <w:rPr>
                <w:sz w:val="20"/>
                <w:szCs w:val="20"/>
              </w:rPr>
              <w:t>vonesa</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r w:rsidRPr="00D7646B">
              <w:rPr>
                <w:sz w:val="20"/>
                <w:szCs w:val="20"/>
              </w:rPr>
              <w:t>Gjobë pages</w:t>
            </w:r>
            <w:r w:rsidR="00F3184E">
              <w:rPr>
                <w:sz w:val="20"/>
                <w:szCs w:val="20"/>
              </w:rPr>
              <w:t>ë</w:t>
            </w:r>
            <w:r w:rsidRPr="00D7646B">
              <w:rPr>
                <w:sz w:val="20"/>
                <w:szCs w:val="20"/>
              </w:rPr>
              <w:t xml:space="preserve"> e vonuar</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r w:rsidRPr="00D7646B">
              <w:rPr>
                <w:sz w:val="20"/>
                <w:szCs w:val="20"/>
              </w:rPr>
              <w:t>Gjobë për deklarim të pasaktë</w:t>
            </w:r>
          </w:p>
        </w:tc>
        <w:tc>
          <w:tcPr>
            <w:tcW w:w="553"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r w:rsidRPr="00D7646B">
              <w:rPr>
                <w:sz w:val="20"/>
                <w:szCs w:val="20"/>
              </w:rPr>
              <w:t>Shuma</w:t>
            </w:r>
          </w:p>
        </w:tc>
      </w:tr>
      <w:tr w:rsidR="00D7646B" w:rsidRPr="00D7646B" w:rsidTr="00D7646B">
        <w:trPr>
          <w:trHeight w:val="20"/>
        </w:trPr>
        <w:tc>
          <w:tcPr>
            <w:tcW w:w="894" w:type="pct"/>
            <w:tcBorders>
              <w:top w:val="nil"/>
              <w:left w:val="single" w:sz="4" w:space="0" w:color="auto"/>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TVSH</w:t>
            </w:r>
          </w:p>
        </w:tc>
        <w:tc>
          <w:tcPr>
            <w:tcW w:w="547"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201912</w:t>
            </w:r>
          </w:p>
        </w:tc>
        <w:tc>
          <w:tcPr>
            <w:tcW w:w="607" w:type="pct"/>
            <w:tcBorders>
              <w:top w:val="nil"/>
              <w:left w:val="nil"/>
              <w:bottom w:val="single" w:sz="4" w:space="0" w:color="auto"/>
              <w:right w:val="single" w:sz="4" w:space="0" w:color="auto"/>
            </w:tcBorders>
            <w:shd w:val="clear" w:color="auto" w:fill="auto"/>
            <w:noWrap/>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455,000</w:t>
            </w:r>
          </w:p>
        </w:tc>
        <w:tc>
          <w:tcPr>
            <w:tcW w:w="523"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56,814</w:t>
            </w:r>
          </w:p>
        </w:tc>
        <w:tc>
          <w:tcPr>
            <w:tcW w:w="806" w:type="pct"/>
            <w:tcBorders>
              <w:top w:val="nil"/>
              <w:left w:val="nil"/>
              <w:bottom w:val="single" w:sz="4" w:space="0" w:color="auto"/>
              <w:right w:val="single" w:sz="4" w:space="0" w:color="auto"/>
            </w:tcBorders>
            <w:shd w:val="clear" w:color="auto" w:fill="auto"/>
            <w:noWrap/>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99,645</w:t>
            </w:r>
          </w:p>
        </w:tc>
        <w:tc>
          <w:tcPr>
            <w:tcW w:w="1068"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355,355</w:t>
            </w:r>
          </w:p>
        </w:tc>
        <w:tc>
          <w:tcPr>
            <w:tcW w:w="553"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966,814</w:t>
            </w:r>
          </w:p>
        </w:tc>
      </w:tr>
      <w:tr w:rsidR="00D7646B" w:rsidRPr="00D7646B" w:rsidTr="00D7646B">
        <w:trPr>
          <w:trHeight w:val="20"/>
        </w:trPr>
        <w:tc>
          <w:tcPr>
            <w:tcW w:w="894" w:type="pct"/>
            <w:tcBorders>
              <w:top w:val="nil"/>
              <w:left w:val="single" w:sz="4" w:space="0" w:color="auto"/>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Gjobe inspektori</w:t>
            </w:r>
          </w:p>
        </w:tc>
        <w:tc>
          <w:tcPr>
            <w:tcW w:w="547"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p>
        </w:tc>
        <w:tc>
          <w:tcPr>
            <w:tcW w:w="607"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p>
        </w:tc>
        <w:tc>
          <w:tcPr>
            <w:tcW w:w="523" w:type="pct"/>
            <w:tcBorders>
              <w:top w:val="nil"/>
              <w:left w:val="nil"/>
              <w:bottom w:val="single" w:sz="4" w:space="0" w:color="auto"/>
              <w:right w:val="single" w:sz="4" w:space="0" w:color="auto"/>
            </w:tcBorders>
            <w:shd w:val="clear" w:color="auto" w:fill="auto"/>
            <w:noWrap/>
            <w:vAlign w:val="center"/>
            <w:hideMark/>
          </w:tcPr>
          <w:p w:rsidR="007E117E" w:rsidRPr="00D7646B" w:rsidRDefault="007E117E" w:rsidP="00F3184E">
            <w:pPr>
              <w:pStyle w:val="Subtitle"/>
              <w:widowControl w:val="0"/>
              <w:spacing w:line="276" w:lineRule="auto"/>
              <w:rPr>
                <w:b w:val="0"/>
                <w:sz w:val="20"/>
                <w:szCs w:val="20"/>
              </w:rPr>
            </w:pPr>
          </w:p>
        </w:tc>
        <w:tc>
          <w:tcPr>
            <w:tcW w:w="806"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p>
        </w:tc>
        <w:tc>
          <w:tcPr>
            <w:tcW w:w="1068"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50,000</w:t>
            </w:r>
          </w:p>
        </w:tc>
        <w:tc>
          <w:tcPr>
            <w:tcW w:w="553"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50,000</w:t>
            </w:r>
          </w:p>
        </w:tc>
      </w:tr>
      <w:tr w:rsidR="00D7646B" w:rsidRPr="00D7646B" w:rsidTr="00D7646B">
        <w:trPr>
          <w:trHeight w:val="20"/>
        </w:trPr>
        <w:tc>
          <w:tcPr>
            <w:tcW w:w="894" w:type="pct"/>
            <w:tcBorders>
              <w:top w:val="nil"/>
              <w:left w:val="single" w:sz="4" w:space="0" w:color="auto"/>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Gjobe inspektori</w:t>
            </w:r>
          </w:p>
        </w:tc>
        <w:tc>
          <w:tcPr>
            <w:tcW w:w="547"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p>
        </w:tc>
        <w:tc>
          <w:tcPr>
            <w:tcW w:w="607"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p>
        </w:tc>
        <w:tc>
          <w:tcPr>
            <w:tcW w:w="523" w:type="pct"/>
            <w:tcBorders>
              <w:top w:val="nil"/>
              <w:left w:val="nil"/>
              <w:bottom w:val="single" w:sz="4" w:space="0" w:color="auto"/>
              <w:right w:val="single" w:sz="4" w:space="0" w:color="auto"/>
            </w:tcBorders>
            <w:shd w:val="clear" w:color="auto" w:fill="auto"/>
            <w:noWrap/>
            <w:vAlign w:val="center"/>
            <w:hideMark/>
          </w:tcPr>
          <w:p w:rsidR="007E117E" w:rsidRPr="00D7646B" w:rsidRDefault="007E117E" w:rsidP="00F3184E">
            <w:pPr>
              <w:pStyle w:val="Subtitle"/>
              <w:widowControl w:val="0"/>
              <w:spacing w:line="276" w:lineRule="auto"/>
              <w:rPr>
                <w:b w:val="0"/>
                <w:sz w:val="20"/>
                <w:szCs w:val="20"/>
              </w:rPr>
            </w:pPr>
          </w:p>
        </w:tc>
        <w:tc>
          <w:tcPr>
            <w:tcW w:w="806"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p>
        </w:tc>
        <w:tc>
          <w:tcPr>
            <w:tcW w:w="1068"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50,000</w:t>
            </w:r>
          </w:p>
        </w:tc>
        <w:tc>
          <w:tcPr>
            <w:tcW w:w="553"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b w:val="0"/>
                <w:sz w:val="20"/>
                <w:szCs w:val="20"/>
              </w:rPr>
            </w:pPr>
            <w:r w:rsidRPr="00D7646B">
              <w:rPr>
                <w:b w:val="0"/>
                <w:sz w:val="20"/>
                <w:szCs w:val="20"/>
              </w:rPr>
              <w:t>50,000</w:t>
            </w:r>
          </w:p>
        </w:tc>
      </w:tr>
      <w:tr w:rsidR="00D7646B" w:rsidRPr="00D7646B" w:rsidTr="00D7646B">
        <w:trPr>
          <w:trHeight w:val="20"/>
        </w:trPr>
        <w:tc>
          <w:tcPr>
            <w:tcW w:w="894" w:type="pct"/>
            <w:tcBorders>
              <w:top w:val="nil"/>
              <w:left w:val="single" w:sz="4" w:space="0" w:color="auto"/>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r w:rsidRPr="00D7646B">
              <w:rPr>
                <w:sz w:val="20"/>
                <w:szCs w:val="20"/>
              </w:rPr>
              <w:t>Shuma</w:t>
            </w:r>
          </w:p>
        </w:tc>
        <w:tc>
          <w:tcPr>
            <w:tcW w:w="547"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p>
        </w:tc>
        <w:tc>
          <w:tcPr>
            <w:tcW w:w="607"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r w:rsidRPr="00D7646B">
              <w:rPr>
                <w:sz w:val="20"/>
                <w:szCs w:val="20"/>
              </w:rPr>
              <w:t>455,000</w:t>
            </w:r>
          </w:p>
        </w:tc>
        <w:tc>
          <w:tcPr>
            <w:tcW w:w="523"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p>
        </w:tc>
        <w:tc>
          <w:tcPr>
            <w:tcW w:w="806"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p>
        </w:tc>
        <w:tc>
          <w:tcPr>
            <w:tcW w:w="1068"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r w:rsidRPr="00D7646B">
              <w:rPr>
                <w:sz w:val="20"/>
                <w:szCs w:val="20"/>
              </w:rPr>
              <w:t>455,355</w:t>
            </w:r>
          </w:p>
        </w:tc>
        <w:tc>
          <w:tcPr>
            <w:tcW w:w="553"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pStyle w:val="Subtitle"/>
              <w:widowControl w:val="0"/>
              <w:spacing w:line="276" w:lineRule="auto"/>
              <w:rPr>
                <w:sz w:val="20"/>
                <w:szCs w:val="20"/>
              </w:rPr>
            </w:pPr>
            <w:r w:rsidRPr="00D7646B">
              <w:rPr>
                <w:sz w:val="20"/>
                <w:szCs w:val="20"/>
              </w:rPr>
              <w:t>1,066,814</w:t>
            </w:r>
          </w:p>
        </w:tc>
      </w:tr>
    </w:tbl>
    <w:p w:rsidR="00770450" w:rsidRDefault="00770450" w:rsidP="00F3184E">
      <w:pPr>
        <w:pStyle w:val="NoSpacing"/>
        <w:widowControl w:val="0"/>
        <w:spacing w:line="276" w:lineRule="auto"/>
        <w:jc w:val="both"/>
      </w:pPr>
    </w:p>
    <w:p w:rsidR="00F3184E" w:rsidRDefault="00F3184E" w:rsidP="00F3184E">
      <w:pPr>
        <w:pStyle w:val="NoSpacing"/>
        <w:widowControl w:val="0"/>
        <w:spacing w:line="276" w:lineRule="auto"/>
        <w:jc w:val="both"/>
      </w:pPr>
      <w:r>
        <w:t>Njoftim vlerësimi i mësipërm është ankimuar pjesërisht nga tatimpaguesi, vetëm për detyrimet që lidhen me TVSH në vlerën 966.814 lekë, duke mos ankimuar gjobat e inspektorit të përcaktuara në këtë akt në vlerën 100.000 lekë.</w:t>
      </w:r>
    </w:p>
    <w:p w:rsidR="00F3184E" w:rsidRDefault="00F3184E" w:rsidP="00F3184E">
      <w:pPr>
        <w:pStyle w:val="NoSpacing"/>
        <w:widowControl w:val="0"/>
        <w:spacing w:line="276" w:lineRule="auto"/>
        <w:jc w:val="both"/>
      </w:pPr>
    </w:p>
    <w:p w:rsidR="007E117E" w:rsidRPr="00B031E4" w:rsidRDefault="007E117E" w:rsidP="00F3184E">
      <w:pPr>
        <w:widowControl w:val="0"/>
        <w:spacing w:after="0" w:line="276" w:lineRule="auto"/>
        <w:ind w:left="1440" w:hanging="1440"/>
        <w:jc w:val="both"/>
        <w:rPr>
          <w:rFonts w:ascii="Times New Roman" w:hAnsi="Times New Roman" w:cs="Times New Roman"/>
          <w:sz w:val="24"/>
          <w:szCs w:val="24"/>
        </w:rPr>
      </w:pPr>
      <w:r>
        <w:rPr>
          <w:rFonts w:ascii="Times New Roman" w:hAnsi="Times New Roman" w:cs="Times New Roman"/>
          <w:sz w:val="24"/>
          <w:szCs w:val="24"/>
        </w:rPr>
        <w:t>Njoftim vler</w:t>
      </w:r>
      <w:r w:rsidRPr="007E117E">
        <w:rPr>
          <w:rFonts w:ascii="Times New Roman" w:hAnsi="Times New Roman" w:cs="Times New Roman"/>
          <w:sz w:val="24"/>
          <w:szCs w:val="24"/>
        </w:rPr>
        <w:t>ë</w:t>
      </w:r>
      <w:r>
        <w:rPr>
          <w:rFonts w:ascii="Times New Roman" w:hAnsi="Times New Roman" w:cs="Times New Roman"/>
          <w:sz w:val="24"/>
          <w:szCs w:val="24"/>
        </w:rPr>
        <w:t xml:space="preserve">simi </w:t>
      </w:r>
    </w:p>
    <w:tbl>
      <w:tblPr>
        <w:tblW w:w="5000" w:type="pct"/>
        <w:tblLook w:val="04A0" w:firstRow="1" w:lastRow="0" w:firstColumn="1" w:lastColumn="0" w:noHBand="0" w:noVBand="1"/>
      </w:tblPr>
      <w:tblGrid>
        <w:gridCol w:w="1897"/>
        <w:gridCol w:w="1005"/>
        <w:gridCol w:w="952"/>
        <w:gridCol w:w="964"/>
        <w:gridCol w:w="1377"/>
        <w:gridCol w:w="1934"/>
        <w:gridCol w:w="888"/>
      </w:tblGrid>
      <w:tr w:rsidR="00D7646B" w:rsidRPr="00D7646B" w:rsidTr="00D7646B">
        <w:trPr>
          <w:trHeight w:val="20"/>
        </w:trPr>
        <w:tc>
          <w:tcPr>
            <w:tcW w:w="10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Tatimi</w:t>
            </w:r>
            <w:proofErr w:type="spellEnd"/>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Periudha</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D7646B"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Detyrim</w:t>
            </w:r>
            <w:proofErr w:type="spellEnd"/>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Kamatë</w:t>
            </w:r>
            <w:r w:rsidR="00D7646B" w:rsidRPr="00D7646B">
              <w:rPr>
                <w:rFonts w:ascii="Times New Roman" w:eastAsia="Times New Roman" w:hAnsi="Times New Roman" w:cs="Times New Roman"/>
                <w:b/>
                <w:color w:val="000000"/>
                <w:sz w:val="20"/>
                <w:szCs w:val="20"/>
                <w:lang w:val="en-US"/>
              </w:rPr>
              <w:t>-</w:t>
            </w:r>
            <w:r w:rsidRPr="00D7646B">
              <w:rPr>
                <w:rFonts w:ascii="Times New Roman" w:eastAsia="Times New Roman" w:hAnsi="Times New Roman" w:cs="Times New Roman"/>
                <w:b/>
                <w:color w:val="000000"/>
                <w:sz w:val="20"/>
                <w:szCs w:val="20"/>
                <w:lang w:val="en-US"/>
              </w:rPr>
              <w:t>vonesa</w:t>
            </w:r>
            <w:proofErr w:type="spellEnd"/>
          </w:p>
        </w:tc>
        <w:tc>
          <w:tcPr>
            <w:tcW w:w="766"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Gjobë</w:t>
            </w:r>
            <w:proofErr w:type="spellEnd"/>
            <w:r w:rsidRPr="00D7646B">
              <w:rPr>
                <w:rFonts w:ascii="Times New Roman" w:eastAsia="Times New Roman" w:hAnsi="Times New Roman" w:cs="Times New Roman"/>
                <w:b/>
                <w:color w:val="000000"/>
                <w:sz w:val="20"/>
                <w:szCs w:val="20"/>
                <w:lang w:val="en-US"/>
              </w:rPr>
              <w:t xml:space="preserve"> </w:t>
            </w:r>
            <w:proofErr w:type="spellStart"/>
            <w:r w:rsidRPr="00D7646B">
              <w:rPr>
                <w:rFonts w:ascii="Times New Roman" w:eastAsia="Times New Roman" w:hAnsi="Times New Roman" w:cs="Times New Roman"/>
                <w:b/>
                <w:color w:val="000000"/>
                <w:sz w:val="20"/>
                <w:szCs w:val="20"/>
                <w:lang w:val="en-US"/>
              </w:rPr>
              <w:t>pages</w:t>
            </w:r>
            <w:r w:rsidR="00F3184E">
              <w:rPr>
                <w:rFonts w:ascii="Times New Roman" w:eastAsia="Times New Roman" w:hAnsi="Times New Roman" w:cs="Times New Roman"/>
                <w:b/>
                <w:color w:val="000000"/>
                <w:sz w:val="20"/>
                <w:szCs w:val="20"/>
                <w:lang w:val="en-US"/>
              </w:rPr>
              <w:t>ë</w:t>
            </w:r>
            <w:proofErr w:type="spellEnd"/>
            <w:r w:rsidRPr="00D7646B">
              <w:rPr>
                <w:rFonts w:ascii="Times New Roman" w:eastAsia="Times New Roman" w:hAnsi="Times New Roman" w:cs="Times New Roman"/>
                <w:b/>
                <w:color w:val="000000"/>
                <w:sz w:val="20"/>
                <w:szCs w:val="20"/>
                <w:lang w:val="en-US"/>
              </w:rPr>
              <w:t xml:space="preserve"> e </w:t>
            </w:r>
            <w:proofErr w:type="spellStart"/>
            <w:r w:rsidRPr="00D7646B">
              <w:rPr>
                <w:rFonts w:ascii="Times New Roman" w:eastAsia="Times New Roman" w:hAnsi="Times New Roman" w:cs="Times New Roman"/>
                <w:b/>
                <w:color w:val="000000"/>
                <w:sz w:val="20"/>
                <w:szCs w:val="20"/>
                <w:lang w:val="en-US"/>
              </w:rPr>
              <w:t>vonuar</w:t>
            </w:r>
            <w:proofErr w:type="spellEnd"/>
          </w:p>
        </w:tc>
        <w:tc>
          <w:tcPr>
            <w:tcW w:w="1074"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Gjobë</w:t>
            </w:r>
            <w:proofErr w:type="spellEnd"/>
            <w:r w:rsidRPr="00D7646B">
              <w:rPr>
                <w:rFonts w:ascii="Times New Roman" w:eastAsia="Times New Roman" w:hAnsi="Times New Roman" w:cs="Times New Roman"/>
                <w:b/>
                <w:color w:val="000000"/>
                <w:sz w:val="20"/>
                <w:szCs w:val="20"/>
                <w:lang w:val="en-US"/>
              </w:rPr>
              <w:t xml:space="preserve"> </w:t>
            </w:r>
            <w:proofErr w:type="spellStart"/>
            <w:r w:rsidRPr="00D7646B">
              <w:rPr>
                <w:rFonts w:ascii="Times New Roman" w:eastAsia="Times New Roman" w:hAnsi="Times New Roman" w:cs="Times New Roman"/>
                <w:b/>
                <w:color w:val="000000"/>
                <w:sz w:val="20"/>
                <w:szCs w:val="20"/>
                <w:lang w:val="en-US"/>
              </w:rPr>
              <w:t>për</w:t>
            </w:r>
            <w:proofErr w:type="spellEnd"/>
            <w:r w:rsidRPr="00D7646B">
              <w:rPr>
                <w:rFonts w:ascii="Times New Roman" w:eastAsia="Times New Roman" w:hAnsi="Times New Roman" w:cs="Times New Roman"/>
                <w:b/>
                <w:color w:val="000000"/>
                <w:sz w:val="20"/>
                <w:szCs w:val="20"/>
                <w:lang w:val="en-US"/>
              </w:rPr>
              <w:t xml:space="preserve"> </w:t>
            </w:r>
            <w:proofErr w:type="spellStart"/>
            <w:r w:rsidRPr="00D7646B">
              <w:rPr>
                <w:rFonts w:ascii="Times New Roman" w:eastAsia="Times New Roman" w:hAnsi="Times New Roman" w:cs="Times New Roman"/>
                <w:b/>
                <w:color w:val="000000"/>
                <w:sz w:val="20"/>
                <w:szCs w:val="20"/>
                <w:lang w:val="en-US"/>
              </w:rPr>
              <w:t>deklarim</w:t>
            </w:r>
            <w:proofErr w:type="spellEnd"/>
            <w:r w:rsidRPr="00D7646B">
              <w:rPr>
                <w:rFonts w:ascii="Times New Roman" w:eastAsia="Times New Roman" w:hAnsi="Times New Roman" w:cs="Times New Roman"/>
                <w:b/>
                <w:color w:val="000000"/>
                <w:sz w:val="20"/>
                <w:szCs w:val="20"/>
                <w:lang w:val="en-US"/>
              </w:rPr>
              <w:t xml:space="preserve"> </w:t>
            </w:r>
            <w:proofErr w:type="spellStart"/>
            <w:r w:rsidRPr="00D7646B">
              <w:rPr>
                <w:rFonts w:ascii="Times New Roman" w:eastAsia="Times New Roman" w:hAnsi="Times New Roman" w:cs="Times New Roman"/>
                <w:b/>
                <w:color w:val="000000"/>
                <w:sz w:val="20"/>
                <w:szCs w:val="20"/>
                <w:lang w:val="en-US"/>
              </w:rPr>
              <w:t>të</w:t>
            </w:r>
            <w:proofErr w:type="spellEnd"/>
            <w:r w:rsidRPr="00D7646B">
              <w:rPr>
                <w:rFonts w:ascii="Times New Roman" w:eastAsia="Times New Roman" w:hAnsi="Times New Roman" w:cs="Times New Roman"/>
                <w:b/>
                <w:color w:val="000000"/>
                <w:sz w:val="20"/>
                <w:szCs w:val="20"/>
                <w:lang w:val="en-US"/>
              </w:rPr>
              <w:t xml:space="preserve"> </w:t>
            </w:r>
            <w:proofErr w:type="spellStart"/>
            <w:r w:rsidRPr="00D7646B">
              <w:rPr>
                <w:rFonts w:ascii="Times New Roman" w:eastAsia="Times New Roman" w:hAnsi="Times New Roman" w:cs="Times New Roman"/>
                <w:b/>
                <w:color w:val="000000"/>
                <w:sz w:val="20"/>
                <w:szCs w:val="20"/>
                <w:lang w:val="en-US"/>
              </w:rPr>
              <w:t>pasaktë</w:t>
            </w:r>
            <w:proofErr w:type="spellEnd"/>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Shuma</w:t>
            </w:r>
            <w:proofErr w:type="spellEnd"/>
          </w:p>
        </w:tc>
      </w:tr>
      <w:tr w:rsidR="00D7646B" w:rsidRPr="00D7646B" w:rsidTr="00D7646B">
        <w:trPr>
          <w:trHeight w:val="20"/>
        </w:trPr>
        <w:tc>
          <w:tcPr>
            <w:tcW w:w="1054" w:type="pct"/>
            <w:tcBorders>
              <w:top w:val="nil"/>
              <w:left w:val="single" w:sz="4" w:space="0" w:color="auto"/>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color w:val="000000"/>
                <w:sz w:val="20"/>
                <w:szCs w:val="20"/>
                <w:lang w:val="en-US"/>
              </w:rPr>
            </w:pPr>
            <w:proofErr w:type="spellStart"/>
            <w:r w:rsidRPr="00D7646B">
              <w:rPr>
                <w:rFonts w:ascii="Times New Roman" w:eastAsia="Times New Roman" w:hAnsi="Times New Roman" w:cs="Times New Roman"/>
                <w:color w:val="000000"/>
                <w:sz w:val="20"/>
                <w:szCs w:val="20"/>
                <w:lang w:val="en-US"/>
              </w:rPr>
              <w:t>Tatim</w:t>
            </w:r>
            <w:proofErr w:type="spellEnd"/>
            <w:r w:rsidRPr="00D7646B">
              <w:rPr>
                <w:rFonts w:ascii="Times New Roman" w:eastAsia="Times New Roman" w:hAnsi="Times New Roman" w:cs="Times New Roman"/>
                <w:color w:val="000000"/>
                <w:sz w:val="20"/>
                <w:szCs w:val="20"/>
                <w:lang w:val="en-US"/>
              </w:rPr>
              <w:t xml:space="preserve"> </w:t>
            </w:r>
            <w:proofErr w:type="spellStart"/>
            <w:r w:rsidRPr="00D7646B">
              <w:rPr>
                <w:rFonts w:ascii="Times New Roman" w:eastAsia="Times New Roman" w:hAnsi="Times New Roman" w:cs="Times New Roman"/>
                <w:color w:val="000000"/>
                <w:sz w:val="20"/>
                <w:szCs w:val="20"/>
                <w:lang w:val="en-US"/>
              </w:rPr>
              <w:t>i</w:t>
            </w:r>
            <w:proofErr w:type="spellEnd"/>
            <w:r w:rsidRPr="00D7646B">
              <w:rPr>
                <w:rFonts w:ascii="Times New Roman" w:eastAsia="Times New Roman" w:hAnsi="Times New Roman" w:cs="Times New Roman"/>
                <w:color w:val="000000"/>
                <w:sz w:val="20"/>
                <w:szCs w:val="20"/>
                <w:lang w:val="en-US"/>
              </w:rPr>
              <w:t xml:space="preserve"> </w:t>
            </w:r>
            <w:proofErr w:type="spellStart"/>
            <w:r w:rsidRPr="00D7646B">
              <w:rPr>
                <w:rFonts w:ascii="Times New Roman" w:eastAsia="Times New Roman" w:hAnsi="Times New Roman" w:cs="Times New Roman"/>
                <w:color w:val="000000"/>
                <w:sz w:val="20"/>
                <w:szCs w:val="20"/>
                <w:lang w:val="en-US"/>
              </w:rPr>
              <w:t>Thjeshtuar</w:t>
            </w:r>
            <w:proofErr w:type="spellEnd"/>
            <w:r w:rsidRPr="00D7646B">
              <w:rPr>
                <w:rFonts w:ascii="Times New Roman" w:eastAsia="Times New Roman" w:hAnsi="Times New Roman" w:cs="Times New Roman"/>
                <w:color w:val="000000"/>
                <w:sz w:val="20"/>
                <w:szCs w:val="20"/>
                <w:lang w:val="en-US"/>
              </w:rPr>
              <w:t xml:space="preserve"> </w:t>
            </w:r>
            <w:proofErr w:type="spellStart"/>
            <w:r w:rsidRPr="00D7646B">
              <w:rPr>
                <w:rFonts w:ascii="Times New Roman" w:eastAsia="Times New Roman" w:hAnsi="Times New Roman" w:cs="Times New Roman"/>
                <w:color w:val="000000"/>
                <w:sz w:val="20"/>
                <w:szCs w:val="20"/>
                <w:lang w:val="en-US"/>
              </w:rPr>
              <w:t>mbi</w:t>
            </w:r>
            <w:proofErr w:type="spellEnd"/>
            <w:r w:rsidRPr="00D7646B">
              <w:rPr>
                <w:rFonts w:ascii="Times New Roman" w:eastAsia="Times New Roman" w:hAnsi="Times New Roman" w:cs="Times New Roman"/>
                <w:color w:val="000000"/>
                <w:sz w:val="20"/>
                <w:szCs w:val="20"/>
                <w:lang w:val="en-US"/>
              </w:rPr>
              <w:t xml:space="preserve"> </w:t>
            </w:r>
            <w:proofErr w:type="spellStart"/>
            <w:r w:rsidRPr="00D7646B">
              <w:rPr>
                <w:rFonts w:ascii="Times New Roman" w:eastAsia="Times New Roman" w:hAnsi="Times New Roman" w:cs="Times New Roman"/>
                <w:color w:val="000000"/>
                <w:sz w:val="20"/>
                <w:szCs w:val="20"/>
                <w:lang w:val="en-US"/>
              </w:rPr>
              <w:t>Fitimin</w:t>
            </w:r>
            <w:proofErr w:type="spellEnd"/>
          </w:p>
        </w:tc>
        <w:tc>
          <w:tcPr>
            <w:tcW w:w="545"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2019</w:t>
            </w:r>
          </w:p>
        </w:tc>
        <w:tc>
          <w:tcPr>
            <w:tcW w:w="530" w:type="pct"/>
            <w:tcBorders>
              <w:top w:val="nil"/>
              <w:left w:val="nil"/>
              <w:bottom w:val="single" w:sz="4" w:space="0" w:color="auto"/>
              <w:right w:val="single" w:sz="4" w:space="0" w:color="auto"/>
            </w:tcBorders>
            <w:shd w:val="clear" w:color="auto" w:fill="auto"/>
            <w:noWrap/>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186,209</w:t>
            </w:r>
          </w:p>
        </w:tc>
        <w:tc>
          <w:tcPr>
            <w:tcW w:w="537"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22,425</w:t>
            </w:r>
          </w:p>
        </w:tc>
        <w:tc>
          <w:tcPr>
            <w:tcW w:w="766" w:type="pct"/>
            <w:tcBorders>
              <w:top w:val="nil"/>
              <w:left w:val="nil"/>
              <w:bottom w:val="single" w:sz="4" w:space="0" w:color="auto"/>
              <w:right w:val="single" w:sz="4" w:space="0" w:color="auto"/>
            </w:tcBorders>
            <w:shd w:val="clear" w:color="auto" w:fill="auto"/>
            <w:noWrap/>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40,780</w:t>
            </w:r>
          </w:p>
        </w:tc>
        <w:tc>
          <w:tcPr>
            <w:tcW w:w="1074"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186,209</w:t>
            </w:r>
          </w:p>
        </w:tc>
        <w:tc>
          <w:tcPr>
            <w:tcW w:w="494" w:type="pct"/>
            <w:tcBorders>
              <w:top w:val="nil"/>
              <w:left w:val="nil"/>
              <w:bottom w:val="single" w:sz="4" w:space="0" w:color="auto"/>
              <w:right w:val="single" w:sz="4" w:space="0" w:color="auto"/>
            </w:tcBorders>
            <w:shd w:val="clear" w:color="auto" w:fill="auto"/>
            <w:vAlign w:val="center"/>
            <w:hideMark/>
          </w:tcPr>
          <w:p w:rsidR="007E117E" w:rsidRPr="00D7646B" w:rsidRDefault="007E117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435,623</w:t>
            </w:r>
          </w:p>
        </w:tc>
      </w:tr>
    </w:tbl>
    <w:p w:rsidR="007E117E" w:rsidRPr="00B031E4" w:rsidRDefault="007E117E" w:rsidP="00F3184E">
      <w:pPr>
        <w:pStyle w:val="NoSpacing"/>
        <w:widowControl w:val="0"/>
        <w:spacing w:line="276" w:lineRule="auto"/>
        <w:jc w:val="both"/>
      </w:pPr>
    </w:p>
    <w:p w:rsidR="00FC011C" w:rsidRPr="00B031E4" w:rsidRDefault="00FC011C" w:rsidP="00F3184E">
      <w:pPr>
        <w:pStyle w:val="NoSpacing"/>
        <w:widowControl w:val="0"/>
        <w:spacing w:line="276" w:lineRule="auto"/>
        <w:jc w:val="both"/>
        <w:rPr>
          <w:i/>
        </w:rPr>
      </w:pPr>
      <w:r w:rsidRPr="00B031E4">
        <w:t xml:space="preserve">Nga shqyrtimi </w:t>
      </w:r>
      <w:r w:rsidR="00955BF3" w:rsidRPr="00B031E4">
        <w:t>paraprak</w:t>
      </w:r>
      <w:r w:rsidR="00680B16" w:rsidRPr="00B031E4">
        <w:t xml:space="preserve"> i </w:t>
      </w:r>
      <w:r w:rsidRPr="00B031E4">
        <w:t xml:space="preserve">ankimit konstatojmë se janë plotësuar kërkesat ligjore për marrjen në shqyrtim, kërkesa këto të përcaktuara në pikat 1, 2 dhe 3 të nenit 106, neni 107 dhe Udhëzimin e Ministrit të Financave nr. 24, datë 02.09.2008 pika 106 e në vijim, pasi: </w:t>
      </w:r>
    </w:p>
    <w:p w:rsidR="00FC011C" w:rsidRPr="00B031E4" w:rsidRDefault="00FC011C" w:rsidP="00F3184E">
      <w:pPr>
        <w:widowControl w:val="0"/>
        <w:numPr>
          <w:ilvl w:val="0"/>
          <w:numId w:val="1"/>
        </w:numPr>
        <w:spacing w:after="0" w:line="276" w:lineRule="auto"/>
        <w:jc w:val="both"/>
        <w:rPr>
          <w:rFonts w:ascii="Times New Roman" w:hAnsi="Times New Roman" w:cs="Times New Roman"/>
          <w:sz w:val="24"/>
          <w:szCs w:val="24"/>
        </w:rPr>
      </w:pPr>
      <w:r w:rsidRPr="00B031E4">
        <w:rPr>
          <w:rFonts w:ascii="Times New Roman" w:hAnsi="Times New Roman" w:cs="Times New Roman"/>
          <w:sz w:val="24"/>
          <w:szCs w:val="24"/>
        </w:rPr>
        <w:t>Akti administrativ i ankimuar, është objekt apelimi, sipas pikes 1, neni 106 të ligjit të sipërcituar</w:t>
      </w:r>
    </w:p>
    <w:p w:rsidR="00FC011C" w:rsidRPr="00B031E4" w:rsidRDefault="00FC011C" w:rsidP="00F3184E">
      <w:pPr>
        <w:widowControl w:val="0"/>
        <w:numPr>
          <w:ilvl w:val="0"/>
          <w:numId w:val="1"/>
        </w:numPr>
        <w:spacing w:after="0" w:line="276" w:lineRule="auto"/>
        <w:jc w:val="both"/>
        <w:rPr>
          <w:rFonts w:ascii="Times New Roman" w:hAnsi="Times New Roman" w:cs="Times New Roman"/>
          <w:sz w:val="24"/>
          <w:szCs w:val="24"/>
        </w:rPr>
      </w:pPr>
      <w:r w:rsidRPr="00B031E4">
        <w:rPr>
          <w:rFonts w:ascii="Times New Roman" w:hAnsi="Times New Roman" w:cs="Times New Roman"/>
          <w:sz w:val="24"/>
          <w:szCs w:val="24"/>
        </w:rPr>
        <w:t>Ankimi është bërë në përputhje me afatin e përcaktuar në nenin 106 të Ligjit nr. 9920, datë 19.05.2008 “Për Procedurat Tatimore në RSH</w:t>
      </w:r>
      <w:r w:rsidR="005872C4" w:rsidRPr="00B031E4">
        <w:rPr>
          <w:rFonts w:ascii="Times New Roman" w:hAnsi="Times New Roman" w:cs="Times New Roman"/>
          <w:sz w:val="24"/>
          <w:szCs w:val="24"/>
        </w:rPr>
        <w:t>”</w:t>
      </w:r>
    </w:p>
    <w:p w:rsidR="00770450" w:rsidRPr="00B031E4" w:rsidRDefault="00FC011C" w:rsidP="00F3184E">
      <w:pPr>
        <w:widowControl w:val="0"/>
        <w:numPr>
          <w:ilvl w:val="0"/>
          <w:numId w:val="1"/>
        </w:numPr>
        <w:tabs>
          <w:tab w:val="left" w:pos="720"/>
        </w:tabs>
        <w:spacing w:after="0" w:line="276" w:lineRule="auto"/>
        <w:jc w:val="both"/>
        <w:rPr>
          <w:bCs/>
        </w:rPr>
      </w:pPr>
      <w:r w:rsidRPr="00B031E4">
        <w:rPr>
          <w:rFonts w:ascii="Times New Roman" w:hAnsi="Times New Roman" w:cs="Times New Roman"/>
          <w:sz w:val="24"/>
          <w:szCs w:val="24"/>
        </w:rPr>
        <w:t xml:space="preserve"> </w:t>
      </w:r>
      <w:r w:rsidR="00F77EC6" w:rsidRPr="00B031E4">
        <w:rPr>
          <w:rFonts w:ascii="Times New Roman" w:hAnsi="Times New Roman" w:cs="Times New Roman"/>
          <w:sz w:val="24"/>
          <w:szCs w:val="24"/>
        </w:rPr>
        <w:tab/>
      </w:r>
      <w:r w:rsidRPr="00B031E4">
        <w:rPr>
          <w:rFonts w:ascii="Times New Roman" w:hAnsi="Times New Roman" w:cs="Times New Roman"/>
          <w:sz w:val="24"/>
          <w:szCs w:val="24"/>
        </w:rPr>
        <w:t xml:space="preserve">Lidhur me kërkesën ligjore të pagimit të detyrimit tatimor, konstatojmë se </w:t>
      </w:r>
      <w:r w:rsidR="008F49C1" w:rsidRPr="00B031E4">
        <w:rPr>
          <w:rFonts w:ascii="Times New Roman" w:hAnsi="Times New Roman" w:cs="Times New Roman"/>
          <w:sz w:val="24"/>
          <w:szCs w:val="24"/>
        </w:rPr>
        <w:t xml:space="preserve">tatimpaguesi </w:t>
      </w:r>
      <w:r w:rsidR="000A14D5" w:rsidRPr="00B031E4">
        <w:rPr>
          <w:rFonts w:ascii="Times New Roman" w:hAnsi="Times New Roman" w:cs="Times New Roman"/>
          <w:sz w:val="24"/>
          <w:szCs w:val="24"/>
        </w:rPr>
        <w:t xml:space="preserve">ka </w:t>
      </w:r>
      <w:r w:rsidR="00DE7B5B" w:rsidRPr="00B031E4">
        <w:rPr>
          <w:rFonts w:ascii="Times New Roman" w:hAnsi="Times New Roman" w:cs="Times New Roman"/>
          <w:sz w:val="24"/>
          <w:szCs w:val="24"/>
        </w:rPr>
        <w:t xml:space="preserve">kryer pagesën </w:t>
      </w:r>
      <w:r w:rsidR="00D7646B">
        <w:rPr>
          <w:rFonts w:ascii="Times New Roman" w:hAnsi="Times New Roman" w:cs="Times New Roman"/>
          <w:sz w:val="24"/>
          <w:szCs w:val="24"/>
        </w:rPr>
        <w:t xml:space="preserve">dhe kompensimin </w:t>
      </w:r>
      <w:r w:rsidR="00DE7B5B" w:rsidRPr="00B031E4">
        <w:rPr>
          <w:rFonts w:ascii="Times New Roman" w:hAnsi="Times New Roman" w:cs="Times New Roman"/>
          <w:sz w:val="24"/>
          <w:szCs w:val="24"/>
        </w:rPr>
        <w:t xml:space="preserve">e detyrimeve të përcaktuara në njoftim vlerësimin e ankimuar </w:t>
      </w:r>
      <w:r w:rsidR="00DD06C1" w:rsidRPr="00B031E4">
        <w:rPr>
          <w:rFonts w:ascii="Times New Roman" w:hAnsi="Times New Roman" w:cs="Times New Roman"/>
          <w:sz w:val="24"/>
          <w:szCs w:val="24"/>
        </w:rPr>
        <w:t>n</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 xml:space="preserve"> p</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rputhje me g</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rm</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n (a) t</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 xml:space="preserve"> pik</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s 107.1 t</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 xml:space="preserve"> </w:t>
      </w:r>
      <w:r w:rsidR="00DD06C1" w:rsidRPr="00B031E4">
        <w:rPr>
          <w:rFonts w:ascii="Times New Roman" w:hAnsi="Times New Roman" w:cs="Times New Roman"/>
          <w:sz w:val="24"/>
          <w:szCs w:val="24"/>
        </w:rPr>
        <w:lastRenderedPageBreak/>
        <w:t>Udh</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zimit nr. 24, dat</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 xml:space="preserve"> 02.09.2008 “P</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r Procedurat Tatimore n</w:t>
      </w:r>
      <w:r w:rsidR="00284D2C" w:rsidRPr="00B031E4">
        <w:rPr>
          <w:rFonts w:ascii="Times New Roman" w:hAnsi="Times New Roman" w:cs="Times New Roman"/>
          <w:sz w:val="24"/>
          <w:szCs w:val="24"/>
        </w:rPr>
        <w:t>ë</w:t>
      </w:r>
      <w:r w:rsidR="00DD06C1" w:rsidRPr="00B031E4">
        <w:rPr>
          <w:rFonts w:ascii="Times New Roman" w:hAnsi="Times New Roman" w:cs="Times New Roman"/>
          <w:sz w:val="24"/>
          <w:szCs w:val="24"/>
        </w:rPr>
        <w:t xml:space="preserve"> RSH”.</w:t>
      </w:r>
      <w:r w:rsidR="00D7646B">
        <w:rPr>
          <w:rFonts w:ascii="Times New Roman" w:hAnsi="Times New Roman" w:cs="Times New Roman"/>
          <w:sz w:val="24"/>
          <w:szCs w:val="24"/>
        </w:rPr>
        <w:t xml:space="preserve"> </w:t>
      </w:r>
    </w:p>
    <w:p w:rsidR="00F77EC6" w:rsidRDefault="00F77EC6" w:rsidP="00F3184E">
      <w:pPr>
        <w:widowControl w:val="0"/>
        <w:tabs>
          <w:tab w:val="left" w:pos="720"/>
        </w:tabs>
        <w:spacing w:after="0" w:line="276" w:lineRule="auto"/>
        <w:jc w:val="both"/>
        <w:rPr>
          <w:bCs/>
        </w:rPr>
      </w:pPr>
    </w:p>
    <w:p w:rsidR="00AE6A9C" w:rsidRDefault="00F3184E" w:rsidP="00F3184E">
      <w:pPr>
        <w:widowControl w:val="0"/>
        <w:spacing w:after="0" w:line="276" w:lineRule="auto"/>
        <w:jc w:val="both"/>
        <w:rPr>
          <w:rFonts w:ascii="Times New Roman" w:hAnsi="Times New Roman" w:cs="Times New Roman"/>
          <w:sz w:val="24"/>
          <w:szCs w:val="24"/>
        </w:rPr>
      </w:pPr>
      <w:r w:rsidRPr="00F3184E">
        <w:rPr>
          <w:rFonts w:ascii="Times New Roman" w:hAnsi="Times New Roman" w:cs="Times New Roman"/>
          <w:sz w:val="24"/>
          <w:szCs w:val="24"/>
        </w:rPr>
        <w:t>Drejtoria e Apelimit Tatimor pasi shqyrtoi me hollësi dhe objektivitet kërkesën për apelim të subjektit dhe argumentat e parashtruara në të, dokumentacionin e të gjithë procedurave dhe praktikës së mbajtur deri në nxjerrjen e aktit zyrtar, në respektim të kërkesave të Nenit 108 “Kompetencat për shqyrtimin e Ankimit Tatimor” të Ligjit nr. 9920, datë 19.05.2008 “Për Procedurat Tatimore në R.Sh”, konstaton se:</w:t>
      </w:r>
    </w:p>
    <w:p w:rsidR="00F3184E" w:rsidRDefault="00F3184E" w:rsidP="00F3184E">
      <w:pPr>
        <w:widowControl w:val="0"/>
        <w:spacing w:after="0" w:line="276" w:lineRule="auto"/>
        <w:jc w:val="both"/>
        <w:rPr>
          <w:rFonts w:ascii="Times New Roman" w:hAnsi="Times New Roman" w:cs="Times New Roman"/>
          <w:sz w:val="24"/>
          <w:szCs w:val="24"/>
        </w:rPr>
      </w:pPr>
    </w:p>
    <w:p w:rsidR="00E07D15" w:rsidRPr="00B031E4" w:rsidRDefault="00C315D0" w:rsidP="00F3184E">
      <w:pPr>
        <w:pStyle w:val="ListParagraph"/>
        <w:widowControl w:val="0"/>
        <w:spacing w:after="0" w:line="276" w:lineRule="auto"/>
        <w:ind w:left="0"/>
        <w:jc w:val="both"/>
        <w:rPr>
          <w:rFonts w:ascii="Times New Roman" w:hAnsi="Times New Roman" w:cs="Times New Roman"/>
          <w:bCs/>
          <w:sz w:val="24"/>
          <w:szCs w:val="24"/>
        </w:rPr>
      </w:pPr>
      <w:r w:rsidRPr="00B031E4">
        <w:rPr>
          <w:rFonts w:ascii="Times New Roman" w:hAnsi="Times New Roman" w:cs="Times New Roman"/>
          <w:bCs/>
          <w:sz w:val="24"/>
          <w:szCs w:val="24"/>
        </w:rPr>
        <w:t xml:space="preserve">Nga kontrolli </w:t>
      </w:r>
      <w:bookmarkStart w:id="0" w:name="_Hlk87010561"/>
      <w:r w:rsidR="00ED3FAB" w:rsidRPr="00B031E4">
        <w:rPr>
          <w:rFonts w:ascii="Times New Roman" w:hAnsi="Times New Roman" w:cs="Times New Roman"/>
          <w:bCs/>
          <w:sz w:val="24"/>
          <w:szCs w:val="24"/>
        </w:rPr>
        <w:t>ka rezultuar s</w:t>
      </w:r>
      <w:r w:rsidR="00870147" w:rsidRPr="00B031E4">
        <w:rPr>
          <w:rFonts w:ascii="Times New Roman" w:hAnsi="Times New Roman" w:cs="Times New Roman"/>
          <w:bCs/>
          <w:sz w:val="24"/>
          <w:szCs w:val="24"/>
        </w:rPr>
        <w:t>e</w:t>
      </w:r>
      <w:r w:rsidR="00ED3FAB" w:rsidRPr="00B031E4">
        <w:rPr>
          <w:rFonts w:ascii="Times New Roman" w:hAnsi="Times New Roman" w:cs="Times New Roman"/>
          <w:bCs/>
          <w:sz w:val="24"/>
          <w:szCs w:val="24"/>
        </w:rPr>
        <w:t xml:space="preserve"> gjatë kryerjes së analizës së lëvizjes materjale për vitin 201</w:t>
      </w:r>
      <w:r w:rsidR="00EF454C">
        <w:rPr>
          <w:rFonts w:ascii="Times New Roman" w:hAnsi="Times New Roman" w:cs="Times New Roman"/>
          <w:bCs/>
          <w:sz w:val="24"/>
          <w:szCs w:val="24"/>
        </w:rPr>
        <w:t>9</w:t>
      </w:r>
      <w:r w:rsidR="00ED3FAB" w:rsidRPr="00B031E4">
        <w:rPr>
          <w:rFonts w:ascii="Times New Roman" w:hAnsi="Times New Roman" w:cs="Times New Roman"/>
          <w:bCs/>
          <w:sz w:val="24"/>
          <w:szCs w:val="24"/>
        </w:rPr>
        <w:t xml:space="preserve"> kanë rezultuar diferenca materjale sa më poshtë:</w:t>
      </w:r>
    </w:p>
    <w:bookmarkEnd w:id="0"/>
    <w:p w:rsidR="00EF454C" w:rsidRDefault="00EF454C" w:rsidP="00F3184E">
      <w:pPr>
        <w:pStyle w:val="Subtitle"/>
        <w:widowControl w:val="0"/>
        <w:spacing w:line="276" w:lineRule="auto"/>
        <w:jc w:val="both"/>
        <w:rPr>
          <w:b w:val="0"/>
        </w:rPr>
      </w:pPr>
    </w:p>
    <w:p w:rsidR="00797E26" w:rsidRPr="00EF454C" w:rsidRDefault="00797E26" w:rsidP="00F3184E">
      <w:pPr>
        <w:pStyle w:val="Subtitle"/>
        <w:widowControl w:val="0"/>
        <w:spacing w:line="276" w:lineRule="auto"/>
        <w:jc w:val="both"/>
        <w:rPr>
          <w:b w:val="0"/>
        </w:rPr>
      </w:pPr>
      <w:r w:rsidRPr="00EF454C">
        <w:rPr>
          <w:b w:val="0"/>
        </w:rPr>
        <w:t>Pasqyra e levizjes se amballazhit.</w:t>
      </w:r>
    </w:p>
    <w:p w:rsidR="00797E26" w:rsidRDefault="00797E26" w:rsidP="00F3184E">
      <w:pPr>
        <w:pStyle w:val="Subtitle"/>
        <w:widowControl w:val="0"/>
        <w:spacing w:line="276" w:lineRule="auto"/>
        <w:jc w:val="both"/>
        <w:rPr>
          <w:b w:val="0"/>
        </w:rPr>
      </w:pPr>
      <w:r w:rsidRPr="00EF454C">
        <w:rPr>
          <w:b w:val="0"/>
        </w:rPr>
        <w:t>Per kryerjen e bilancit materjal ne natyre te amballazhit i referohemi gjendjeve te  inventarit te vetedeklaruar nga shoqeria ne daten 01.07.2019, blerjeve per periudhen 01.07.2019-31.12.2019,  shitjeve te realizuara per te njejten periudhe marre nga faturat tatimore  te shitjeve si dhe gjendjeve te inventarit te dates 31.12.2019 deklaruar nga vete shoqeria, dhe kemi situaten si me poshte:</w:t>
      </w:r>
    </w:p>
    <w:p w:rsidR="00D7646B" w:rsidRPr="00EF454C" w:rsidRDefault="00D7646B" w:rsidP="00F3184E">
      <w:pPr>
        <w:pStyle w:val="Subtitle"/>
        <w:widowControl w:val="0"/>
        <w:spacing w:line="276" w:lineRule="auto"/>
        <w:jc w:val="both"/>
        <w:rPr>
          <w:b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142"/>
        <w:gridCol w:w="878"/>
        <w:gridCol w:w="702"/>
        <w:gridCol w:w="880"/>
        <w:gridCol w:w="1053"/>
        <w:gridCol w:w="790"/>
        <w:gridCol w:w="878"/>
        <w:gridCol w:w="745"/>
      </w:tblGrid>
      <w:tr w:rsidR="00EF454C" w:rsidRPr="00EF454C" w:rsidTr="00EF454C">
        <w:trPr>
          <w:trHeight w:val="20"/>
          <w:jc w:val="center"/>
        </w:trPr>
        <w:tc>
          <w:tcPr>
            <w:tcW w:w="1081"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Emertimi</w:t>
            </w:r>
          </w:p>
        </w:tc>
        <w:tc>
          <w:tcPr>
            <w:tcW w:w="633"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Njesia</w:t>
            </w:r>
          </w:p>
        </w:tc>
        <w:tc>
          <w:tcPr>
            <w:tcW w:w="487"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Gjendje 01.07.2019</w:t>
            </w:r>
          </w:p>
        </w:tc>
        <w:tc>
          <w:tcPr>
            <w:tcW w:w="389"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Blere</w:t>
            </w:r>
          </w:p>
          <w:p w:rsidR="00797E26" w:rsidRPr="00EF454C" w:rsidRDefault="00797E26" w:rsidP="00F3184E">
            <w:pPr>
              <w:pStyle w:val="Subtitle"/>
              <w:widowControl w:val="0"/>
              <w:spacing w:line="276" w:lineRule="auto"/>
              <w:rPr>
                <w:b w:val="0"/>
                <w:sz w:val="16"/>
                <w:szCs w:val="16"/>
              </w:rPr>
            </w:pPr>
            <w:r w:rsidRPr="00EF454C">
              <w:rPr>
                <w:b w:val="0"/>
                <w:sz w:val="16"/>
                <w:szCs w:val="16"/>
              </w:rPr>
              <w:t>01.07.19-31.12.19</w:t>
            </w:r>
          </w:p>
        </w:tc>
        <w:tc>
          <w:tcPr>
            <w:tcW w:w="488"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Shitur</w:t>
            </w:r>
          </w:p>
          <w:p w:rsidR="00797E26" w:rsidRPr="00EF454C" w:rsidRDefault="00797E26" w:rsidP="00F3184E">
            <w:pPr>
              <w:pStyle w:val="Subtitle"/>
              <w:widowControl w:val="0"/>
              <w:spacing w:line="276" w:lineRule="auto"/>
              <w:rPr>
                <w:b w:val="0"/>
                <w:sz w:val="16"/>
                <w:szCs w:val="16"/>
              </w:rPr>
            </w:pPr>
            <w:r w:rsidRPr="00EF454C">
              <w:rPr>
                <w:b w:val="0"/>
                <w:sz w:val="16"/>
                <w:szCs w:val="16"/>
              </w:rPr>
              <w:t>01.07.19-31.12.19</w:t>
            </w:r>
          </w:p>
        </w:tc>
        <w:tc>
          <w:tcPr>
            <w:tcW w:w="584"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Mbushur me Mjalte</w:t>
            </w:r>
          </w:p>
          <w:p w:rsidR="00797E26" w:rsidRPr="00EF454C" w:rsidRDefault="00797E26" w:rsidP="00F3184E">
            <w:pPr>
              <w:pStyle w:val="Subtitle"/>
              <w:widowControl w:val="0"/>
              <w:spacing w:line="276" w:lineRule="auto"/>
              <w:rPr>
                <w:b w:val="0"/>
                <w:sz w:val="16"/>
                <w:szCs w:val="16"/>
              </w:rPr>
            </w:pPr>
            <w:r w:rsidRPr="00EF454C">
              <w:rPr>
                <w:b w:val="0"/>
                <w:sz w:val="16"/>
                <w:szCs w:val="16"/>
              </w:rPr>
              <w:t>01.07.19-31.12.19</w:t>
            </w:r>
          </w:p>
        </w:tc>
        <w:tc>
          <w:tcPr>
            <w:tcW w:w="438"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Gjendja Kontabile 31.12.2019</w:t>
            </w:r>
          </w:p>
        </w:tc>
        <w:tc>
          <w:tcPr>
            <w:tcW w:w="487"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Gjendja Fizike 31.12.2019</w:t>
            </w:r>
          </w:p>
        </w:tc>
        <w:tc>
          <w:tcPr>
            <w:tcW w:w="413"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Dif.</w:t>
            </w:r>
          </w:p>
        </w:tc>
      </w:tr>
      <w:tr w:rsidR="00EF454C" w:rsidRPr="00EF454C" w:rsidTr="00EF454C">
        <w:trPr>
          <w:trHeight w:val="20"/>
          <w:jc w:val="center"/>
        </w:trPr>
        <w:tc>
          <w:tcPr>
            <w:tcW w:w="1081"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Kavanoza 0.5 kg</w:t>
            </w:r>
          </w:p>
        </w:tc>
        <w:tc>
          <w:tcPr>
            <w:tcW w:w="633"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Cope</w:t>
            </w:r>
          </w:p>
        </w:tc>
        <w:tc>
          <w:tcPr>
            <w:tcW w:w="487"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0</w:t>
            </w:r>
          </w:p>
        </w:tc>
        <w:tc>
          <w:tcPr>
            <w:tcW w:w="389"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5,000</w:t>
            </w:r>
          </w:p>
        </w:tc>
        <w:tc>
          <w:tcPr>
            <w:tcW w:w="488"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0</w:t>
            </w:r>
          </w:p>
        </w:tc>
        <w:tc>
          <w:tcPr>
            <w:tcW w:w="584"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5,000</w:t>
            </w:r>
          </w:p>
        </w:tc>
        <w:tc>
          <w:tcPr>
            <w:tcW w:w="438"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0</w:t>
            </w:r>
          </w:p>
        </w:tc>
        <w:tc>
          <w:tcPr>
            <w:tcW w:w="487"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0</w:t>
            </w:r>
          </w:p>
        </w:tc>
        <w:tc>
          <w:tcPr>
            <w:tcW w:w="413"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0</w:t>
            </w:r>
          </w:p>
        </w:tc>
      </w:tr>
      <w:tr w:rsidR="00EF454C" w:rsidRPr="00EF454C" w:rsidTr="00EF454C">
        <w:trPr>
          <w:trHeight w:val="20"/>
          <w:jc w:val="center"/>
        </w:trPr>
        <w:tc>
          <w:tcPr>
            <w:tcW w:w="1081"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Bidona 1 kg</w:t>
            </w:r>
          </w:p>
        </w:tc>
        <w:tc>
          <w:tcPr>
            <w:tcW w:w="633"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Cope</w:t>
            </w:r>
          </w:p>
        </w:tc>
        <w:tc>
          <w:tcPr>
            <w:tcW w:w="487"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0</w:t>
            </w:r>
          </w:p>
        </w:tc>
        <w:tc>
          <w:tcPr>
            <w:tcW w:w="389"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3,900</w:t>
            </w:r>
          </w:p>
        </w:tc>
        <w:tc>
          <w:tcPr>
            <w:tcW w:w="488"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0</w:t>
            </w:r>
          </w:p>
        </w:tc>
        <w:tc>
          <w:tcPr>
            <w:tcW w:w="584"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1,625</w:t>
            </w:r>
          </w:p>
        </w:tc>
        <w:tc>
          <w:tcPr>
            <w:tcW w:w="438"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2,275</w:t>
            </w:r>
          </w:p>
        </w:tc>
        <w:tc>
          <w:tcPr>
            <w:tcW w:w="487"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0</w:t>
            </w:r>
          </w:p>
        </w:tc>
        <w:tc>
          <w:tcPr>
            <w:tcW w:w="413" w:type="pct"/>
            <w:shd w:val="clear" w:color="000000" w:fill="FFFFFF"/>
            <w:noWrap/>
            <w:vAlign w:val="center"/>
            <w:hideMark/>
          </w:tcPr>
          <w:p w:rsidR="00797E26" w:rsidRPr="00EF454C" w:rsidRDefault="00797E26" w:rsidP="00F3184E">
            <w:pPr>
              <w:pStyle w:val="Subtitle"/>
              <w:widowControl w:val="0"/>
              <w:spacing w:line="276" w:lineRule="auto"/>
              <w:rPr>
                <w:b w:val="0"/>
                <w:sz w:val="16"/>
                <w:szCs w:val="16"/>
              </w:rPr>
            </w:pPr>
            <w:r w:rsidRPr="00EF454C">
              <w:rPr>
                <w:b w:val="0"/>
                <w:sz w:val="16"/>
                <w:szCs w:val="16"/>
              </w:rPr>
              <w:t>2,275</w:t>
            </w:r>
          </w:p>
        </w:tc>
      </w:tr>
    </w:tbl>
    <w:p w:rsidR="00D7646B" w:rsidRDefault="00D7646B" w:rsidP="00F3184E">
      <w:pPr>
        <w:pStyle w:val="Subtitle"/>
        <w:widowControl w:val="0"/>
        <w:spacing w:line="276" w:lineRule="auto"/>
        <w:jc w:val="both"/>
        <w:rPr>
          <w:b w:val="0"/>
        </w:rPr>
      </w:pPr>
    </w:p>
    <w:p w:rsidR="00797E26" w:rsidRPr="00EF454C" w:rsidRDefault="00797E26" w:rsidP="00F3184E">
      <w:pPr>
        <w:pStyle w:val="Subtitle"/>
        <w:widowControl w:val="0"/>
        <w:spacing w:line="276" w:lineRule="auto"/>
        <w:jc w:val="both"/>
        <w:rPr>
          <w:b w:val="0"/>
          <w:lang w:val="sq-AL"/>
        </w:rPr>
      </w:pPr>
      <w:r w:rsidRPr="00EF454C">
        <w:rPr>
          <w:b w:val="0"/>
        </w:rPr>
        <w:t>Ne baze te faturave tatimore te shitjes qe paraqiti subjekti, rezulton se  shoqeria per periudhen 01.07.2019-31.12.2019 ka blere 5,000 cope kavanoza me kapacitet mbajtes 0.5 kg mjalte dhe 3900 bidona me kapacitet mbajtes 1 kg mjalte. Shoqeria per vitin 2019 deklaron se ka prodhuar 4125 kg mjalte te cilin e ka te amballazhuar ne kavanoza 0.5 kg dhe ne bidona 1 kg, pra rezulton se jane mbushur 5000 cope kavanoza me mjalte (5000*0.5 =2500 kg mjalte), dhe diferenca midis 4125 kg mjalte te prodhuar dhe 2500 kg mjalte te amballazhuar ne kavanoza 0.5 kg, eshte amballazhuar ne bidona 1 kg, pra 1625 kg mjalte.</w:t>
      </w:r>
    </w:p>
    <w:p w:rsidR="00D7646B" w:rsidRDefault="00D7646B" w:rsidP="00F3184E">
      <w:pPr>
        <w:pStyle w:val="Subtitle"/>
        <w:widowControl w:val="0"/>
        <w:spacing w:line="276" w:lineRule="auto"/>
        <w:jc w:val="both"/>
        <w:rPr>
          <w:b w:val="0"/>
          <w:lang w:val="sq-AL"/>
        </w:rPr>
      </w:pPr>
    </w:p>
    <w:p w:rsidR="00797E26" w:rsidRDefault="00797E26" w:rsidP="00F3184E">
      <w:pPr>
        <w:pStyle w:val="Subtitle"/>
        <w:widowControl w:val="0"/>
        <w:spacing w:line="276" w:lineRule="auto"/>
        <w:jc w:val="both"/>
        <w:rPr>
          <w:b w:val="0"/>
          <w:lang w:val="sq-AL"/>
        </w:rPr>
      </w:pPr>
      <w:r w:rsidRPr="00EF454C">
        <w:rPr>
          <w:b w:val="0"/>
          <w:lang w:val="sq-AL"/>
        </w:rPr>
        <w:t>Pra siç shikojm nga tabela e mesiperme ne levizjen e amballazhit te marre ne analize per periudhen 01.07.2019-31.12.2019 rezultojne diferenca ne sasin e amballazhit midis gjendjes kontabile dhe asaj fizike ne daten 31.12.2019, diferenca keto te cilat konsiderohen shitje prodhimi “Mjalti” ne baze te kapacitetit mbajtes te amballazhit.</w:t>
      </w:r>
    </w:p>
    <w:p w:rsidR="00D7646B" w:rsidRPr="00EF454C" w:rsidRDefault="00D7646B" w:rsidP="00F3184E">
      <w:pPr>
        <w:pStyle w:val="Subtitle"/>
        <w:widowControl w:val="0"/>
        <w:spacing w:line="276" w:lineRule="auto"/>
        <w:jc w:val="both"/>
        <w:rPr>
          <w:b w:val="0"/>
          <w:lang w:val="sq-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163"/>
        <w:gridCol w:w="1142"/>
        <w:gridCol w:w="4101"/>
      </w:tblGrid>
      <w:tr w:rsidR="00797E26" w:rsidRPr="00EF454C" w:rsidTr="00EF454C">
        <w:trPr>
          <w:trHeight w:val="20"/>
          <w:jc w:val="center"/>
        </w:trPr>
        <w:tc>
          <w:tcPr>
            <w:tcW w:w="1448"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r w:rsidRPr="00EF454C">
              <w:rPr>
                <w:b w:val="0"/>
                <w:sz w:val="20"/>
                <w:szCs w:val="20"/>
              </w:rPr>
              <w:t>Emertimi</w:t>
            </w:r>
          </w:p>
        </w:tc>
        <w:tc>
          <w:tcPr>
            <w:tcW w:w="645"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r w:rsidRPr="00EF454C">
              <w:rPr>
                <w:b w:val="0"/>
                <w:sz w:val="20"/>
                <w:szCs w:val="20"/>
              </w:rPr>
              <w:t>Njesia</w:t>
            </w:r>
          </w:p>
        </w:tc>
        <w:tc>
          <w:tcPr>
            <w:tcW w:w="633"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r w:rsidRPr="00EF454C">
              <w:rPr>
                <w:b w:val="0"/>
                <w:sz w:val="20"/>
                <w:szCs w:val="20"/>
              </w:rPr>
              <w:t>Sasia</w:t>
            </w:r>
          </w:p>
        </w:tc>
        <w:tc>
          <w:tcPr>
            <w:tcW w:w="2274"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r w:rsidRPr="00EF454C">
              <w:rPr>
                <w:b w:val="0"/>
                <w:sz w:val="20"/>
                <w:szCs w:val="20"/>
              </w:rPr>
              <w:t>Kapaciteti mbajtes Mjalte (kg)</w:t>
            </w:r>
          </w:p>
        </w:tc>
      </w:tr>
      <w:tr w:rsidR="00797E26" w:rsidRPr="00EF454C" w:rsidTr="00EF454C">
        <w:trPr>
          <w:trHeight w:val="20"/>
          <w:jc w:val="center"/>
        </w:trPr>
        <w:tc>
          <w:tcPr>
            <w:tcW w:w="1448"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r w:rsidRPr="00EF454C">
              <w:rPr>
                <w:b w:val="0"/>
                <w:sz w:val="20"/>
                <w:szCs w:val="20"/>
              </w:rPr>
              <w:t>Bidona 1 kg</w:t>
            </w:r>
          </w:p>
        </w:tc>
        <w:tc>
          <w:tcPr>
            <w:tcW w:w="645"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r w:rsidRPr="00EF454C">
              <w:rPr>
                <w:b w:val="0"/>
                <w:sz w:val="20"/>
                <w:szCs w:val="20"/>
              </w:rPr>
              <w:t>Cope</w:t>
            </w:r>
          </w:p>
        </w:tc>
        <w:tc>
          <w:tcPr>
            <w:tcW w:w="633"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r w:rsidRPr="00EF454C">
              <w:rPr>
                <w:b w:val="0"/>
                <w:sz w:val="20"/>
                <w:szCs w:val="20"/>
              </w:rPr>
              <w:t>2275</w:t>
            </w:r>
          </w:p>
        </w:tc>
        <w:tc>
          <w:tcPr>
            <w:tcW w:w="2274"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r w:rsidRPr="00EF454C">
              <w:rPr>
                <w:b w:val="0"/>
                <w:sz w:val="20"/>
                <w:szCs w:val="20"/>
              </w:rPr>
              <w:t>2275</w:t>
            </w:r>
          </w:p>
        </w:tc>
      </w:tr>
      <w:tr w:rsidR="00797E26" w:rsidRPr="00EF454C" w:rsidTr="00EF454C">
        <w:trPr>
          <w:trHeight w:val="20"/>
          <w:jc w:val="center"/>
        </w:trPr>
        <w:tc>
          <w:tcPr>
            <w:tcW w:w="1448"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r w:rsidRPr="00EF454C">
              <w:rPr>
                <w:b w:val="0"/>
                <w:sz w:val="20"/>
                <w:szCs w:val="20"/>
              </w:rPr>
              <w:t>Totali</w:t>
            </w:r>
          </w:p>
        </w:tc>
        <w:tc>
          <w:tcPr>
            <w:tcW w:w="645"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p>
        </w:tc>
        <w:tc>
          <w:tcPr>
            <w:tcW w:w="633"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p>
        </w:tc>
        <w:tc>
          <w:tcPr>
            <w:tcW w:w="2274" w:type="pct"/>
            <w:shd w:val="clear" w:color="000000" w:fill="FFFFFF"/>
            <w:noWrap/>
            <w:vAlign w:val="center"/>
            <w:hideMark/>
          </w:tcPr>
          <w:p w:rsidR="00797E26" w:rsidRPr="00EF454C" w:rsidRDefault="00797E26" w:rsidP="00F3184E">
            <w:pPr>
              <w:pStyle w:val="Subtitle"/>
              <w:widowControl w:val="0"/>
              <w:spacing w:line="276" w:lineRule="auto"/>
              <w:rPr>
                <w:b w:val="0"/>
                <w:sz w:val="20"/>
                <w:szCs w:val="20"/>
              </w:rPr>
            </w:pPr>
            <w:r w:rsidRPr="00EF454C">
              <w:rPr>
                <w:b w:val="0"/>
                <w:sz w:val="20"/>
                <w:szCs w:val="20"/>
              </w:rPr>
              <w:t>2275</w:t>
            </w:r>
          </w:p>
        </w:tc>
      </w:tr>
    </w:tbl>
    <w:p w:rsidR="00797E26" w:rsidRPr="002D1C35" w:rsidRDefault="00797E26" w:rsidP="00F3184E">
      <w:pPr>
        <w:widowControl w:val="0"/>
        <w:spacing w:after="0" w:line="276" w:lineRule="auto"/>
        <w:rPr>
          <w:sz w:val="24"/>
          <w:szCs w:val="24"/>
        </w:rPr>
      </w:pPr>
    </w:p>
    <w:p w:rsidR="00797E26" w:rsidRPr="00EF454C" w:rsidRDefault="00797E26" w:rsidP="00F3184E">
      <w:pPr>
        <w:pStyle w:val="Subtitle"/>
        <w:widowControl w:val="0"/>
        <w:spacing w:line="276" w:lineRule="auto"/>
        <w:jc w:val="both"/>
        <w:rPr>
          <w:b w:val="0"/>
        </w:rPr>
      </w:pPr>
      <w:r w:rsidRPr="00EF454C">
        <w:rPr>
          <w:b w:val="0"/>
        </w:rPr>
        <w:t>Pra siç shikojm si me siper rezultojne 2275 kg mjalte per rivlersim. Si çmim te shitjes do te marrim çmimin mesatar te shitjes te deklaruar nga shoqeria ne vitin 2020, i cili eshte 1000 leke per kg, shuma per rivlersim eshte 2,275,000 leke (2275 kg mjalte*1000 leke/kg).</w:t>
      </w:r>
    </w:p>
    <w:p w:rsidR="00797E26" w:rsidRPr="00EF454C" w:rsidRDefault="00797E26" w:rsidP="00F3184E">
      <w:pPr>
        <w:pStyle w:val="Subtitle"/>
        <w:widowControl w:val="0"/>
        <w:spacing w:line="276" w:lineRule="auto"/>
        <w:jc w:val="both"/>
        <w:rPr>
          <w:b w:val="0"/>
        </w:rPr>
      </w:pPr>
      <w:r w:rsidRPr="00EF454C">
        <w:rPr>
          <w:b w:val="0"/>
        </w:rPr>
        <w:t>Per sa me siper ne baze te ligjit Nr.9920,date 19.05.2008 “</w:t>
      </w:r>
      <w:r w:rsidRPr="00EF454C">
        <w:rPr>
          <w:b w:val="0"/>
          <w:i/>
        </w:rPr>
        <w:t xml:space="preserve">Per Proçedurat Tatimore ne Republiken e Shqiperise”,i ndryshuar,neni 124, pika 1, dhe Udhezimin Nr.24,date 02.09.2008 </w:t>
      </w:r>
      <w:r w:rsidRPr="00EF454C">
        <w:rPr>
          <w:b w:val="0"/>
          <w:i/>
        </w:rPr>
        <w:lastRenderedPageBreak/>
        <w:t>“Per Proçedurat Tatimore ne Republiken e Shqiperise; i ndryshuar, shoqeria detyrohet te paguaje si me poshte:</w:t>
      </w:r>
    </w:p>
    <w:p w:rsidR="00EF454C" w:rsidRDefault="00EF454C" w:rsidP="00F3184E">
      <w:pPr>
        <w:pStyle w:val="Subtitle"/>
        <w:widowControl w:val="0"/>
        <w:spacing w:line="276" w:lineRule="auto"/>
        <w:jc w:val="both"/>
        <w:rPr>
          <w:b w:val="0"/>
        </w:rPr>
      </w:pPr>
    </w:p>
    <w:p w:rsidR="00797E26" w:rsidRPr="00EF454C" w:rsidRDefault="00797E26" w:rsidP="00F3184E">
      <w:pPr>
        <w:pStyle w:val="Subtitle"/>
        <w:widowControl w:val="0"/>
        <w:spacing w:line="276" w:lineRule="auto"/>
        <w:jc w:val="both"/>
        <w:rPr>
          <w:b w:val="0"/>
        </w:rPr>
      </w:pPr>
      <w:r w:rsidRPr="00EF454C">
        <w:rPr>
          <w:b w:val="0"/>
        </w:rPr>
        <w:t>Tvsh-e  2,275,000*20%</w:t>
      </w:r>
      <w:r w:rsidRPr="00EF454C">
        <w:rPr>
          <w:b w:val="0"/>
        </w:rPr>
        <w:tab/>
        <w:t xml:space="preserve">             = 455,000 leke </w:t>
      </w:r>
    </w:p>
    <w:p w:rsidR="00797E26" w:rsidRPr="00EF454C" w:rsidRDefault="00797E26" w:rsidP="00F3184E">
      <w:pPr>
        <w:pStyle w:val="Subtitle"/>
        <w:widowControl w:val="0"/>
        <w:spacing w:line="276" w:lineRule="auto"/>
        <w:jc w:val="both"/>
        <w:rPr>
          <w:b w:val="0"/>
        </w:rPr>
      </w:pPr>
      <w:r w:rsidRPr="00EF454C">
        <w:rPr>
          <w:b w:val="0"/>
        </w:rPr>
        <w:t>Gjobe Tvsh-je  100%</w:t>
      </w:r>
      <w:r w:rsidRPr="00EF454C">
        <w:rPr>
          <w:b w:val="0"/>
        </w:rPr>
        <w:tab/>
        <w:t xml:space="preserve">             </w:t>
      </w:r>
      <w:r w:rsidR="00D7646B">
        <w:rPr>
          <w:b w:val="0"/>
        </w:rPr>
        <w:tab/>
      </w:r>
      <w:r w:rsidRPr="00EF454C">
        <w:rPr>
          <w:b w:val="0"/>
        </w:rPr>
        <w:t>= 455,000 leke;</w:t>
      </w:r>
    </w:p>
    <w:p w:rsidR="00797E26" w:rsidRPr="00EF454C" w:rsidRDefault="00797E26" w:rsidP="00F3184E">
      <w:pPr>
        <w:pStyle w:val="Subtitle"/>
        <w:widowControl w:val="0"/>
        <w:spacing w:line="276" w:lineRule="auto"/>
        <w:jc w:val="both"/>
        <w:rPr>
          <w:b w:val="0"/>
          <w:u w:val="single"/>
        </w:rPr>
      </w:pPr>
      <w:r w:rsidRPr="00EF454C">
        <w:rPr>
          <w:b w:val="0"/>
        </w:rPr>
        <w:t xml:space="preserve">TFTH                        </w:t>
      </w:r>
      <w:r w:rsidRPr="00EF454C">
        <w:rPr>
          <w:b w:val="0"/>
        </w:rPr>
        <w:tab/>
        <w:t xml:space="preserve">                         = 186,209 leke</w:t>
      </w:r>
      <w:r w:rsidRPr="00EF454C">
        <w:rPr>
          <w:b w:val="0"/>
          <w:u w:val="single"/>
        </w:rPr>
        <w:t>;</w:t>
      </w:r>
    </w:p>
    <w:p w:rsidR="00797E26" w:rsidRPr="00EF454C" w:rsidRDefault="00797E26" w:rsidP="00F3184E">
      <w:pPr>
        <w:pStyle w:val="Subtitle"/>
        <w:widowControl w:val="0"/>
        <w:spacing w:line="276" w:lineRule="auto"/>
        <w:jc w:val="both"/>
        <w:rPr>
          <w:b w:val="0"/>
          <w:u w:val="single"/>
        </w:rPr>
      </w:pPr>
      <w:r w:rsidRPr="00EF454C">
        <w:rPr>
          <w:b w:val="0"/>
          <w:u w:val="single"/>
        </w:rPr>
        <w:t>Gjobe TFTH 100%                            =186,209 leke;</w:t>
      </w:r>
    </w:p>
    <w:p w:rsidR="00797E26" w:rsidRPr="00EF454C" w:rsidRDefault="00797E26" w:rsidP="00F3184E">
      <w:pPr>
        <w:pStyle w:val="Subtitle"/>
        <w:widowControl w:val="0"/>
        <w:spacing w:line="276" w:lineRule="auto"/>
        <w:jc w:val="both"/>
        <w:rPr>
          <w:b w:val="0"/>
          <w:color w:val="000000"/>
          <w:sz w:val="12"/>
          <w:szCs w:val="12"/>
        </w:rPr>
      </w:pPr>
      <w:r w:rsidRPr="00EF454C">
        <w:rPr>
          <w:b w:val="0"/>
        </w:rPr>
        <w:t xml:space="preserve">Totali  </w:t>
      </w:r>
      <w:r w:rsidRPr="00EF454C">
        <w:rPr>
          <w:b w:val="0"/>
        </w:rPr>
        <w:tab/>
      </w:r>
      <w:r w:rsidRPr="00EF454C">
        <w:rPr>
          <w:b w:val="0"/>
        </w:rPr>
        <w:tab/>
      </w:r>
      <w:r w:rsidRPr="00EF454C">
        <w:rPr>
          <w:b w:val="0"/>
        </w:rPr>
        <w:tab/>
      </w:r>
      <w:r w:rsidRPr="00EF454C">
        <w:rPr>
          <w:b w:val="0"/>
        </w:rPr>
        <w:tab/>
      </w:r>
      <w:r w:rsidR="00D7646B">
        <w:rPr>
          <w:b w:val="0"/>
        </w:rPr>
        <w:tab/>
      </w:r>
      <w:r w:rsidRPr="00EF454C">
        <w:rPr>
          <w:b w:val="0"/>
        </w:rPr>
        <w:t>1,282,418  leke.</w:t>
      </w:r>
    </w:p>
    <w:p w:rsidR="00797E26" w:rsidRPr="002D1C35" w:rsidRDefault="00797E26" w:rsidP="00F3184E">
      <w:pPr>
        <w:widowControl w:val="0"/>
        <w:spacing w:after="0" w:line="276" w:lineRule="auto"/>
        <w:rPr>
          <w:sz w:val="24"/>
          <w:szCs w:val="24"/>
        </w:rPr>
      </w:pPr>
    </w:p>
    <w:p w:rsidR="00797E26" w:rsidRDefault="00797E26" w:rsidP="00F3184E">
      <w:pPr>
        <w:pStyle w:val="Subtitle"/>
        <w:widowControl w:val="0"/>
        <w:spacing w:line="276" w:lineRule="auto"/>
        <w:jc w:val="both"/>
        <w:rPr>
          <w:b w:val="0"/>
        </w:rPr>
      </w:pPr>
      <w:r w:rsidRPr="00EF454C">
        <w:rPr>
          <w:b w:val="0"/>
        </w:rPr>
        <w:t>Shoqeria deklaraten e tatim fitimit te thjeshtuar per vitin 2019 e ka dorezuar me te ardhura ne shumen  4,125,000 leke dhe shpenzime 2,675,820 leke. Ne baze te rivlersimit te mesiperm rubrika 8/9 (te ardhurat) do te ndryshoje dhe do te shkoje ne shumen 6,400,000 leke (4,125,000 +2,275,000). Efekti i TFTH do te jete; (6,400,000-2,675,820 =3,724,180 leke * 5% = 186,209 leke.</w:t>
      </w:r>
    </w:p>
    <w:p w:rsidR="00D7646B" w:rsidRPr="00EF454C" w:rsidRDefault="00D7646B" w:rsidP="00F3184E">
      <w:pPr>
        <w:pStyle w:val="Subtitle"/>
        <w:widowControl w:val="0"/>
        <w:spacing w:line="276" w:lineRule="auto"/>
        <w:jc w:val="both"/>
        <w:rPr>
          <w:b w:val="0"/>
        </w:rPr>
      </w:pPr>
    </w:p>
    <w:p w:rsidR="00B760A7" w:rsidRPr="00B031E4" w:rsidRDefault="00B760A7" w:rsidP="00F3184E">
      <w:pPr>
        <w:widowControl w:val="0"/>
        <w:spacing w:after="0" w:line="276" w:lineRule="auto"/>
        <w:jc w:val="center"/>
        <w:rPr>
          <w:rFonts w:ascii="Times New Roman" w:eastAsia="SimSun" w:hAnsi="Times New Roman" w:cs="Times New Roman"/>
          <w:sz w:val="24"/>
          <w:szCs w:val="24"/>
          <w:lang w:eastAsia="zh-CN"/>
        </w:rPr>
      </w:pPr>
      <w:r w:rsidRPr="00B031E4">
        <w:rPr>
          <w:rFonts w:ascii="Times New Roman" w:eastAsia="SimSun" w:hAnsi="Times New Roman" w:cs="Times New Roman"/>
          <w:sz w:val="24"/>
          <w:szCs w:val="24"/>
          <w:lang w:eastAsia="zh-CN"/>
        </w:rPr>
        <w:t>*</w:t>
      </w:r>
      <w:r w:rsidR="00DD06C1" w:rsidRPr="00B031E4">
        <w:rPr>
          <w:rFonts w:ascii="Times New Roman" w:eastAsia="SimSun" w:hAnsi="Times New Roman" w:cs="Times New Roman"/>
          <w:sz w:val="24"/>
          <w:szCs w:val="24"/>
          <w:lang w:eastAsia="zh-CN"/>
        </w:rPr>
        <w:t xml:space="preserve"> </w:t>
      </w:r>
      <w:r w:rsidRPr="00B031E4">
        <w:rPr>
          <w:rFonts w:ascii="Times New Roman" w:eastAsia="SimSun" w:hAnsi="Times New Roman" w:cs="Times New Roman"/>
          <w:sz w:val="24"/>
          <w:szCs w:val="24"/>
          <w:lang w:eastAsia="zh-CN"/>
        </w:rPr>
        <w:t>*</w:t>
      </w:r>
      <w:r w:rsidR="00DD06C1" w:rsidRPr="00B031E4">
        <w:rPr>
          <w:rFonts w:ascii="Times New Roman" w:eastAsia="SimSun" w:hAnsi="Times New Roman" w:cs="Times New Roman"/>
          <w:sz w:val="24"/>
          <w:szCs w:val="24"/>
          <w:lang w:eastAsia="zh-CN"/>
        </w:rPr>
        <w:t xml:space="preserve"> </w:t>
      </w:r>
      <w:r w:rsidRPr="00B031E4">
        <w:rPr>
          <w:rFonts w:ascii="Times New Roman" w:eastAsia="SimSun" w:hAnsi="Times New Roman" w:cs="Times New Roman"/>
          <w:sz w:val="24"/>
          <w:szCs w:val="24"/>
          <w:lang w:eastAsia="zh-CN"/>
        </w:rPr>
        <w:t>*</w:t>
      </w:r>
    </w:p>
    <w:p w:rsidR="00870147" w:rsidRPr="00B031E4" w:rsidRDefault="00870147" w:rsidP="00F3184E">
      <w:pPr>
        <w:widowControl w:val="0"/>
        <w:spacing w:after="0" w:line="276" w:lineRule="auto"/>
        <w:jc w:val="center"/>
        <w:rPr>
          <w:rFonts w:ascii="Times New Roman" w:eastAsia="SimSun" w:hAnsi="Times New Roman" w:cs="Times New Roman"/>
          <w:sz w:val="24"/>
          <w:szCs w:val="24"/>
          <w:lang w:eastAsia="zh-CN"/>
        </w:rPr>
      </w:pPr>
    </w:p>
    <w:p w:rsidR="007E77EA" w:rsidRDefault="00E53043" w:rsidP="00F3184E">
      <w:pPr>
        <w:pStyle w:val="NoSpacing"/>
        <w:widowControl w:val="0"/>
        <w:spacing w:line="276" w:lineRule="auto"/>
        <w:jc w:val="both"/>
      </w:pPr>
      <w:r w:rsidRPr="00B031E4">
        <w:t xml:space="preserve">Tatimpaguesi ka kundërshtuar vlerësimin e kryer duke argumentuar se </w:t>
      </w:r>
      <w:r w:rsidR="00EA0A89">
        <w:t xml:space="preserve">bidonat </w:t>
      </w:r>
      <w:r w:rsidR="00701BFB">
        <w:t>jan</w:t>
      </w:r>
      <w:r w:rsidR="00701BFB" w:rsidRPr="00053BBB">
        <w:t>ë</w:t>
      </w:r>
      <w:r w:rsidR="00701BFB">
        <w:t xml:space="preserve"> p</w:t>
      </w:r>
      <w:r w:rsidR="00701BFB" w:rsidRPr="00053BBB">
        <w:t>ë</w:t>
      </w:r>
      <w:r w:rsidR="00701BFB">
        <w:t>rdorur p</w:t>
      </w:r>
      <w:r w:rsidR="00701BFB" w:rsidRPr="00053BBB">
        <w:t>ë</w:t>
      </w:r>
      <w:r w:rsidR="00701BFB">
        <w:t>r t</w:t>
      </w:r>
      <w:r w:rsidR="00701BFB" w:rsidRPr="00053BBB">
        <w:t>ë</w:t>
      </w:r>
      <w:r w:rsidR="00701BFB">
        <w:t xml:space="preserve"> ushqyer blet</w:t>
      </w:r>
      <w:r w:rsidR="00701BFB" w:rsidRPr="00053BBB">
        <w:t>ë</w:t>
      </w:r>
      <w:r w:rsidR="00701BFB">
        <w:t>t  gjat</w:t>
      </w:r>
      <w:r w:rsidR="00701BFB" w:rsidRPr="00053BBB">
        <w:t>ë</w:t>
      </w:r>
      <w:r w:rsidR="00701BFB">
        <w:t xml:space="preserve"> periudh</w:t>
      </w:r>
      <w:r w:rsidR="00701BFB" w:rsidRPr="00053BBB">
        <w:t>ë</w:t>
      </w:r>
      <w:r w:rsidR="00701BFB">
        <w:t>s s</w:t>
      </w:r>
      <w:r w:rsidR="00701BFB" w:rsidRPr="00053BBB">
        <w:t>ë</w:t>
      </w:r>
      <w:r w:rsidR="00701BFB">
        <w:t xml:space="preserve"> dimrit, duke i prer</w:t>
      </w:r>
      <w:r w:rsidR="00701BFB" w:rsidRPr="00053BBB">
        <w:t>ë</w:t>
      </w:r>
      <w:r w:rsidR="00701BFB">
        <w:t xml:space="preserve"> ata n</w:t>
      </w:r>
      <w:r w:rsidR="00701BFB" w:rsidRPr="00053BBB">
        <w:t>ë</w:t>
      </w:r>
      <w:r w:rsidR="00701BFB">
        <w:t xml:space="preserve"> mes ose duke ju hapur vrima n</w:t>
      </w:r>
      <w:r w:rsidR="00701BFB" w:rsidRPr="00053BBB">
        <w:t>ë</w:t>
      </w:r>
      <w:r w:rsidR="00701BFB">
        <w:t xml:space="preserve"> mynyr</w:t>
      </w:r>
      <w:r w:rsidR="00701BFB" w:rsidRPr="00053BBB">
        <w:t>ë</w:t>
      </w:r>
      <w:r w:rsidR="00701BFB">
        <w:t xml:space="preserve"> q</w:t>
      </w:r>
      <w:r w:rsidR="00701BFB" w:rsidRPr="00053BBB">
        <w:t>ë</w:t>
      </w:r>
      <w:r w:rsidR="00701BFB">
        <w:t xml:space="preserve"> blerta t</w:t>
      </w:r>
      <w:r w:rsidR="00701BFB" w:rsidRPr="00053BBB">
        <w:t>ë</w:t>
      </w:r>
      <w:r w:rsidR="00701BFB">
        <w:t xml:space="preserve"> marr</w:t>
      </w:r>
      <w:r w:rsidR="00701BFB" w:rsidRPr="00053BBB">
        <w:t>ë</w:t>
      </w:r>
      <w:r w:rsidR="00701BFB">
        <w:t xml:space="preserve"> ushqimin. Mesatarisht ne p</w:t>
      </w:r>
      <w:r w:rsidR="00701BFB" w:rsidRPr="00053BBB">
        <w:t>ë</w:t>
      </w:r>
      <w:r w:rsidR="00701BFB">
        <w:t>rdorim deri 30 bidona n</w:t>
      </w:r>
      <w:r w:rsidR="00701BFB" w:rsidRPr="00053BBB">
        <w:t>ë</w:t>
      </w:r>
      <w:r w:rsidR="00701BFB">
        <w:t xml:space="preserve"> dit</w:t>
      </w:r>
      <w:r w:rsidR="00701BFB" w:rsidRPr="00053BBB">
        <w:t>ë</w:t>
      </w:r>
      <w:r w:rsidR="00701BFB">
        <w:t xml:space="preserve">  ose rreth 1200 bidona n</w:t>
      </w:r>
      <w:r w:rsidR="00701BFB" w:rsidRPr="00053BBB">
        <w:t>ë</w:t>
      </w:r>
      <w:r w:rsidR="00701BFB">
        <w:t xml:space="preserve"> muaj dhe rrjedhimisht sasia e bidonave t</w:t>
      </w:r>
      <w:r w:rsidR="00701BFB" w:rsidRPr="00053BBB">
        <w:t>ë</w:t>
      </w:r>
      <w:r w:rsidR="00701BFB">
        <w:t xml:space="preserve"> bler</w:t>
      </w:r>
      <w:r w:rsidR="00701BFB" w:rsidRPr="00053BBB">
        <w:t>ë</w:t>
      </w:r>
      <w:r w:rsidR="00701BFB">
        <w:t xml:space="preserve"> </w:t>
      </w:r>
      <w:r w:rsidR="00701BFB" w:rsidRPr="00053BBB">
        <w:t>ë</w:t>
      </w:r>
      <w:r w:rsidR="00701BFB">
        <w:t>sht</w:t>
      </w:r>
      <w:r w:rsidR="00701BFB" w:rsidRPr="00053BBB">
        <w:t>ë</w:t>
      </w:r>
      <w:r w:rsidR="00701BFB">
        <w:t xml:space="preserve"> konsumuar p</w:t>
      </w:r>
      <w:r w:rsidR="00701BFB" w:rsidRPr="00053BBB">
        <w:t>ë</w:t>
      </w:r>
      <w:r w:rsidR="00701BFB">
        <w:t>r periudh</w:t>
      </w:r>
      <w:r w:rsidR="00701BFB" w:rsidRPr="00053BBB">
        <w:t>ë</w:t>
      </w:r>
      <w:r w:rsidR="00701BFB">
        <w:t>n 3, 4 mujore t</w:t>
      </w:r>
      <w:r w:rsidR="00701BFB" w:rsidRPr="00053BBB">
        <w:t>ë</w:t>
      </w:r>
      <w:r w:rsidR="00701BFB">
        <w:t xml:space="preserve"> dimrit</w:t>
      </w:r>
    </w:p>
    <w:p w:rsidR="00701BFB" w:rsidRDefault="00701BFB" w:rsidP="00F3184E">
      <w:pPr>
        <w:pStyle w:val="NoSpacing"/>
        <w:widowControl w:val="0"/>
        <w:spacing w:line="276" w:lineRule="auto"/>
        <w:jc w:val="both"/>
      </w:pPr>
      <w:r>
        <w:t>Nga p</w:t>
      </w:r>
      <w:r w:rsidRPr="00053BBB">
        <w:t>ë</w:t>
      </w:r>
      <w:r>
        <w:t>rllogaritja e inspektorit del q</w:t>
      </w:r>
      <w:r w:rsidRPr="00053BBB">
        <w:t>ë</w:t>
      </w:r>
      <w:r>
        <w:t xml:space="preserve"> kemi prodhuar 6400 kg mjalt</w:t>
      </w:r>
      <w:r w:rsidRPr="00053BBB">
        <w:t>ë</w:t>
      </w:r>
      <w:r>
        <w:t xml:space="preserve"> me nj</w:t>
      </w:r>
      <w:r w:rsidRPr="00053BBB">
        <w:t>ë</w:t>
      </w:r>
      <w:r>
        <w:t xml:space="preserve"> mesatare prej 21-22 kg p</w:t>
      </w:r>
      <w:r w:rsidRPr="00053BBB">
        <w:t>ë</w:t>
      </w:r>
      <w:r>
        <w:t xml:space="preserve">r koshere </w:t>
      </w:r>
      <w:r w:rsidRPr="006F3696">
        <w:t>ç</w:t>
      </w:r>
      <w:r>
        <w:t xml:space="preserve">ka nuk </w:t>
      </w:r>
      <w:r w:rsidRPr="00053BBB">
        <w:t>ë</w:t>
      </w:r>
      <w:r>
        <w:t>sht</w:t>
      </w:r>
      <w:r w:rsidRPr="00053BBB">
        <w:t>ë</w:t>
      </w:r>
      <w:r>
        <w:t xml:space="preserve"> e v</w:t>
      </w:r>
      <w:r w:rsidRPr="00053BBB">
        <w:t>ë</w:t>
      </w:r>
      <w:r>
        <w:t>rtet</w:t>
      </w:r>
      <w:r w:rsidRPr="00053BBB">
        <w:t>ë</w:t>
      </w:r>
      <w:r>
        <w:t xml:space="preserve"> pasi rendimenti i nj</w:t>
      </w:r>
      <w:r w:rsidRPr="00053BBB">
        <w:t>ë</w:t>
      </w:r>
      <w:r>
        <w:t xml:space="preserve"> koshereje varijojn</w:t>
      </w:r>
      <w:r w:rsidRPr="00053BBB">
        <w:t>ë</w:t>
      </w:r>
      <w:r>
        <w:t xml:space="preserve"> nga 5 deri 15 kg n</w:t>
      </w:r>
      <w:r w:rsidRPr="00053BBB">
        <w:t>ë</w:t>
      </w:r>
      <w:r>
        <w:t xml:space="preserve"> vitet m</w:t>
      </w:r>
      <w:r w:rsidRPr="00053BBB">
        <w:t>ë</w:t>
      </w:r>
      <w:r>
        <w:t xml:space="preserve"> t</w:t>
      </w:r>
      <w:r w:rsidRPr="00053BBB">
        <w:t>ë</w:t>
      </w:r>
      <w:r>
        <w:t xml:space="preserve"> mira. Pastaj jo t</w:t>
      </w:r>
      <w:r w:rsidRPr="00053BBB">
        <w:t>ë</w:t>
      </w:r>
      <w:r>
        <w:t xml:space="preserve"> gjitha kosheret prodhojn</w:t>
      </w:r>
      <w:r w:rsidRPr="00053BBB">
        <w:t>ë</w:t>
      </w:r>
      <w:r>
        <w:t xml:space="preserve"> mjalt</w:t>
      </w:r>
      <w:r w:rsidRPr="00053BBB">
        <w:t>ë</w:t>
      </w:r>
      <w:r>
        <w:t>.</w:t>
      </w:r>
    </w:p>
    <w:p w:rsidR="00701BFB" w:rsidRDefault="00701BFB" w:rsidP="00F3184E">
      <w:pPr>
        <w:pStyle w:val="NoSpacing"/>
        <w:widowControl w:val="0"/>
        <w:spacing w:line="276" w:lineRule="auto"/>
        <w:jc w:val="both"/>
      </w:pPr>
      <w:r>
        <w:t>Ambalazhi i marr</w:t>
      </w:r>
      <w:r w:rsidRPr="00053BBB">
        <w:t>ë</w:t>
      </w:r>
      <w:r>
        <w:t xml:space="preserve"> nga shoq</w:t>
      </w:r>
      <w:r w:rsidRPr="00053BBB">
        <w:t>ë</w:t>
      </w:r>
      <w:r>
        <w:t xml:space="preserve">ria nuk </w:t>
      </w:r>
      <w:r w:rsidRPr="00053BBB">
        <w:t>ë</w:t>
      </w:r>
      <w:r>
        <w:t>sht</w:t>
      </w:r>
      <w:r w:rsidRPr="00053BBB">
        <w:t>ë</w:t>
      </w:r>
      <w:r>
        <w:t xml:space="preserve"> detajuar n</w:t>
      </w:r>
      <w:r w:rsidRPr="00053BBB">
        <w:t>ë</w:t>
      </w:r>
      <w:r>
        <w:t xml:space="preserve"> mallra p</w:t>
      </w:r>
      <w:r w:rsidRPr="00053BBB">
        <w:t>ë</w:t>
      </w:r>
      <w:r>
        <w:t>r shitje pasi ne nuk tregtojm</w:t>
      </w:r>
      <w:r w:rsidRPr="00053BBB">
        <w:t>ë</w:t>
      </w:r>
      <w:r>
        <w:t xml:space="preserve"> produkte ambalazhi</w:t>
      </w:r>
      <w:r w:rsidR="00E5625D">
        <w:t xml:space="preserve"> por nga ana jon</w:t>
      </w:r>
      <w:r w:rsidR="00E5625D" w:rsidRPr="00053BBB">
        <w:t>ë</w:t>
      </w:r>
      <w:r w:rsidR="00E5625D">
        <w:t xml:space="preserve"> </w:t>
      </w:r>
      <w:r w:rsidR="00E5625D" w:rsidRPr="00053BBB">
        <w:t>ë</w:t>
      </w:r>
      <w:r w:rsidR="00E5625D">
        <w:t>sht</w:t>
      </w:r>
      <w:r w:rsidR="00E5625D" w:rsidRPr="00053BBB">
        <w:t>ë</w:t>
      </w:r>
      <w:r w:rsidR="00E5625D">
        <w:t xml:space="preserve"> trajtuar si shpenzim i periudh</w:t>
      </w:r>
      <w:r w:rsidR="00E5625D" w:rsidRPr="00053BBB">
        <w:t>ë</w:t>
      </w:r>
      <w:r w:rsidR="00E5625D">
        <w:t>s.</w:t>
      </w:r>
    </w:p>
    <w:p w:rsidR="00E5625D" w:rsidRPr="00B031E4" w:rsidRDefault="00E5625D" w:rsidP="00F3184E">
      <w:pPr>
        <w:pStyle w:val="NoSpacing"/>
        <w:widowControl w:val="0"/>
        <w:spacing w:line="276" w:lineRule="auto"/>
        <w:jc w:val="both"/>
      </w:pPr>
    </w:p>
    <w:p w:rsidR="00FA694C" w:rsidRPr="00B031E4" w:rsidRDefault="008913EE" w:rsidP="00F3184E">
      <w:pPr>
        <w:widowControl w:val="0"/>
        <w:spacing w:after="0" w:line="276" w:lineRule="auto"/>
        <w:jc w:val="center"/>
        <w:rPr>
          <w:rFonts w:ascii="Times New Roman" w:eastAsia="SimSun" w:hAnsi="Times New Roman" w:cs="Times New Roman"/>
          <w:sz w:val="24"/>
          <w:szCs w:val="24"/>
          <w:lang w:eastAsia="zh-CN"/>
        </w:rPr>
      </w:pPr>
      <w:r w:rsidRPr="00B031E4">
        <w:rPr>
          <w:rFonts w:ascii="Times New Roman" w:eastAsia="SimSun" w:hAnsi="Times New Roman" w:cs="Times New Roman"/>
          <w:sz w:val="24"/>
          <w:szCs w:val="24"/>
          <w:lang w:eastAsia="zh-CN"/>
        </w:rPr>
        <w:t>*</w:t>
      </w:r>
      <w:r w:rsidR="00DD06C1" w:rsidRPr="00B031E4">
        <w:rPr>
          <w:rFonts w:ascii="Times New Roman" w:eastAsia="SimSun" w:hAnsi="Times New Roman" w:cs="Times New Roman"/>
          <w:sz w:val="24"/>
          <w:szCs w:val="24"/>
          <w:lang w:eastAsia="zh-CN"/>
        </w:rPr>
        <w:t xml:space="preserve"> </w:t>
      </w:r>
      <w:r w:rsidRPr="00B031E4">
        <w:rPr>
          <w:rFonts w:ascii="Times New Roman" w:eastAsia="SimSun" w:hAnsi="Times New Roman" w:cs="Times New Roman"/>
          <w:sz w:val="24"/>
          <w:szCs w:val="24"/>
          <w:lang w:eastAsia="zh-CN"/>
        </w:rPr>
        <w:t>*</w:t>
      </w:r>
      <w:r w:rsidR="00DD06C1" w:rsidRPr="00B031E4">
        <w:rPr>
          <w:rFonts w:ascii="Times New Roman" w:eastAsia="SimSun" w:hAnsi="Times New Roman" w:cs="Times New Roman"/>
          <w:sz w:val="24"/>
          <w:szCs w:val="24"/>
          <w:lang w:eastAsia="zh-CN"/>
        </w:rPr>
        <w:t xml:space="preserve"> </w:t>
      </w:r>
      <w:r w:rsidRPr="00B031E4">
        <w:rPr>
          <w:rFonts w:ascii="Times New Roman" w:eastAsia="SimSun" w:hAnsi="Times New Roman" w:cs="Times New Roman"/>
          <w:sz w:val="24"/>
          <w:szCs w:val="24"/>
          <w:lang w:eastAsia="zh-CN"/>
        </w:rPr>
        <w:t>*</w:t>
      </w:r>
    </w:p>
    <w:p w:rsidR="008913EE" w:rsidRPr="00B031E4" w:rsidRDefault="008913EE" w:rsidP="00F3184E">
      <w:pPr>
        <w:widowControl w:val="0"/>
        <w:spacing w:after="0" w:line="276" w:lineRule="auto"/>
        <w:jc w:val="both"/>
        <w:rPr>
          <w:rFonts w:ascii="Times New Roman" w:eastAsia="SimSun" w:hAnsi="Times New Roman" w:cs="Times New Roman"/>
          <w:sz w:val="24"/>
          <w:szCs w:val="24"/>
          <w:lang w:eastAsia="zh-CN"/>
        </w:rPr>
      </w:pPr>
    </w:p>
    <w:p w:rsidR="007E77EA" w:rsidRPr="00B031E4" w:rsidRDefault="007E77EA" w:rsidP="00F3184E">
      <w:pPr>
        <w:widowControl w:val="0"/>
        <w:tabs>
          <w:tab w:val="left" w:pos="720"/>
          <w:tab w:val="center" w:pos="4680"/>
          <w:tab w:val="right" w:pos="9360"/>
        </w:tabs>
        <w:spacing w:after="0" w:line="276" w:lineRule="auto"/>
        <w:jc w:val="both"/>
        <w:rPr>
          <w:rFonts w:ascii="Times New Roman" w:hAnsi="Times New Roman" w:cs="Times New Roman"/>
          <w:bCs/>
          <w:sz w:val="24"/>
          <w:szCs w:val="24"/>
        </w:rPr>
      </w:pPr>
      <w:r w:rsidRPr="00B031E4">
        <w:rPr>
          <w:rFonts w:ascii="Times New Roman" w:hAnsi="Times New Roman" w:cs="Times New Roman"/>
          <w:bCs/>
          <w:sz w:val="24"/>
          <w:szCs w:val="24"/>
        </w:rPr>
        <w:t xml:space="preserve">Drejtoria e Apelimit Tatimor, pas shqyrtimit të pretendimeve të shoqërisë, të dhënave në raportin e kontrollit dhe pasi hulumtoi në dispozitat ligjore ku mbështetet vlerësimi i kryer, </w:t>
      </w:r>
      <w:r w:rsidR="00650CD4">
        <w:rPr>
          <w:rFonts w:ascii="Times New Roman" w:hAnsi="Times New Roman" w:cs="Times New Roman"/>
          <w:bCs/>
          <w:sz w:val="24"/>
          <w:szCs w:val="24"/>
        </w:rPr>
        <w:t>e konsideron t</w:t>
      </w:r>
      <w:r w:rsidR="00F3184E">
        <w:rPr>
          <w:rFonts w:ascii="Times New Roman" w:hAnsi="Times New Roman" w:cs="Times New Roman"/>
          <w:bCs/>
          <w:sz w:val="24"/>
          <w:szCs w:val="24"/>
        </w:rPr>
        <w:t>ë</w:t>
      </w:r>
      <w:r w:rsidR="00650CD4">
        <w:rPr>
          <w:rFonts w:ascii="Times New Roman" w:hAnsi="Times New Roman" w:cs="Times New Roman"/>
          <w:bCs/>
          <w:sz w:val="24"/>
          <w:szCs w:val="24"/>
        </w:rPr>
        <w:t xml:space="preserve"> nevojshme fillimisht </w:t>
      </w:r>
      <w:r w:rsidR="004611AD">
        <w:rPr>
          <w:rFonts w:ascii="Times New Roman" w:hAnsi="Times New Roman" w:cs="Times New Roman"/>
          <w:bCs/>
          <w:sz w:val="24"/>
          <w:szCs w:val="24"/>
        </w:rPr>
        <w:t>t</w:t>
      </w:r>
      <w:r w:rsidR="00F3184E">
        <w:rPr>
          <w:rFonts w:ascii="Times New Roman" w:hAnsi="Times New Roman" w:cs="Times New Roman"/>
          <w:bCs/>
          <w:sz w:val="24"/>
          <w:szCs w:val="24"/>
        </w:rPr>
        <w:t>ë</w:t>
      </w:r>
      <w:r w:rsidR="004611AD">
        <w:rPr>
          <w:rFonts w:ascii="Times New Roman" w:hAnsi="Times New Roman" w:cs="Times New Roman"/>
          <w:bCs/>
          <w:sz w:val="24"/>
          <w:szCs w:val="24"/>
        </w:rPr>
        <w:t xml:space="preserve"> analizoj</w:t>
      </w:r>
      <w:r w:rsidR="00F3184E">
        <w:rPr>
          <w:rFonts w:ascii="Times New Roman" w:hAnsi="Times New Roman" w:cs="Times New Roman"/>
          <w:bCs/>
          <w:sz w:val="24"/>
          <w:szCs w:val="24"/>
        </w:rPr>
        <w:t>ë</w:t>
      </w:r>
      <w:r w:rsidR="004611AD">
        <w:rPr>
          <w:rFonts w:ascii="Times New Roman" w:hAnsi="Times New Roman" w:cs="Times New Roman"/>
          <w:bCs/>
          <w:sz w:val="24"/>
          <w:szCs w:val="24"/>
        </w:rPr>
        <w:t xml:space="preserve"> m</w:t>
      </w:r>
      <w:r w:rsidR="00F3184E">
        <w:rPr>
          <w:rFonts w:ascii="Times New Roman" w:hAnsi="Times New Roman" w:cs="Times New Roman"/>
          <w:bCs/>
          <w:sz w:val="24"/>
          <w:szCs w:val="24"/>
        </w:rPr>
        <w:t>ë</w:t>
      </w:r>
      <w:r w:rsidR="004611AD">
        <w:rPr>
          <w:rFonts w:ascii="Times New Roman" w:hAnsi="Times New Roman" w:cs="Times New Roman"/>
          <w:bCs/>
          <w:sz w:val="24"/>
          <w:szCs w:val="24"/>
        </w:rPr>
        <w:t>nyr</w:t>
      </w:r>
      <w:r w:rsidR="00F3184E">
        <w:rPr>
          <w:rFonts w:ascii="Times New Roman" w:hAnsi="Times New Roman" w:cs="Times New Roman"/>
          <w:bCs/>
          <w:sz w:val="24"/>
          <w:szCs w:val="24"/>
        </w:rPr>
        <w:t>ë</w:t>
      </w:r>
      <w:r w:rsidR="004611AD">
        <w:rPr>
          <w:rFonts w:ascii="Times New Roman" w:hAnsi="Times New Roman" w:cs="Times New Roman"/>
          <w:bCs/>
          <w:sz w:val="24"/>
          <w:szCs w:val="24"/>
        </w:rPr>
        <w:t>n e vler</w:t>
      </w:r>
      <w:r w:rsidR="00F3184E">
        <w:rPr>
          <w:rFonts w:ascii="Times New Roman" w:hAnsi="Times New Roman" w:cs="Times New Roman"/>
          <w:bCs/>
          <w:sz w:val="24"/>
          <w:szCs w:val="24"/>
        </w:rPr>
        <w:t>ë</w:t>
      </w:r>
      <w:r w:rsidR="004611AD">
        <w:rPr>
          <w:rFonts w:ascii="Times New Roman" w:hAnsi="Times New Roman" w:cs="Times New Roman"/>
          <w:bCs/>
          <w:sz w:val="24"/>
          <w:szCs w:val="24"/>
        </w:rPr>
        <w:t>simit t</w:t>
      </w:r>
      <w:r w:rsidR="00F3184E">
        <w:rPr>
          <w:rFonts w:ascii="Times New Roman" w:hAnsi="Times New Roman" w:cs="Times New Roman"/>
          <w:bCs/>
          <w:sz w:val="24"/>
          <w:szCs w:val="24"/>
        </w:rPr>
        <w:t>ë</w:t>
      </w:r>
      <w:r w:rsidR="004611AD">
        <w:rPr>
          <w:rFonts w:ascii="Times New Roman" w:hAnsi="Times New Roman" w:cs="Times New Roman"/>
          <w:bCs/>
          <w:sz w:val="24"/>
          <w:szCs w:val="24"/>
        </w:rPr>
        <w:t xml:space="preserve"> kryer nga administrata tatimore, duke q</w:t>
      </w:r>
      <w:r w:rsidR="00F3184E">
        <w:rPr>
          <w:rFonts w:ascii="Times New Roman" w:hAnsi="Times New Roman" w:cs="Times New Roman"/>
          <w:bCs/>
          <w:sz w:val="24"/>
          <w:szCs w:val="24"/>
        </w:rPr>
        <w:t>ë</w:t>
      </w:r>
      <w:r w:rsidR="004611AD">
        <w:rPr>
          <w:rFonts w:ascii="Times New Roman" w:hAnsi="Times New Roman" w:cs="Times New Roman"/>
          <w:bCs/>
          <w:sz w:val="24"/>
          <w:szCs w:val="24"/>
        </w:rPr>
        <w:t>n</w:t>
      </w:r>
      <w:r w:rsidR="00F3184E">
        <w:rPr>
          <w:rFonts w:ascii="Times New Roman" w:hAnsi="Times New Roman" w:cs="Times New Roman"/>
          <w:bCs/>
          <w:sz w:val="24"/>
          <w:szCs w:val="24"/>
        </w:rPr>
        <w:t>ë</w:t>
      </w:r>
      <w:r w:rsidR="004611AD">
        <w:rPr>
          <w:rFonts w:ascii="Times New Roman" w:hAnsi="Times New Roman" w:cs="Times New Roman"/>
          <w:bCs/>
          <w:sz w:val="24"/>
          <w:szCs w:val="24"/>
        </w:rPr>
        <w:t xml:space="preserve"> se m</w:t>
      </w:r>
      <w:r w:rsidR="00F3184E">
        <w:rPr>
          <w:rFonts w:ascii="Times New Roman" w:hAnsi="Times New Roman" w:cs="Times New Roman"/>
          <w:bCs/>
          <w:sz w:val="24"/>
          <w:szCs w:val="24"/>
        </w:rPr>
        <w:t>ë</w:t>
      </w:r>
      <w:r w:rsidR="004611AD">
        <w:rPr>
          <w:rFonts w:ascii="Times New Roman" w:hAnsi="Times New Roman" w:cs="Times New Roman"/>
          <w:bCs/>
          <w:sz w:val="24"/>
          <w:szCs w:val="24"/>
        </w:rPr>
        <w:t>nyra e vler</w:t>
      </w:r>
      <w:r w:rsidR="00F3184E">
        <w:rPr>
          <w:rFonts w:ascii="Times New Roman" w:hAnsi="Times New Roman" w:cs="Times New Roman"/>
          <w:bCs/>
          <w:sz w:val="24"/>
          <w:szCs w:val="24"/>
        </w:rPr>
        <w:t>ë</w:t>
      </w:r>
      <w:r w:rsidR="004611AD">
        <w:rPr>
          <w:rFonts w:ascii="Times New Roman" w:hAnsi="Times New Roman" w:cs="Times New Roman"/>
          <w:bCs/>
          <w:sz w:val="24"/>
          <w:szCs w:val="24"/>
        </w:rPr>
        <w:t>simit p</w:t>
      </w:r>
      <w:r w:rsidR="00F3184E">
        <w:rPr>
          <w:rFonts w:ascii="Times New Roman" w:hAnsi="Times New Roman" w:cs="Times New Roman"/>
          <w:bCs/>
          <w:sz w:val="24"/>
          <w:szCs w:val="24"/>
        </w:rPr>
        <w:t>ë</w:t>
      </w:r>
      <w:r w:rsidR="004611AD">
        <w:rPr>
          <w:rFonts w:ascii="Times New Roman" w:hAnsi="Times New Roman" w:cs="Times New Roman"/>
          <w:bCs/>
          <w:sz w:val="24"/>
          <w:szCs w:val="24"/>
        </w:rPr>
        <w:t>rcakton dhe procedur</w:t>
      </w:r>
      <w:r w:rsidR="00F3184E">
        <w:rPr>
          <w:rFonts w:ascii="Times New Roman" w:hAnsi="Times New Roman" w:cs="Times New Roman"/>
          <w:bCs/>
          <w:sz w:val="24"/>
          <w:szCs w:val="24"/>
        </w:rPr>
        <w:t>ë</w:t>
      </w:r>
      <w:r w:rsidR="004611AD">
        <w:rPr>
          <w:rFonts w:ascii="Times New Roman" w:hAnsi="Times New Roman" w:cs="Times New Roman"/>
          <w:bCs/>
          <w:sz w:val="24"/>
          <w:szCs w:val="24"/>
        </w:rPr>
        <w:t>n q</w:t>
      </w:r>
      <w:r w:rsidR="00F3184E">
        <w:rPr>
          <w:rFonts w:ascii="Times New Roman" w:hAnsi="Times New Roman" w:cs="Times New Roman"/>
          <w:bCs/>
          <w:sz w:val="24"/>
          <w:szCs w:val="24"/>
        </w:rPr>
        <w:t>ë</w:t>
      </w:r>
      <w:r w:rsidR="004611AD">
        <w:rPr>
          <w:rFonts w:ascii="Times New Roman" w:hAnsi="Times New Roman" w:cs="Times New Roman"/>
          <w:bCs/>
          <w:sz w:val="24"/>
          <w:szCs w:val="24"/>
        </w:rPr>
        <w:t xml:space="preserve"> duhet t</w:t>
      </w:r>
      <w:r w:rsidR="00F3184E">
        <w:rPr>
          <w:rFonts w:ascii="Times New Roman" w:hAnsi="Times New Roman" w:cs="Times New Roman"/>
          <w:bCs/>
          <w:sz w:val="24"/>
          <w:szCs w:val="24"/>
        </w:rPr>
        <w:t>ë</w:t>
      </w:r>
      <w:r w:rsidR="004611AD">
        <w:rPr>
          <w:rFonts w:ascii="Times New Roman" w:hAnsi="Times New Roman" w:cs="Times New Roman"/>
          <w:bCs/>
          <w:sz w:val="24"/>
          <w:szCs w:val="24"/>
        </w:rPr>
        <w:t xml:space="preserve"> ndiqet nga kjo administrat</w:t>
      </w:r>
      <w:r w:rsidR="00F3184E">
        <w:rPr>
          <w:rFonts w:ascii="Times New Roman" w:hAnsi="Times New Roman" w:cs="Times New Roman"/>
          <w:bCs/>
          <w:sz w:val="24"/>
          <w:szCs w:val="24"/>
        </w:rPr>
        <w:t>ë</w:t>
      </w:r>
      <w:r w:rsidR="004611AD">
        <w:rPr>
          <w:rFonts w:ascii="Times New Roman" w:hAnsi="Times New Roman" w:cs="Times New Roman"/>
          <w:bCs/>
          <w:sz w:val="24"/>
          <w:szCs w:val="24"/>
        </w:rPr>
        <w:t xml:space="preserve"> p</w:t>
      </w:r>
      <w:r w:rsidR="00F3184E">
        <w:rPr>
          <w:rFonts w:ascii="Times New Roman" w:hAnsi="Times New Roman" w:cs="Times New Roman"/>
          <w:bCs/>
          <w:sz w:val="24"/>
          <w:szCs w:val="24"/>
        </w:rPr>
        <w:t>ë</w:t>
      </w:r>
      <w:r w:rsidR="004611AD">
        <w:rPr>
          <w:rFonts w:ascii="Times New Roman" w:hAnsi="Times New Roman" w:cs="Times New Roman"/>
          <w:bCs/>
          <w:sz w:val="24"/>
          <w:szCs w:val="24"/>
        </w:rPr>
        <w:t>r k</w:t>
      </w:r>
      <w:r w:rsidR="00F3184E">
        <w:rPr>
          <w:rFonts w:ascii="Times New Roman" w:hAnsi="Times New Roman" w:cs="Times New Roman"/>
          <w:bCs/>
          <w:sz w:val="24"/>
          <w:szCs w:val="24"/>
        </w:rPr>
        <w:t>ë</w:t>
      </w:r>
      <w:r w:rsidR="004611AD">
        <w:rPr>
          <w:rFonts w:ascii="Times New Roman" w:hAnsi="Times New Roman" w:cs="Times New Roman"/>
          <w:bCs/>
          <w:sz w:val="24"/>
          <w:szCs w:val="24"/>
        </w:rPr>
        <w:t>t</w:t>
      </w:r>
      <w:r w:rsidR="00F3184E">
        <w:rPr>
          <w:rFonts w:ascii="Times New Roman" w:hAnsi="Times New Roman" w:cs="Times New Roman"/>
          <w:bCs/>
          <w:sz w:val="24"/>
          <w:szCs w:val="24"/>
        </w:rPr>
        <w:t>ë</w:t>
      </w:r>
      <w:r w:rsidR="004611AD">
        <w:rPr>
          <w:rFonts w:ascii="Times New Roman" w:hAnsi="Times New Roman" w:cs="Times New Roman"/>
          <w:bCs/>
          <w:sz w:val="24"/>
          <w:szCs w:val="24"/>
        </w:rPr>
        <w:t xml:space="preserve"> vler</w:t>
      </w:r>
      <w:r w:rsidR="00F3184E">
        <w:rPr>
          <w:rFonts w:ascii="Times New Roman" w:hAnsi="Times New Roman" w:cs="Times New Roman"/>
          <w:bCs/>
          <w:sz w:val="24"/>
          <w:szCs w:val="24"/>
        </w:rPr>
        <w:t>ë</w:t>
      </w:r>
      <w:r w:rsidR="004611AD">
        <w:rPr>
          <w:rFonts w:ascii="Times New Roman" w:hAnsi="Times New Roman" w:cs="Times New Roman"/>
          <w:bCs/>
          <w:sz w:val="24"/>
          <w:szCs w:val="24"/>
        </w:rPr>
        <w:t xml:space="preserve">sim. </w:t>
      </w:r>
    </w:p>
    <w:p w:rsidR="0066286C" w:rsidRDefault="0066286C" w:rsidP="00F3184E">
      <w:pPr>
        <w:pStyle w:val="Header"/>
        <w:widowControl w:val="0"/>
        <w:tabs>
          <w:tab w:val="left" w:pos="720"/>
        </w:tabs>
        <w:spacing w:line="276" w:lineRule="auto"/>
        <w:jc w:val="both"/>
        <w:rPr>
          <w:bCs/>
        </w:rPr>
      </w:pPr>
    </w:p>
    <w:p w:rsidR="004611AD" w:rsidRDefault="0066286C" w:rsidP="00F3184E">
      <w:pPr>
        <w:pStyle w:val="Subtitle"/>
        <w:widowControl w:val="0"/>
        <w:spacing w:line="276" w:lineRule="auto"/>
        <w:jc w:val="both"/>
        <w:rPr>
          <w:b w:val="0"/>
          <w:i/>
        </w:rPr>
      </w:pPr>
      <w:r w:rsidRPr="0066286C">
        <w:rPr>
          <w:b w:val="0"/>
        </w:rPr>
        <w:t>Referuar nenit 68 të Ligjit nr. 9920, datë 19.05.2008 “Për Procedurat Tatimore në RSH”, pika 4 dhe 5, administrata tatimore gëzon të drejtën e kryerjes së vlerësimit tatimor, në rastet kur “...</w:t>
      </w:r>
      <w:r w:rsidRPr="0066286C">
        <w:rPr>
          <w:b w:val="0"/>
          <w:i/>
        </w:rPr>
        <w:t xml:space="preserve">vëren se detyrimi tatimor, i dhënë në deklaratën tatimore, është i pasaktë ose tatimpaguesi nuk ka dorëzuar deklaratë tatimore apo nuk ka paguar detyrimin tatimor”. </w:t>
      </w:r>
    </w:p>
    <w:p w:rsidR="004611AD" w:rsidRPr="0066286C" w:rsidRDefault="004611AD" w:rsidP="00F3184E">
      <w:pPr>
        <w:pStyle w:val="Subtitle"/>
        <w:widowControl w:val="0"/>
        <w:spacing w:line="276" w:lineRule="auto"/>
        <w:jc w:val="both"/>
        <w:rPr>
          <w:b w:val="0"/>
        </w:rPr>
      </w:pPr>
      <w:r>
        <w:rPr>
          <w:b w:val="0"/>
        </w:rPr>
        <w:t>Kjo dispozit</w:t>
      </w:r>
      <w:r w:rsidR="00F3184E">
        <w:rPr>
          <w:b w:val="0"/>
        </w:rPr>
        <w:t>ë</w:t>
      </w:r>
      <w:r>
        <w:rPr>
          <w:b w:val="0"/>
        </w:rPr>
        <w:t xml:space="preserve"> i jep t</w:t>
      </w:r>
      <w:r w:rsidR="00F3184E">
        <w:rPr>
          <w:b w:val="0"/>
        </w:rPr>
        <w:t>ë</w:t>
      </w:r>
      <w:r>
        <w:rPr>
          <w:b w:val="0"/>
        </w:rPr>
        <w:t xml:space="preserve"> drejt</w:t>
      </w:r>
      <w:r w:rsidR="00F3184E">
        <w:rPr>
          <w:b w:val="0"/>
        </w:rPr>
        <w:t>ë</w:t>
      </w:r>
      <w:r>
        <w:rPr>
          <w:b w:val="0"/>
        </w:rPr>
        <w:t>n administrat</w:t>
      </w:r>
      <w:r w:rsidR="00F3184E">
        <w:rPr>
          <w:b w:val="0"/>
        </w:rPr>
        <w:t>ë</w:t>
      </w:r>
      <w:r>
        <w:rPr>
          <w:b w:val="0"/>
        </w:rPr>
        <w:t>s tatimore t</w:t>
      </w:r>
      <w:r w:rsidR="00F3184E">
        <w:rPr>
          <w:b w:val="0"/>
        </w:rPr>
        <w:t>ë</w:t>
      </w:r>
      <w:r>
        <w:rPr>
          <w:b w:val="0"/>
        </w:rPr>
        <w:t xml:space="preserve"> kryej</w:t>
      </w:r>
      <w:r w:rsidR="00F3184E">
        <w:rPr>
          <w:b w:val="0"/>
        </w:rPr>
        <w:t>ë</w:t>
      </w:r>
      <w:r>
        <w:rPr>
          <w:b w:val="0"/>
        </w:rPr>
        <w:t xml:space="preserve"> vler</w:t>
      </w:r>
      <w:r w:rsidR="00F3184E">
        <w:rPr>
          <w:b w:val="0"/>
        </w:rPr>
        <w:t>ë</w:t>
      </w:r>
      <w:r>
        <w:rPr>
          <w:b w:val="0"/>
        </w:rPr>
        <w:t>sim n</w:t>
      </w:r>
      <w:r w:rsidR="00F3184E">
        <w:rPr>
          <w:b w:val="0"/>
        </w:rPr>
        <w:t>ë</w:t>
      </w:r>
      <w:r>
        <w:rPr>
          <w:b w:val="0"/>
        </w:rPr>
        <w:t>se konstaton q</w:t>
      </w:r>
      <w:r w:rsidR="00F3184E">
        <w:rPr>
          <w:b w:val="0"/>
        </w:rPr>
        <w:t>ë</w:t>
      </w:r>
      <w:r>
        <w:rPr>
          <w:b w:val="0"/>
        </w:rPr>
        <w:t xml:space="preserve"> detyrimi tatimor i dh</w:t>
      </w:r>
      <w:r w:rsidR="00F3184E">
        <w:rPr>
          <w:b w:val="0"/>
        </w:rPr>
        <w:t>ë</w:t>
      </w:r>
      <w:r>
        <w:rPr>
          <w:b w:val="0"/>
        </w:rPr>
        <w:t>n</w:t>
      </w:r>
      <w:r w:rsidR="00F3184E">
        <w:rPr>
          <w:b w:val="0"/>
        </w:rPr>
        <w:t>ë</w:t>
      </w:r>
      <w:r>
        <w:rPr>
          <w:b w:val="0"/>
        </w:rPr>
        <w:t xml:space="preserve"> n</w:t>
      </w:r>
      <w:r w:rsidR="00F3184E">
        <w:rPr>
          <w:b w:val="0"/>
        </w:rPr>
        <w:t>ë</w:t>
      </w:r>
      <w:r>
        <w:rPr>
          <w:b w:val="0"/>
        </w:rPr>
        <w:t xml:space="preserve"> deklarat</w:t>
      </w:r>
      <w:r w:rsidR="00F3184E">
        <w:rPr>
          <w:b w:val="0"/>
        </w:rPr>
        <w:t>ë</w:t>
      </w:r>
      <w:r>
        <w:rPr>
          <w:b w:val="0"/>
        </w:rPr>
        <w:t xml:space="preserve">n tatimore nga tatimpaguesi, </w:t>
      </w:r>
      <w:r w:rsidR="00F3184E">
        <w:rPr>
          <w:b w:val="0"/>
        </w:rPr>
        <w:t>ë</w:t>
      </w:r>
      <w:r>
        <w:rPr>
          <w:b w:val="0"/>
        </w:rPr>
        <w:t>sht</w:t>
      </w:r>
      <w:r w:rsidR="00F3184E">
        <w:rPr>
          <w:b w:val="0"/>
        </w:rPr>
        <w:t>ë</w:t>
      </w:r>
      <w:r>
        <w:rPr>
          <w:b w:val="0"/>
        </w:rPr>
        <w:t xml:space="preserve"> i pasakt</w:t>
      </w:r>
      <w:r w:rsidR="00F3184E">
        <w:rPr>
          <w:b w:val="0"/>
        </w:rPr>
        <w:t>ë</w:t>
      </w:r>
      <w:r>
        <w:rPr>
          <w:b w:val="0"/>
        </w:rPr>
        <w:t>. Ky vler</w:t>
      </w:r>
      <w:r w:rsidR="00F3184E">
        <w:rPr>
          <w:b w:val="0"/>
        </w:rPr>
        <w:t>ë</w:t>
      </w:r>
      <w:r>
        <w:rPr>
          <w:b w:val="0"/>
        </w:rPr>
        <w:t xml:space="preserve">sim </w:t>
      </w:r>
      <w:r w:rsidRPr="0066286C">
        <w:rPr>
          <w:b w:val="0"/>
        </w:rPr>
        <w:t xml:space="preserve">bazohet në: </w:t>
      </w:r>
    </w:p>
    <w:p w:rsidR="004611AD" w:rsidRPr="0066286C" w:rsidRDefault="004611AD" w:rsidP="00F3184E">
      <w:pPr>
        <w:pStyle w:val="Subtitle"/>
        <w:widowControl w:val="0"/>
        <w:spacing w:line="276" w:lineRule="auto"/>
        <w:jc w:val="both"/>
        <w:rPr>
          <w:b w:val="0"/>
          <w:i/>
        </w:rPr>
      </w:pPr>
      <w:r w:rsidRPr="0066286C">
        <w:rPr>
          <w:b w:val="0"/>
          <w:i/>
        </w:rPr>
        <w:t>“a)</w:t>
      </w:r>
      <w:r w:rsidRPr="0066286C">
        <w:rPr>
          <w:b w:val="0"/>
          <w:i/>
        </w:rPr>
        <w:tab/>
        <w:t xml:space="preserve">informacionin, që përmban deklarata tatimore e tatimpaguesit; </w:t>
      </w:r>
    </w:p>
    <w:p w:rsidR="004611AD" w:rsidRPr="0066286C" w:rsidRDefault="004611AD" w:rsidP="00F3184E">
      <w:pPr>
        <w:pStyle w:val="Subtitle"/>
        <w:widowControl w:val="0"/>
        <w:spacing w:line="276" w:lineRule="auto"/>
        <w:jc w:val="both"/>
        <w:rPr>
          <w:b w:val="0"/>
          <w:i/>
        </w:rPr>
      </w:pPr>
      <w:r w:rsidRPr="0066286C">
        <w:rPr>
          <w:b w:val="0"/>
          <w:i/>
        </w:rPr>
        <w:t>b)</w:t>
      </w:r>
      <w:r w:rsidRPr="0066286C">
        <w:rPr>
          <w:b w:val="0"/>
          <w:i/>
        </w:rPr>
        <w:tab/>
        <w:t xml:space="preserve">rezultatet e një kontrolli, në përputhje me kreun X të këtij ligji; </w:t>
      </w:r>
    </w:p>
    <w:p w:rsidR="004611AD" w:rsidRPr="0066286C" w:rsidRDefault="004611AD" w:rsidP="00F3184E">
      <w:pPr>
        <w:pStyle w:val="Subtitle"/>
        <w:widowControl w:val="0"/>
        <w:spacing w:line="276" w:lineRule="auto"/>
        <w:jc w:val="both"/>
        <w:rPr>
          <w:b w:val="0"/>
        </w:rPr>
      </w:pPr>
      <w:r w:rsidRPr="0066286C">
        <w:rPr>
          <w:b w:val="0"/>
          <w:i/>
        </w:rPr>
        <w:lastRenderedPageBreak/>
        <w:t>c)</w:t>
      </w:r>
      <w:r w:rsidRPr="0066286C">
        <w:rPr>
          <w:b w:val="0"/>
          <w:i/>
        </w:rPr>
        <w:tab/>
        <w:t>mënyrat alternative të vlerësimit, të parashikuara në nenin 72 të këtij ligji</w:t>
      </w:r>
      <w:r w:rsidRPr="0066286C">
        <w:rPr>
          <w:b w:val="0"/>
        </w:rPr>
        <w:t>”</w:t>
      </w:r>
    </w:p>
    <w:p w:rsidR="004611AD" w:rsidRDefault="004611AD" w:rsidP="00F3184E">
      <w:pPr>
        <w:pStyle w:val="Subtitle"/>
        <w:widowControl w:val="0"/>
        <w:spacing w:line="276" w:lineRule="auto"/>
        <w:jc w:val="both"/>
        <w:rPr>
          <w:b w:val="0"/>
        </w:rPr>
      </w:pPr>
    </w:p>
    <w:p w:rsidR="004611AD" w:rsidRDefault="004611AD" w:rsidP="00F3184E">
      <w:pPr>
        <w:pStyle w:val="Subtitle"/>
        <w:widowControl w:val="0"/>
        <w:spacing w:line="276" w:lineRule="auto"/>
        <w:jc w:val="both"/>
        <w:rPr>
          <w:b w:val="0"/>
        </w:rPr>
      </w:pPr>
      <w:r w:rsidRPr="0066286C">
        <w:rPr>
          <w:b w:val="0"/>
        </w:rPr>
        <w:t xml:space="preserve">Nga shqyrtimi i mënyrës së vlerësimit </w:t>
      </w:r>
      <w:r>
        <w:rPr>
          <w:b w:val="0"/>
        </w:rPr>
        <w:t>t</w:t>
      </w:r>
      <w:r w:rsidR="00F3184E">
        <w:rPr>
          <w:b w:val="0"/>
        </w:rPr>
        <w:t>ë</w:t>
      </w:r>
      <w:r>
        <w:rPr>
          <w:b w:val="0"/>
        </w:rPr>
        <w:t xml:space="preserve"> kryer dhe fakteve t</w:t>
      </w:r>
      <w:r w:rsidR="00F3184E">
        <w:rPr>
          <w:b w:val="0"/>
        </w:rPr>
        <w:t>ë</w:t>
      </w:r>
      <w:r>
        <w:rPr>
          <w:b w:val="0"/>
        </w:rPr>
        <w:t xml:space="preserve"> p</w:t>
      </w:r>
      <w:r w:rsidR="00F3184E">
        <w:rPr>
          <w:b w:val="0"/>
        </w:rPr>
        <w:t>ë</w:t>
      </w:r>
      <w:r>
        <w:rPr>
          <w:b w:val="0"/>
        </w:rPr>
        <w:t>rdorura p</w:t>
      </w:r>
      <w:r w:rsidR="00F3184E">
        <w:rPr>
          <w:b w:val="0"/>
        </w:rPr>
        <w:t>ë</w:t>
      </w:r>
      <w:r>
        <w:rPr>
          <w:b w:val="0"/>
        </w:rPr>
        <w:t>r k</w:t>
      </w:r>
      <w:r w:rsidR="00F3184E">
        <w:rPr>
          <w:b w:val="0"/>
        </w:rPr>
        <w:t>ë</w:t>
      </w:r>
      <w:r>
        <w:rPr>
          <w:b w:val="0"/>
        </w:rPr>
        <w:t>t</w:t>
      </w:r>
      <w:r w:rsidR="00F3184E">
        <w:rPr>
          <w:b w:val="0"/>
        </w:rPr>
        <w:t>ë</w:t>
      </w:r>
      <w:r>
        <w:rPr>
          <w:b w:val="0"/>
        </w:rPr>
        <w:t xml:space="preserve"> vler</w:t>
      </w:r>
      <w:r w:rsidR="00F3184E">
        <w:rPr>
          <w:b w:val="0"/>
        </w:rPr>
        <w:t>ë</w:t>
      </w:r>
      <w:r>
        <w:rPr>
          <w:b w:val="0"/>
        </w:rPr>
        <w:t>sim</w:t>
      </w:r>
      <w:r w:rsidRPr="0066286C">
        <w:rPr>
          <w:b w:val="0"/>
        </w:rPr>
        <w:t xml:space="preserve">, Drejtoria e Apelimit Tatimor çmon se vlerësimi i kryer nuk mund të konsiderohet tjetër përveç se vlerësim sipas metodave alternative. </w:t>
      </w:r>
      <w:r>
        <w:rPr>
          <w:b w:val="0"/>
        </w:rPr>
        <w:t xml:space="preserve">Diferenca inventariale e ambalazhit </w:t>
      </w:r>
      <w:r w:rsidRPr="0066286C">
        <w:rPr>
          <w:b w:val="0"/>
        </w:rPr>
        <w:t xml:space="preserve">është </w:t>
      </w:r>
      <w:r>
        <w:rPr>
          <w:b w:val="0"/>
        </w:rPr>
        <w:t>gjykuar nga inspektori i kontrollit si fakt i mjaftuesh</w:t>
      </w:r>
      <w:r w:rsidR="00F3184E">
        <w:rPr>
          <w:b w:val="0"/>
        </w:rPr>
        <w:t>ë</w:t>
      </w:r>
      <w:r>
        <w:rPr>
          <w:b w:val="0"/>
        </w:rPr>
        <w:t>m p</w:t>
      </w:r>
      <w:r w:rsidR="00F3184E">
        <w:rPr>
          <w:b w:val="0"/>
        </w:rPr>
        <w:t>ë</w:t>
      </w:r>
      <w:r>
        <w:rPr>
          <w:b w:val="0"/>
        </w:rPr>
        <w:t>r v</w:t>
      </w:r>
      <w:r w:rsidR="00F3184E">
        <w:rPr>
          <w:b w:val="0"/>
        </w:rPr>
        <w:t>ë</w:t>
      </w:r>
      <w:r>
        <w:rPr>
          <w:b w:val="0"/>
        </w:rPr>
        <w:t>rtetuar q</w:t>
      </w:r>
      <w:r w:rsidR="00F3184E">
        <w:rPr>
          <w:b w:val="0"/>
        </w:rPr>
        <w:t>ë</w:t>
      </w:r>
      <w:r>
        <w:rPr>
          <w:b w:val="0"/>
        </w:rPr>
        <w:t xml:space="preserve"> deklarimet e shoq</w:t>
      </w:r>
      <w:r w:rsidR="00F3184E">
        <w:rPr>
          <w:b w:val="0"/>
        </w:rPr>
        <w:t>ë</w:t>
      </w:r>
      <w:r>
        <w:rPr>
          <w:b w:val="0"/>
        </w:rPr>
        <w:t>ris</w:t>
      </w:r>
      <w:r w:rsidR="00F3184E">
        <w:rPr>
          <w:b w:val="0"/>
        </w:rPr>
        <w:t>ë</w:t>
      </w:r>
      <w:r>
        <w:rPr>
          <w:b w:val="0"/>
        </w:rPr>
        <w:t xml:space="preserve"> n</w:t>
      </w:r>
      <w:r w:rsidR="00F3184E">
        <w:rPr>
          <w:b w:val="0"/>
        </w:rPr>
        <w:t>ë</w:t>
      </w:r>
      <w:r>
        <w:rPr>
          <w:b w:val="0"/>
        </w:rPr>
        <w:t xml:space="preserve"> lidhje me sasit</w:t>
      </w:r>
      <w:r w:rsidR="00F3184E">
        <w:rPr>
          <w:b w:val="0"/>
        </w:rPr>
        <w:t>ë</w:t>
      </w:r>
      <w:r>
        <w:rPr>
          <w:b w:val="0"/>
        </w:rPr>
        <w:t xml:space="preserve"> e deklaruara t</w:t>
      </w:r>
      <w:r w:rsidR="00F3184E">
        <w:rPr>
          <w:b w:val="0"/>
        </w:rPr>
        <w:t>ë</w:t>
      </w:r>
      <w:r>
        <w:rPr>
          <w:b w:val="0"/>
        </w:rPr>
        <w:t xml:space="preserve"> shitura t</w:t>
      </w:r>
      <w:r w:rsidR="00F3184E">
        <w:rPr>
          <w:b w:val="0"/>
        </w:rPr>
        <w:t>ë</w:t>
      </w:r>
      <w:r>
        <w:rPr>
          <w:b w:val="0"/>
        </w:rPr>
        <w:t xml:space="preserve"> mjaltit jan</w:t>
      </w:r>
      <w:r w:rsidR="00F3184E">
        <w:rPr>
          <w:b w:val="0"/>
        </w:rPr>
        <w:t>ë</w:t>
      </w:r>
      <w:r>
        <w:rPr>
          <w:b w:val="0"/>
        </w:rPr>
        <w:t xml:space="preserve"> t</w:t>
      </w:r>
      <w:r w:rsidR="00F3184E">
        <w:rPr>
          <w:b w:val="0"/>
        </w:rPr>
        <w:t>ë</w:t>
      </w:r>
      <w:r>
        <w:rPr>
          <w:b w:val="0"/>
        </w:rPr>
        <w:t xml:space="preserve"> pasakta. Bazuar n</w:t>
      </w:r>
      <w:r w:rsidR="00F3184E">
        <w:rPr>
          <w:b w:val="0"/>
        </w:rPr>
        <w:t>ë</w:t>
      </w:r>
      <w:r>
        <w:rPr>
          <w:b w:val="0"/>
        </w:rPr>
        <w:t xml:space="preserve"> k</w:t>
      </w:r>
      <w:r w:rsidR="00F3184E">
        <w:rPr>
          <w:b w:val="0"/>
        </w:rPr>
        <w:t>ë</w:t>
      </w:r>
      <w:r>
        <w:rPr>
          <w:b w:val="0"/>
        </w:rPr>
        <w:t>t</w:t>
      </w:r>
      <w:r w:rsidR="00F3184E">
        <w:rPr>
          <w:b w:val="0"/>
        </w:rPr>
        <w:t>ë</w:t>
      </w:r>
      <w:r>
        <w:rPr>
          <w:b w:val="0"/>
        </w:rPr>
        <w:t xml:space="preserve"> fakt, inspektori ka gjykuar q</w:t>
      </w:r>
      <w:r w:rsidR="00F3184E">
        <w:rPr>
          <w:b w:val="0"/>
        </w:rPr>
        <w:t>ë</w:t>
      </w:r>
      <w:r>
        <w:rPr>
          <w:b w:val="0"/>
        </w:rPr>
        <w:t xml:space="preserve"> shoq</w:t>
      </w:r>
      <w:r w:rsidR="00F3184E">
        <w:rPr>
          <w:b w:val="0"/>
        </w:rPr>
        <w:t>ë</w:t>
      </w:r>
      <w:r>
        <w:rPr>
          <w:b w:val="0"/>
        </w:rPr>
        <w:t>ris</w:t>
      </w:r>
      <w:r w:rsidR="00F3184E">
        <w:rPr>
          <w:b w:val="0"/>
        </w:rPr>
        <w:t>ë</w:t>
      </w:r>
      <w:r>
        <w:rPr>
          <w:b w:val="0"/>
        </w:rPr>
        <w:t xml:space="preserve"> duhet t’i kryhet vler</w:t>
      </w:r>
      <w:r w:rsidR="00F3184E">
        <w:rPr>
          <w:b w:val="0"/>
        </w:rPr>
        <w:t>ë</w:t>
      </w:r>
      <w:r>
        <w:rPr>
          <w:b w:val="0"/>
        </w:rPr>
        <w:t>sim tatimor alternativ (ndon</w:t>
      </w:r>
      <w:r w:rsidR="00F3184E">
        <w:rPr>
          <w:b w:val="0"/>
        </w:rPr>
        <w:t>ë</w:t>
      </w:r>
      <w:r>
        <w:rPr>
          <w:b w:val="0"/>
        </w:rPr>
        <w:t>se n</w:t>
      </w:r>
      <w:r w:rsidR="00F3184E">
        <w:rPr>
          <w:b w:val="0"/>
        </w:rPr>
        <w:t>ë</w:t>
      </w:r>
      <w:r>
        <w:rPr>
          <w:b w:val="0"/>
        </w:rPr>
        <w:t xml:space="preserve"> raportin e kontrollit nuk </w:t>
      </w:r>
      <w:r w:rsidR="00F3184E">
        <w:rPr>
          <w:b w:val="0"/>
        </w:rPr>
        <w:t>ë</w:t>
      </w:r>
      <w:r>
        <w:rPr>
          <w:b w:val="0"/>
        </w:rPr>
        <w:t>sht</w:t>
      </w:r>
      <w:r w:rsidR="00F3184E">
        <w:rPr>
          <w:b w:val="0"/>
        </w:rPr>
        <w:t>ë</w:t>
      </w:r>
      <w:r>
        <w:rPr>
          <w:b w:val="0"/>
        </w:rPr>
        <w:t xml:space="preserve"> trajtuar si i till</w:t>
      </w:r>
      <w:r w:rsidR="00F3184E">
        <w:rPr>
          <w:b w:val="0"/>
        </w:rPr>
        <w:t>ë</w:t>
      </w:r>
      <w:r>
        <w:rPr>
          <w:b w:val="0"/>
        </w:rPr>
        <w:t>), duke i konsideruar diferencat inventariale t</w:t>
      </w:r>
      <w:r w:rsidR="00F3184E">
        <w:rPr>
          <w:b w:val="0"/>
        </w:rPr>
        <w:t>ë</w:t>
      </w:r>
      <w:r>
        <w:rPr>
          <w:b w:val="0"/>
        </w:rPr>
        <w:t xml:space="preserve"> ambalazhit edhe si diferenc</w:t>
      </w:r>
      <w:r w:rsidR="00F3184E">
        <w:rPr>
          <w:b w:val="0"/>
        </w:rPr>
        <w:t>ë</w:t>
      </w:r>
      <w:r>
        <w:rPr>
          <w:b w:val="0"/>
        </w:rPr>
        <w:t xml:space="preserve"> e sasis</w:t>
      </w:r>
      <w:r w:rsidR="00F3184E">
        <w:rPr>
          <w:b w:val="0"/>
        </w:rPr>
        <w:t>ë</w:t>
      </w:r>
      <w:r>
        <w:rPr>
          <w:b w:val="0"/>
        </w:rPr>
        <w:t xml:space="preserve"> s</w:t>
      </w:r>
      <w:r w:rsidR="00F3184E">
        <w:rPr>
          <w:b w:val="0"/>
        </w:rPr>
        <w:t>ë</w:t>
      </w:r>
      <w:r>
        <w:rPr>
          <w:b w:val="0"/>
        </w:rPr>
        <w:t xml:space="preserve"> mjaltit t</w:t>
      </w:r>
      <w:r w:rsidR="00F3184E">
        <w:rPr>
          <w:b w:val="0"/>
        </w:rPr>
        <w:t>ë</w:t>
      </w:r>
      <w:r>
        <w:rPr>
          <w:b w:val="0"/>
        </w:rPr>
        <w:t xml:space="preserve"> shitur realisht nga shoq</w:t>
      </w:r>
      <w:r w:rsidR="00F3184E">
        <w:rPr>
          <w:b w:val="0"/>
        </w:rPr>
        <w:t>ë</w:t>
      </w:r>
      <w:r>
        <w:rPr>
          <w:b w:val="0"/>
        </w:rPr>
        <w:t>ria dhe t</w:t>
      </w:r>
      <w:r w:rsidR="00F3184E">
        <w:rPr>
          <w:b w:val="0"/>
        </w:rPr>
        <w:t>ë</w:t>
      </w:r>
      <w:r>
        <w:rPr>
          <w:b w:val="0"/>
        </w:rPr>
        <w:t xml:space="preserve"> padeklaruar prej saj. N</w:t>
      </w:r>
      <w:r w:rsidR="00F3184E">
        <w:rPr>
          <w:b w:val="0"/>
        </w:rPr>
        <w:t>ë</w:t>
      </w:r>
      <w:r>
        <w:rPr>
          <w:b w:val="0"/>
        </w:rPr>
        <w:t xml:space="preserve"> vijim, p</w:t>
      </w:r>
      <w:r w:rsidR="00F3184E">
        <w:rPr>
          <w:b w:val="0"/>
        </w:rPr>
        <w:t>ë</w:t>
      </w:r>
      <w:r>
        <w:rPr>
          <w:b w:val="0"/>
        </w:rPr>
        <w:t>r sasin</w:t>
      </w:r>
      <w:r w:rsidR="00F3184E">
        <w:rPr>
          <w:b w:val="0"/>
        </w:rPr>
        <w:t>ë</w:t>
      </w:r>
      <w:r>
        <w:rPr>
          <w:b w:val="0"/>
        </w:rPr>
        <w:t xml:space="preserve"> e  mjaltit q</w:t>
      </w:r>
      <w:r w:rsidR="00F3184E">
        <w:rPr>
          <w:b w:val="0"/>
        </w:rPr>
        <w:t>ë</w:t>
      </w:r>
      <w:r>
        <w:rPr>
          <w:b w:val="0"/>
        </w:rPr>
        <w:t xml:space="preserve"> mund t</w:t>
      </w:r>
      <w:r w:rsidR="00F3184E">
        <w:rPr>
          <w:b w:val="0"/>
        </w:rPr>
        <w:t>ë</w:t>
      </w:r>
      <w:r>
        <w:rPr>
          <w:b w:val="0"/>
        </w:rPr>
        <w:t xml:space="preserve"> ambalazhohet n</w:t>
      </w:r>
      <w:r w:rsidR="00F3184E">
        <w:rPr>
          <w:b w:val="0"/>
        </w:rPr>
        <w:t>ë</w:t>
      </w:r>
      <w:r>
        <w:rPr>
          <w:b w:val="0"/>
        </w:rPr>
        <w:t>p</w:t>
      </w:r>
      <w:r w:rsidR="00F3184E">
        <w:rPr>
          <w:b w:val="0"/>
        </w:rPr>
        <w:t>ë</w:t>
      </w:r>
      <w:r>
        <w:rPr>
          <w:b w:val="0"/>
        </w:rPr>
        <w:t>rmjet kavanozave t</w:t>
      </w:r>
      <w:r w:rsidR="00F3184E">
        <w:rPr>
          <w:b w:val="0"/>
        </w:rPr>
        <w:t>ë</w:t>
      </w:r>
      <w:r>
        <w:rPr>
          <w:b w:val="0"/>
        </w:rPr>
        <w:t xml:space="preserve"> cilat nuk kan</w:t>
      </w:r>
      <w:r w:rsidR="00F3184E">
        <w:rPr>
          <w:b w:val="0"/>
        </w:rPr>
        <w:t>ë</w:t>
      </w:r>
      <w:r>
        <w:rPr>
          <w:b w:val="0"/>
        </w:rPr>
        <w:t xml:space="preserve"> q</w:t>
      </w:r>
      <w:r w:rsidR="00F3184E">
        <w:rPr>
          <w:b w:val="0"/>
        </w:rPr>
        <w:t>ë</w:t>
      </w:r>
      <w:r>
        <w:rPr>
          <w:b w:val="0"/>
        </w:rPr>
        <w:t>n</w:t>
      </w:r>
      <w:r w:rsidR="00F3184E">
        <w:rPr>
          <w:b w:val="0"/>
        </w:rPr>
        <w:t>ë</w:t>
      </w:r>
      <w:r>
        <w:rPr>
          <w:b w:val="0"/>
        </w:rPr>
        <w:t xml:space="preserve"> gjendje fizike, 2275 kg mjalt, jan</w:t>
      </w:r>
      <w:r w:rsidR="00F3184E">
        <w:rPr>
          <w:b w:val="0"/>
        </w:rPr>
        <w:t>ë</w:t>
      </w:r>
      <w:r>
        <w:rPr>
          <w:b w:val="0"/>
        </w:rPr>
        <w:t xml:space="preserve"> </w:t>
      </w:r>
      <w:r w:rsidRPr="0066286C">
        <w:rPr>
          <w:b w:val="0"/>
        </w:rPr>
        <w:t>rritur të ardhurat e shoqërisë</w:t>
      </w:r>
      <w:r>
        <w:rPr>
          <w:b w:val="0"/>
        </w:rPr>
        <w:t>, bazuar n</w:t>
      </w:r>
      <w:r w:rsidR="00F3184E">
        <w:rPr>
          <w:b w:val="0"/>
        </w:rPr>
        <w:t>ë</w:t>
      </w:r>
      <w:r>
        <w:rPr>
          <w:b w:val="0"/>
        </w:rPr>
        <w:t xml:space="preserve"> çmimin mesatar t</w:t>
      </w:r>
      <w:r w:rsidR="00F3184E">
        <w:rPr>
          <w:b w:val="0"/>
        </w:rPr>
        <w:t>ë</w:t>
      </w:r>
      <w:r>
        <w:rPr>
          <w:b w:val="0"/>
        </w:rPr>
        <w:t xml:space="preserve"> mjaltit,</w:t>
      </w:r>
      <w:r w:rsidRPr="0066286C">
        <w:rPr>
          <w:b w:val="0"/>
        </w:rPr>
        <w:t xml:space="preserve"> në vlerën </w:t>
      </w:r>
      <w:r>
        <w:rPr>
          <w:b w:val="0"/>
        </w:rPr>
        <w:t>2.275.000</w:t>
      </w:r>
      <w:r w:rsidRPr="0066286C">
        <w:rPr>
          <w:b w:val="0"/>
        </w:rPr>
        <w:t xml:space="preserve"> lekë. </w:t>
      </w:r>
    </w:p>
    <w:p w:rsidR="004611AD" w:rsidRPr="0066286C" w:rsidRDefault="004611AD" w:rsidP="00F3184E">
      <w:pPr>
        <w:pStyle w:val="Subtitle"/>
        <w:widowControl w:val="0"/>
        <w:spacing w:line="276" w:lineRule="auto"/>
        <w:jc w:val="both"/>
        <w:rPr>
          <w:b w:val="0"/>
        </w:rPr>
      </w:pPr>
    </w:p>
    <w:p w:rsidR="0066286C" w:rsidRPr="0066286C" w:rsidRDefault="0066286C" w:rsidP="00F3184E">
      <w:pPr>
        <w:pStyle w:val="Subtitle"/>
        <w:widowControl w:val="0"/>
        <w:spacing w:line="276" w:lineRule="auto"/>
        <w:jc w:val="both"/>
        <w:rPr>
          <w:b w:val="0"/>
        </w:rPr>
      </w:pPr>
      <w:r w:rsidRPr="0066286C">
        <w:rPr>
          <w:b w:val="0"/>
        </w:rPr>
        <w:t>Referuar të dhënave dhe procedurës të vlerësimit të kryer, Drejtoria e Apelimit Tatimor çmon se ky vlerësim është mbështetur në metodën alternative të vleresimit, konkretisht nenit 71, pika 1, gërma (b), ku citojmë “</w:t>
      </w:r>
      <w:r w:rsidRPr="0066286C">
        <w:rPr>
          <w:b w:val="0"/>
          <w:i/>
        </w:rPr>
        <w:t>Administrata tatimore ka të drejtë të përdorë mënyra alternative vlerësimi të detyrimit tatimor të tatimpaguesit dhe të nxjerrë një vlerësim, në rastet kur deklarata tatimore përmban të dhëna të pasakta ose të falsifikuara</w:t>
      </w:r>
      <w:r w:rsidRPr="0066286C">
        <w:rPr>
          <w:b w:val="0"/>
        </w:rPr>
        <w:t>”. Inspektori i kontrollit ka kryer vlerësimin tatimor pasi ka konstatuar se deklarata tatimore përmban të dhëna të pasakta (</w:t>
      </w:r>
      <w:r w:rsidR="00180072">
        <w:rPr>
          <w:b w:val="0"/>
        </w:rPr>
        <w:t>ka rezultuar diferenc</w:t>
      </w:r>
      <w:r w:rsidR="00180072" w:rsidRPr="00180072">
        <w:rPr>
          <w:b w:val="0"/>
        </w:rPr>
        <w:t>ë</w:t>
      </w:r>
      <w:r w:rsidR="00180072">
        <w:rPr>
          <w:b w:val="0"/>
        </w:rPr>
        <w:t xml:space="preserve"> n</w:t>
      </w:r>
      <w:r w:rsidR="00180072" w:rsidRPr="00180072">
        <w:rPr>
          <w:b w:val="0"/>
        </w:rPr>
        <w:t>ë</w:t>
      </w:r>
      <w:r w:rsidR="00180072">
        <w:rPr>
          <w:b w:val="0"/>
        </w:rPr>
        <w:t xml:space="preserve"> ambalazh</w:t>
      </w:r>
      <w:r w:rsidR="00BC50F4">
        <w:rPr>
          <w:b w:val="0"/>
        </w:rPr>
        <w:t>in n</w:t>
      </w:r>
      <w:r w:rsidR="00F3184E">
        <w:rPr>
          <w:b w:val="0"/>
        </w:rPr>
        <w:t>ë</w:t>
      </w:r>
      <w:r w:rsidR="00BC50F4">
        <w:rPr>
          <w:b w:val="0"/>
        </w:rPr>
        <w:t>p</w:t>
      </w:r>
      <w:r w:rsidR="00F3184E">
        <w:rPr>
          <w:b w:val="0"/>
        </w:rPr>
        <w:t>ë</w:t>
      </w:r>
      <w:r w:rsidR="00BC50F4">
        <w:rPr>
          <w:b w:val="0"/>
        </w:rPr>
        <w:t>rmjet t</w:t>
      </w:r>
      <w:r w:rsidR="00F3184E">
        <w:rPr>
          <w:b w:val="0"/>
        </w:rPr>
        <w:t>ë</w:t>
      </w:r>
      <w:r w:rsidR="00BC50F4">
        <w:rPr>
          <w:b w:val="0"/>
        </w:rPr>
        <w:t xml:space="preserve"> cilit shitet mjalti</w:t>
      </w:r>
      <w:r w:rsidRPr="0066286C">
        <w:rPr>
          <w:b w:val="0"/>
        </w:rPr>
        <w:t>). Ky vlerësim është mbështetur në të dhënat që gjenden në dokumentacionin e tatimpaguesit, referuar nenit 72, pika 1, gërma (a), ku citojmë</w:t>
      </w:r>
      <w:r w:rsidRPr="0066286C">
        <w:rPr>
          <w:b w:val="0"/>
          <w:i/>
        </w:rPr>
        <w:t>“Mënyrat alternative të vlerësimit nuk kufizohen, por bazohen në... të dhëna të drejtpërdrejta, që gjenden në deklaratat tatimore ose në dokumentet apo në një informacion tjetër, dhënë nga tatimpaguesi”.</w:t>
      </w:r>
    </w:p>
    <w:p w:rsidR="00BC50F4" w:rsidRDefault="00BC50F4" w:rsidP="00F3184E">
      <w:pPr>
        <w:pStyle w:val="Subtitle"/>
        <w:widowControl w:val="0"/>
        <w:spacing w:line="276" w:lineRule="auto"/>
        <w:jc w:val="both"/>
        <w:rPr>
          <w:b w:val="0"/>
        </w:rPr>
      </w:pPr>
    </w:p>
    <w:p w:rsidR="0066286C" w:rsidRPr="0066286C" w:rsidRDefault="0066286C" w:rsidP="00F3184E">
      <w:pPr>
        <w:pStyle w:val="Subtitle"/>
        <w:widowControl w:val="0"/>
        <w:spacing w:line="276" w:lineRule="auto"/>
        <w:jc w:val="both"/>
        <w:rPr>
          <w:b w:val="0"/>
        </w:rPr>
      </w:pPr>
      <w:r w:rsidRPr="0066286C">
        <w:rPr>
          <w:b w:val="0"/>
        </w:rPr>
        <w:t xml:space="preserve">Pra, vlerësimi tatimor konsiderohet sipas metodave alternative pasi </w:t>
      </w:r>
      <w:r w:rsidR="00AC4385">
        <w:rPr>
          <w:b w:val="0"/>
        </w:rPr>
        <w:t>munges</w:t>
      </w:r>
      <w:r w:rsidR="00AC4385" w:rsidRPr="00AC4385">
        <w:rPr>
          <w:b w:val="0"/>
        </w:rPr>
        <w:t>ë</w:t>
      </w:r>
      <w:r w:rsidR="00AC4385">
        <w:rPr>
          <w:b w:val="0"/>
        </w:rPr>
        <w:t>n e ambalazhit</w:t>
      </w:r>
      <w:r w:rsidR="00BC50F4">
        <w:rPr>
          <w:b w:val="0"/>
        </w:rPr>
        <w:t>, inspektori i kontrollit</w:t>
      </w:r>
      <w:r w:rsidRPr="0066286C">
        <w:rPr>
          <w:b w:val="0"/>
        </w:rPr>
        <w:t xml:space="preserve"> e ka </w:t>
      </w:r>
      <w:r w:rsidR="00BC50F4">
        <w:rPr>
          <w:b w:val="0"/>
        </w:rPr>
        <w:t>cil</w:t>
      </w:r>
      <w:r w:rsidR="00F3184E">
        <w:rPr>
          <w:b w:val="0"/>
        </w:rPr>
        <w:t>ë</w:t>
      </w:r>
      <w:r w:rsidR="00BC50F4">
        <w:rPr>
          <w:b w:val="0"/>
        </w:rPr>
        <w:t>suar automatikisht mjalt t</w:t>
      </w:r>
      <w:r w:rsidR="00F3184E">
        <w:rPr>
          <w:b w:val="0"/>
        </w:rPr>
        <w:t>ë</w:t>
      </w:r>
      <w:r w:rsidR="00BC50F4">
        <w:rPr>
          <w:b w:val="0"/>
        </w:rPr>
        <w:t xml:space="preserve"> shitur dhe t</w:t>
      </w:r>
      <w:r w:rsidR="00F3184E">
        <w:rPr>
          <w:b w:val="0"/>
        </w:rPr>
        <w:t>ë</w:t>
      </w:r>
      <w:r w:rsidR="00BC50F4">
        <w:rPr>
          <w:b w:val="0"/>
        </w:rPr>
        <w:t xml:space="preserve"> padeklaruar</w:t>
      </w:r>
      <w:r w:rsidR="00E050C5">
        <w:rPr>
          <w:b w:val="0"/>
        </w:rPr>
        <w:t>, duke rritur t</w:t>
      </w:r>
      <w:r w:rsidR="00F3184E">
        <w:rPr>
          <w:b w:val="0"/>
        </w:rPr>
        <w:t>ë</w:t>
      </w:r>
      <w:r w:rsidR="00E050C5">
        <w:rPr>
          <w:b w:val="0"/>
        </w:rPr>
        <w:t xml:space="preserve"> ardhurat e shoq</w:t>
      </w:r>
      <w:r w:rsidR="00F3184E">
        <w:rPr>
          <w:b w:val="0"/>
        </w:rPr>
        <w:t>ë</w:t>
      </w:r>
      <w:r w:rsidR="00E050C5">
        <w:rPr>
          <w:b w:val="0"/>
        </w:rPr>
        <w:t>ris</w:t>
      </w:r>
      <w:r w:rsidR="00F3184E">
        <w:rPr>
          <w:b w:val="0"/>
        </w:rPr>
        <w:t>ë</w:t>
      </w:r>
      <w:r w:rsidR="00BC50F4">
        <w:rPr>
          <w:b w:val="0"/>
        </w:rPr>
        <w:t xml:space="preserve"> </w:t>
      </w:r>
      <w:r w:rsidRPr="0066286C">
        <w:rPr>
          <w:b w:val="0"/>
        </w:rPr>
        <w:t>në vlerë</w:t>
      </w:r>
      <w:r w:rsidR="00E050C5">
        <w:rPr>
          <w:b w:val="0"/>
        </w:rPr>
        <w:t>n</w:t>
      </w:r>
      <w:r w:rsidRPr="0066286C">
        <w:rPr>
          <w:b w:val="0"/>
        </w:rPr>
        <w:t xml:space="preserve"> </w:t>
      </w:r>
      <w:r w:rsidR="00E050C5">
        <w:rPr>
          <w:b w:val="0"/>
        </w:rPr>
        <w:t xml:space="preserve">e </w:t>
      </w:r>
      <w:r w:rsidR="00AC4385">
        <w:rPr>
          <w:b w:val="0"/>
        </w:rPr>
        <w:t>mjalt</w:t>
      </w:r>
      <w:r w:rsidR="00E050C5">
        <w:rPr>
          <w:b w:val="0"/>
        </w:rPr>
        <w:t>it t</w:t>
      </w:r>
      <w:r w:rsidR="00F3184E">
        <w:rPr>
          <w:b w:val="0"/>
        </w:rPr>
        <w:t>ë</w:t>
      </w:r>
      <w:r w:rsidR="00E050C5">
        <w:rPr>
          <w:b w:val="0"/>
        </w:rPr>
        <w:t xml:space="preserve"> vler</w:t>
      </w:r>
      <w:r w:rsidR="00F3184E">
        <w:rPr>
          <w:b w:val="0"/>
        </w:rPr>
        <w:t>ë</w:t>
      </w:r>
      <w:r w:rsidR="00E050C5">
        <w:rPr>
          <w:b w:val="0"/>
        </w:rPr>
        <w:t>suar si t</w:t>
      </w:r>
      <w:r w:rsidR="00F3184E">
        <w:rPr>
          <w:b w:val="0"/>
        </w:rPr>
        <w:t>ë</w:t>
      </w:r>
      <w:r w:rsidR="00E050C5">
        <w:rPr>
          <w:b w:val="0"/>
        </w:rPr>
        <w:t xml:space="preserve"> shitur e padeklaruar</w:t>
      </w:r>
      <w:r w:rsidRPr="0066286C">
        <w:rPr>
          <w:b w:val="0"/>
        </w:rPr>
        <w:t>.</w:t>
      </w:r>
      <w:r w:rsidR="004611AD">
        <w:rPr>
          <w:b w:val="0"/>
        </w:rPr>
        <w:t xml:space="preserve"> Ky vler</w:t>
      </w:r>
      <w:r w:rsidR="00F3184E">
        <w:rPr>
          <w:b w:val="0"/>
        </w:rPr>
        <w:t>ë</w:t>
      </w:r>
      <w:r w:rsidR="004611AD">
        <w:rPr>
          <w:b w:val="0"/>
        </w:rPr>
        <w:t>sim nuk mund t</w:t>
      </w:r>
      <w:r w:rsidR="00F3184E">
        <w:rPr>
          <w:b w:val="0"/>
        </w:rPr>
        <w:t>ë</w:t>
      </w:r>
      <w:r w:rsidR="004611AD">
        <w:rPr>
          <w:b w:val="0"/>
        </w:rPr>
        <w:t xml:space="preserve"> konsiderohet i bazuar n</w:t>
      </w:r>
      <w:r w:rsidR="00F3184E">
        <w:rPr>
          <w:b w:val="0"/>
        </w:rPr>
        <w:t>ë</w:t>
      </w:r>
      <w:r w:rsidR="004611AD">
        <w:rPr>
          <w:b w:val="0"/>
        </w:rPr>
        <w:t xml:space="preserve"> informacionin q</w:t>
      </w:r>
      <w:r w:rsidR="00F3184E">
        <w:rPr>
          <w:b w:val="0"/>
        </w:rPr>
        <w:t>ë</w:t>
      </w:r>
      <w:r w:rsidR="004611AD">
        <w:rPr>
          <w:b w:val="0"/>
        </w:rPr>
        <w:t xml:space="preserve"> p</w:t>
      </w:r>
      <w:r w:rsidR="00F3184E">
        <w:rPr>
          <w:b w:val="0"/>
        </w:rPr>
        <w:t>ë</w:t>
      </w:r>
      <w:r w:rsidR="004611AD">
        <w:rPr>
          <w:b w:val="0"/>
        </w:rPr>
        <w:t>rmban deklarata e tatimpaguesit (g</w:t>
      </w:r>
      <w:r w:rsidR="00F3184E">
        <w:rPr>
          <w:b w:val="0"/>
        </w:rPr>
        <w:t>ë</w:t>
      </w:r>
      <w:r w:rsidR="004611AD">
        <w:rPr>
          <w:b w:val="0"/>
        </w:rPr>
        <w:t>rma (a) e pik</w:t>
      </w:r>
      <w:r w:rsidR="00F3184E">
        <w:rPr>
          <w:b w:val="0"/>
        </w:rPr>
        <w:t>ë</w:t>
      </w:r>
      <w:r w:rsidR="004611AD">
        <w:rPr>
          <w:b w:val="0"/>
        </w:rPr>
        <w:t>s 5 t</w:t>
      </w:r>
      <w:r w:rsidR="00F3184E">
        <w:rPr>
          <w:b w:val="0"/>
        </w:rPr>
        <w:t>ë</w:t>
      </w:r>
      <w:r w:rsidR="004611AD">
        <w:rPr>
          <w:b w:val="0"/>
        </w:rPr>
        <w:t xml:space="preserve"> nenit 68 t</w:t>
      </w:r>
      <w:r w:rsidR="00F3184E">
        <w:rPr>
          <w:b w:val="0"/>
        </w:rPr>
        <w:t>ë</w:t>
      </w:r>
      <w:r w:rsidR="004611AD">
        <w:rPr>
          <w:b w:val="0"/>
        </w:rPr>
        <w:t xml:space="preserve"> Ligjit 9920/2008), as n</w:t>
      </w:r>
      <w:r w:rsidR="00F3184E">
        <w:rPr>
          <w:b w:val="0"/>
        </w:rPr>
        <w:t>ë</w:t>
      </w:r>
      <w:r w:rsidR="004611AD">
        <w:rPr>
          <w:b w:val="0"/>
        </w:rPr>
        <w:t xml:space="preserve"> rezultat e nj</w:t>
      </w:r>
      <w:r w:rsidR="00F3184E">
        <w:rPr>
          <w:b w:val="0"/>
        </w:rPr>
        <w:t>ë</w:t>
      </w:r>
      <w:r w:rsidR="004611AD">
        <w:rPr>
          <w:b w:val="0"/>
        </w:rPr>
        <w:t xml:space="preserve"> kontrolli (g</w:t>
      </w:r>
      <w:r w:rsidR="00F3184E">
        <w:rPr>
          <w:b w:val="0"/>
        </w:rPr>
        <w:t>ë</w:t>
      </w:r>
      <w:r w:rsidR="004611AD">
        <w:rPr>
          <w:b w:val="0"/>
        </w:rPr>
        <w:t>rma (b) e pik</w:t>
      </w:r>
      <w:r w:rsidR="00F3184E">
        <w:rPr>
          <w:b w:val="0"/>
        </w:rPr>
        <w:t>ë</w:t>
      </w:r>
      <w:r w:rsidR="004611AD">
        <w:rPr>
          <w:b w:val="0"/>
        </w:rPr>
        <w:t>s 5 t</w:t>
      </w:r>
      <w:r w:rsidR="00F3184E">
        <w:rPr>
          <w:b w:val="0"/>
        </w:rPr>
        <w:t>ë</w:t>
      </w:r>
      <w:r w:rsidR="004611AD">
        <w:rPr>
          <w:b w:val="0"/>
        </w:rPr>
        <w:t xml:space="preserve"> nenit 68 t</w:t>
      </w:r>
      <w:r w:rsidR="00F3184E">
        <w:rPr>
          <w:b w:val="0"/>
        </w:rPr>
        <w:t>ë</w:t>
      </w:r>
      <w:r w:rsidR="004611AD">
        <w:rPr>
          <w:b w:val="0"/>
        </w:rPr>
        <w:t xml:space="preserve"> Ligjit 9920/2008). Inspektori i kontrollit ka vler</w:t>
      </w:r>
      <w:r w:rsidR="00F3184E">
        <w:rPr>
          <w:b w:val="0"/>
        </w:rPr>
        <w:t>ë</w:t>
      </w:r>
      <w:r w:rsidR="004611AD">
        <w:rPr>
          <w:b w:val="0"/>
        </w:rPr>
        <w:t>suar t</w:t>
      </w:r>
      <w:r w:rsidR="00F3184E">
        <w:rPr>
          <w:b w:val="0"/>
        </w:rPr>
        <w:t>ë</w:t>
      </w:r>
      <w:r w:rsidR="004611AD">
        <w:rPr>
          <w:b w:val="0"/>
        </w:rPr>
        <w:t xml:space="preserve"> ardhurat e shoq</w:t>
      </w:r>
      <w:r w:rsidR="00F3184E">
        <w:rPr>
          <w:b w:val="0"/>
        </w:rPr>
        <w:t>ë</w:t>
      </w:r>
      <w:r w:rsidR="004611AD">
        <w:rPr>
          <w:b w:val="0"/>
        </w:rPr>
        <w:t>ris</w:t>
      </w:r>
      <w:r w:rsidR="00F3184E">
        <w:rPr>
          <w:b w:val="0"/>
        </w:rPr>
        <w:t>ë</w:t>
      </w:r>
      <w:r w:rsidR="004611AD">
        <w:rPr>
          <w:b w:val="0"/>
        </w:rPr>
        <w:t>, duke gjykuar se shoq</w:t>
      </w:r>
      <w:r w:rsidR="00F3184E">
        <w:rPr>
          <w:b w:val="0"/>
        </w:rPr>
        <w:t>ë</w:t>
      </w:r>
      <w:r w:rsidR="004611AD">
        <w:rPr>
          <w:b w:val="0"/>
        </w:rPr>
        <w:t>ria nuk ka deklaruar mjaltin e shitur realisht, bazuar n</w:t>
      </w:r>
      <w:r w:rsidR="00F3184E">
        <w:rPr>
          <w:b w:val="0"/>
        </w:rPr>
        <w:t>ë</w:t>
      </w:r>
      <w:r w:rsidR="004611AD">
        <w:rPr>
          <w:b w:val="0"/>
        </w:rPr>
        <w:t xml:space="preserve"> diferencat inventariale t</w:t>
      </w:r>
      <w:r w:rsidR="00F3184E">
        <w:rPr>
          <w:b w:val="0"/>
        </w:rPr>
        <w:t>ë</w:t>
      </w:r>
      <w:r w:rsidR="004611AD">
        <w:rPr>
          <w:b w:val="0"/>
        </w:rPr>
        <w:t xml:space="preserve"> amballazhit</w:t>
      </w:r>
      <w:r w:rsidR="00F3184E">
        <w:rPr>
          <w:b w:val="0"/>
        </w:rPr>
        <w:t xml:space="preserve"> të mjaltit</w:t>
      </w:r>
      <w:r w:rsidR="004611AD">
        <w:rPr>
          <w:b w:val="0"/>
        </w:rPr>
        <w:t xml:space="preserve">. Pra, nuk </w:t>
      </w:r>
      <w:r w:rsidR="00F3184E">
        <w:rPr>
          <w:b w:val="0"/>
        </w:rPr>
        <w:t>ë</w:t>
      </w:r>
      <w:r w:rsidR="004611AD">
        <w:rPr>
          <w:b w:val="0"/>
        </w:rPr>
        <w:t>sht</w:t>
      </w:r>
      <w:r w:rsidR="00F3184E">
        <w:rPr>
          <w:b w:val="0"/>
        </w:rPr>
        <w:t>ë</w:t>
      </w:r>
      <w:r w:rsidR="004611AD">
        <w:rPr>
          <w:b w:val="0"/>
        </w:rPr>
        <w:t xml:space="preserve"> konstatuar diferenc</w:t>
      </w:r>
      <w:r w:rsidR="00F3184E">
        <w:rPr>
          <w:b w:val="0"/>
        </w:rPr>
        <w:t>ë</w:t>
      </w:r>
      <w:r w:rsidR="004611AD">
        <w:rPr>
          <w:b w:val="0"/>
        </w:rPr>
        <w:t xml:space="preserve"> inventariale e mallit (mjalt), e cila do t</w:t>
      </w:r>
      <w:r w:rsidR="00F3184E">
        <w:rPr>
          <w:b w:val="0"/>
        </w:rPr>
        <w:t>ë</w:t>
      </w:r>
      <w:r w:rsidR="004611AD">
        <w:rPr>
          <w:b w:val="0"/>
        </w:rPr>
        <w:t xml:space="preserve"> cil</w:t>
      </w:r>
      <w:r w:rsidR="00F3184E">
        <w:rPr>
          <w:b w:val="0"/>
        </w:rPr>
        <w:t>ë</w:t>
      </w:r>
      <w:r w:rsidR="004611AD">
        <w:rPr>
          <w:b w:val="0"/>
        </w:rPr>
        <w:t>sohej si nj</w:t>
      </w:r>
      <w:r w:rsidR="00F3184E">
        <w:rPr>
          <w:b w:val="0"/>
        </w:rPr>
        <w:t>ë</w:t>
      </w:r>
      <w:r w:rsidR="004611AD">
        <w:rPr>
          <w:b w:val="0"/>
        </w:rPr>
        <w:t xml:space="preserve"> vler</w:t>
      </w:r>
      <w:r w:rsidR="00F3184E">
        <w:rPr>
          <w:b w:val="0"/>
        </w:rPr>
        <w:t>ë</w:t>
      </w:r>
      <w:r w:rsidR="004611AD">
        <w:rPr>
          <w:b w:val="0"/>
        </w:rPr>
        <w:t>sim i bazuar n</w:t>
      </w:r>
      <w:r w:rsidR="00F3184E">
        <w:rPr>
          <w:b w:val="0"/>
        </w:rPr>
        <w:t>ë</w:t>
      </w:r>
      <w:r w:rsidR="004611AD">
        <w:rPr>
          <w:b w:val="0"/>
        </w:rPr>
        <w:t xml:space="preserve"> rezultatet e kontrollit, por diferenc</w:t>
      </w:r>
      <w:r w:rsidR="00F3184E">
        <w:rPr>
          <w:b w:val="0"/>
        </w:rPr>
        <w:t>ë</w:t>
      </w:r>
      <w:r w:rsidR="004611AD">
        <w:rPr>
          <w:b w:val="0"/>
        </w:rPr>
        <w:t xml:space="preserve"> inventariale e amballazhit t</w:t>
      </w:r>
      <w:r w:rsidR="00F3184E">
        <w:rPr>
          <w:b w:val="0"/>
        </w:rPr>
        <w:t>ë</w:t>
      </w:r>
      <w:r w:rsidR="004611AD">
        <w:rPr>
          <w:b w:val="0"/>
        </w:rPr>
        <w:t xml:space="preserve"> mjaltit.</w:t>
      </w:r>
    </w:p>
    <w:p w:rsidR="00BC50F4" w:rsidRDefault="00BC50F4" w:rsidP="00F3184E">
      <w:pPr>
        <w:pStyle w:val="Subtitle"/>
        <w:widowControl w:val="0"/>
        <w:spacing w:line="276" w:lineRule="auto"/>
        <w:jc w:val="both"/>
        <w:rPr>
          <w:b w:val="0"/>
        </w:rPr>
      </w:pPr>
    </w:p>
    <w:p w:rsidR="004611AD" w:rsidRDefault="004611AD" w:rsidP="00F3184E">
      <w:pPr>
        <w:pStyle w:val="Subtitle"/>
        <w:widowControl w:val="0"/>
        <w:spacing w:line="276" w:lineRule="auto"/>
        <w:jc w:val="both"/>
        <w:rPr>
          <w:b w:val="0"/>
        </w:rPr>
      </w:pPr>
      <w:r>
        <w:rPr>
          <w:b w:val="0"/>
        </w:rPr>
        <w:t>N</w:t>
      </w:r>
      <w:r w:rsidR="00F3184E">
        <w:rPr>
          <w:b w:val="0"/>
        </w:rPr>
        <w:t>ë</w:t>
      </w:r>
      <w:r>
        <w:rPr>
          <w:b w:val="0"/>
        </w:rPr>
        <w:t xml:space="preserve"> kushtet kur vler</w:t>
      </w:r>
      <w:r w:rsidR="00F3184E">
        <w:rPr>
          <w:b w:val="0"/>
        </w:rPr>
        <w:t>ë</w:t>
      </w:r>
      <w:r>
        <w:rPr>
          <w:b w:val="0"/>
        </w:rPr>
        <w:t xml:space="preserve">simi i kryer nga inspektori i kontrollit </w:t>
      </w:r>
      <w:r w:rsidR="00F3184E">
        <w:rPr>
          <w:b w:val="0"/>
        </w:rPr>
        <w:t>ë</w:t>
      </w:r>
      <w:r>
        <w:rPr>
          <w:b w:val="0"/>
        </w:rPr>
        <w:t>sht</w:t>
      </w:r>
      <w:r w:rsidR="00F3184E">
        <w:rPr>
          <w:b w:val="0"/>
        </w:rPr>
        <w:t>ë</w:t>
      </w:r>
      <w:r>
        <w:rPr>
          <w:b w:val="0"/>
        </w:rPr>
        <w:t xml:space="preserve"> vler</w:t>
      </w:r>
      <w:r w:rsidR="00F3184E">
        <w:rPr>
          <w:b w:val="0"/>
        </w:rPr>
        <w:t>ë</w:t>
      </w:r>
      <w:r>
        <w:rPr>
          <w:b w:val="0"/>
        </w:rPr>
        <w:t>sim sipas metodave alternative t</w:t>
      </w:r>
      <w:r w:rsidR="00F3184E">
        <w:rPr>
          <w:b w:val="0"/>
        </w:rPr>
        <w:t>ë</w:t>
      </w:r>
      <w:r>
        <w:rPr>
          <w:b w:val="0"/>
        </w:rPr>
        <w:t xml:space="preserve"> vler</w:t>
      </w:r>
      <w:r w:rsidR="00F3184E">
        <w:rPr>
          <w:b w:val="0"/>
        </w:rPr>
        <w:t>ë</w:t>
      </w:r>
      <w:r>
        <w:rPr>
          <w:b w:val="0"/>
        </w:rPr>
        <w:t>simit, DAT ndalet n</w:t>
      </w:r>
      <w:r w:rsidR="00F3184E">
        <w:rPr>
          <w:b w:val="0"/>
        </w:rPr>
        <w:t>ë</w:t>
      </w:r>
      <w:r>
        <w:rPr>
          <w:b w:val="0"/>
        </w:rPr>
        <w:t xml:space="preserve"> dispozitat ligjore ku p</w:t>
      </w:r>
      <w:r w:rsidR="00F3184E">
        <w:rPr>
          <w:b w:val="0"/>
        </w:rPr>
        <w:t>ë</w:t>
      </w:r>
      <w:r>
        <w:rPr>
          <w:b w:val="0"/>
        </w:rPr>
        <w:t>rcaktohet procedura q</w:t>
      </w:r>
      <w:r w:rsidR="00F3184E">
        <w:rPr>
          <w:b w:val="0"/>
        </w:rPr>
        <w:t>ë</w:t>
      </w:r>
      <w:r>
        <w:rPr>
          <w:b w:val="0"/>
        </w:rPr>
        <w:t xml:space="preserve"> duhet t</w:t>
      </w:r>
      <w:r w:rsidR="00F3184E">
        <w:rPr>
          <w:b w:val="0"/>
        </w:rPr>
        <w:t>ë</w:t>
      </w:r>
      <w:r>
        <w:rPr>
          <w:b w:val="0"/>
        </w:rPr>
        <w:t xml:space="preserve"> ndiqet nga administrata tatimore p</w:t>
      </w:r>
      <w:r w:rsidR="00F3184E">
        <w:rPr>
          <w:b w:val="0"/>
        </w:rPr>
        <w:t>ë</w:t>
      </w:r>
      <w:r>
        <w:rPr>
          <w:b w:val="0"/>
        </w:rPr>
        <w:t>r kryerjen e k</w:t>
      </w:r>
      <w:r w:rsidR="00F3184E">
        <w:rPr>
          <w:b w:val="0"/>
        </w:rPr>
        <w:t>ë</w:t>
      </w:r>
      <w:r>
        <w:rPr>
          <w:b w:val="0"/>
        </w:rPr>
        <w:t>tij vler</w:t>
      </w:r>
      <w:r w:rsidR="00F3184E">
        <w:rPr>
          <w:b w:val="0"/>
        </w:rPr>
        <w:t>ë</w:t>
      </w:r>
      <w:r>
        <w:rPr>
          <w:b w:val="0"/>
        </w:rPr>
        <w:t xml:space="preserve">simi. </w:t>
      </w:r>
    </w:p>
    <w:p w:rsidR="00052028" w:rsidRDefault="00052028" w:rsidP="00F3184E">
      <w:pPr>
        <w:pStyle w:val="Subtitle"/>
        <w:widowControl w:val="0"/>
        <w:spacing w:line="276" w:lineRule="auto"/>
        <w:jc w:val="both"/>
        <w:rPr>
          <w:b w:val="0"/>
        </w:rPr>
      </w:pPr>
    </w:p>
    <w:p w:rsidR="0066286C" w:rsidRDefault="0066286C" w:rsidP="00F3184E">
      <w:pPr>
        <w:pStyle w:val="Subtitle"/>
        <w:widowControl w:val="0"/>
        <w:spacing w:line="276" w:lineRule="auto"/>
        <w:jc w:val="both"/>
        <w:rPr>
          <w:b w:val="0"/>
        </w:rPr>
      </w:pPr>
      <w:r w:rsidRPr="0066286C">
        <w:rPr>
          <w:b w:val="0"/>
        </w:rPr>
        <w:t>Për të kryer këtë vlerësim, referuar Udhëzimit nr. 24, datë 02.09.2008 “Për Procedurat Tatimore në RSH”, paragrafi 71.2 është i domosdoshëm vendimi i drejtorit të DRT. Në këtë paragraf është përcaktuar se “</w:t>
      </w:r>
      <w:r w:rsidRPr="0066286C">
        <w:rPr>
          <w:b w:val="0"/>
          <w:i/>
        </w:rPr>
        <w:t xml:space="preserve">Aplikimi i metodave alternative të vlerësimit tatimor sipas gërmave b), c) dhe dh) të nenit 71 të Ligjit bëhet pasi është marrë nje vendim me shkrim nga </w:t>
      </w:r>
      <w:r w:rsidRPr="0066286C">
        <w:rPr>
          <w:b w:val="0"/>
          <w:i/>
        </w:rPr>
        <w:lastRenderedPageBreak/>
        <w:t>drejtori i drejtorisë rajonale”</w:t>
      </w:r>
      <w:r w:rsidRPr="0066286C">
        <w:rPr>
          <w:b w:val="0"/>
        </w:rPr>
        <w:t xml:space="preserve">. </w:t>
      </w:r>
    </w:p>
    <w:p w:rsidR="00052028" w:rsidRPr="00052028" w:rsidRDefault="00052028" w:rsidP="00F3184E">
      <w:pPr>
        <w:pStyle w:val="Subtitle"/>
        <w:widowControl w:val="0"/>
        <w:spacing w:line="276" w:lineRule="auto"/>
        <w:jc w:val="both"/>
        <w:rPr>
          <w:b w:val="0"/>
          <w:lang w:val="en-GB"/>
        </w:rPr>
      </w:pPr>
      <w:r w:rsidRPr="00052028">
        <w:rPr>
          <w:b w:val="0"/>
        </w:rPr>
        <w:t>Pra, atributin për të vendosur për zbatimin e metodave alternative për vlerësimin tatimor e gëzon ekskluzivisht vetëm drejtori</w:t>
      </w:r>
      <w:r>
        <w:rPr>
          <w:b w:val="0"/>
        </w:rPr>
        <w:t xml:space="preserve"> i Drejtorisë Rajonale Tatimore dhe jo inspektori i kontrollit. P</w:t>
      </w:r>
      <w:r w:rsidR="00F3184E">
        <w:rPr>
          <w:b w:val="0"/>
        </w:rPr>
        <w:t>ë</w:t>
      </w:r>
      <w:r>
        <w:rPr>
          <w:b w:val="0"/>
        </w:rPr>
        <w:t>r k</w:t>
      </w:r>
      <w:r w:rsidR="00F3184E">
        <w:rPr>
          <w:b w:val="0"/>
        </w:rPr>
        <w:t>ë</w:t>
      </w:r>
      <w:r>
        <w:rPr>
          <w:b w:val="0"/>
        </w:rPr>
        <w:t>t</w:t>
      </w:r>
      <w:r w:rsidR="00F3184E">
        <w:rPr>
          <w:b w:val="0"/>
        </w:rPr>
        <w:t>ë</w:t>
      </w:r>
      <w:r>
        <w:rPr>
          <w:b w:val="0"/>
        </w:rPr>
        <w:t xml:space="preserve"> arsye, Ministri i Financave i ka dh</w:t>
      </w:r>
      <w:r w:rsidR="00F3184E">
        <w:rPr>
          <w:b w:val="0"/>
        </w:rPr>
        <w:t>ë</w:t>
      </w:r>
      <w:r>
        <w:rPr>
          <w:b w:val="0"/>
        </w:rPr>
        <w:t>n</w:t>
      </w:r>
      <w:r w:rsidR="00F3184E">
        <w:rPr>
          <w:b w:val="0"/>
        </w:rPr>
        <w:t>ë</w:t>
      </w:r>
      <w:r>
        <w:rPr>
          <w:b w:val="0"/>
        </w:rPr>
        <w:t xml:space="preserve"> nj</w:t>
      </w:r>
      <w:r w:rsidR="00F3184E">
        <w:rPr>
          <w:b w:val="0"/>
        </w:rPr>
        <w:t>ë</w:t>
      </w:r>
      <w:r>
        <w:rPr>
          <w:b w:val="0"/>
        </w:rPr>
        <w:t xml:space="preserve"> r</w:t>
      </w:r>
      <w:r w:rsidR="00F3184E">
        <w:rPr>
          <w:b w:val="0"/>
        </w:rPr>
        <w:t>ë</w:t>
      </w:r>
      <w:r>
        <w:rPr>
          <w:b w:val="0"/>
        </w:rPr>
        <w:t>nd</w:t>
      </w:r>
      <w:r w:rsidR="00F3184E">
        <w:rPr>
          <w:b w:val="0"/>
        </w:rPr>
        <w:t>ë</w:t>
      </w:r>
      <w:r>
        <w:rPr>
          <w:b w:val="0"/>
        </w:rPr>
        <w:t>si t</w:t>
      </w:r>
      <w:r w:rsidR="00F3184E">
        <w:rPr>
          <w:b w:val="0"/>
        </w:rPr>
        <w:t>ë</w:t>
      </w:r>
      <w:r>
        <w:rPr>
          <w:b w:val="0"/>
        </w:rPr>
        <w:t xml:space="preserve"> veçant</w:t>
      </w:r>
      <w:r w:rsidR="00F3184E">
        <w:rPr>
          <w:b w:val="0"/>
        </w:rPr>
        <w:t>ë</w:t>
      </w:r>
      <w:r>
        <w:rPr>
          <w:b w:val="0"/>
        </w:rPr>
        <w:t xml:space="preserve"> procesit t</w:t>
      </w:r>
      <w:r w:rsidR="00F3184E">
        <w:rPr>
          <w:b w:val="0"/>
        </w:rPr>
        <w:t>ë</w:t>
      </w:r>
      <w:r>
        <w:rPr>
          <w:b w:val="0"/>
        </w:rPr>
        <w:t xml:space="preserve"> vler</w:t>
      </w:r>
      <w:r w:rsidR="00F3184E">
        <w:rPr>
          <w:b w:val="0"/>
        </w:rPr>
        <w:t>ë</w:t>
      </w:r>
      <w:r>
        <w:rPr>
          <w:b w:val="0"/>
        </w:rPr>
        <w:t>simit sipas metodave alternative, duke p</w:t>
      </w:r>
      <w:r w:rsidR="00F3184E">
        <w:rPr>
          <w:b w:val="0"/>
        </w:rPr>
        <w:t>ë</w:t>
      </w:r>
      <w:r>
        <w:rPr>
          <w:b w:val="0"/>
        </w:rPr>
        <w:t>rcaktuar q</w:t>
      </w:r>
      <w:r w:rsidR="00F3184E">
        <w:rPr>
          <w:b w:val="0"/>
        </w:rPr>
        <w:t>ë</w:t>
      </w:r>
      <w:r>
        <w:rPr>
          <w:b w:val="0"/>
        </w:rPr>
        <w:t xml:space="preserve"> ky vler</w:t>
      </w:r>
      <w:r w:rsidR="00F3184E">
        <w:rPr>
          <w:b w:val="0"/>
        </w:rPr>
        <w:t>ë</w:t>
      </w:r>
      <w:r>
        <w:rPr>
          <w:b w:val="0"/>
        </w:rPr>
        <w:t>sim mund t</w:t>
      </w:r>
      <w:r w:rsidR="00F3184E">
        <w:rPr>
          <w:b w:val="0"/>
        </w:rPr>
        <w:t>ë</w:t>
      </w:r>
      <w:r>
        <w:rPr>
          <w:b w:val="0"/>
        </w:rPr>
        <w:t xml:space="preserve"> kryhet vet</w:t>
      </w:r>
      <w:r w:rsidR="00F3184E">
        <w:rPr>
          <w:b w:val="0"/>
        </w:rPr>
        <w:t>ë</w:t>
      </w:r>
      <w:r>
        <w:rPr>
          <w:b w:val="0"/>
        </w:rPr>
        <w:t>m pasi t</w:t>
      </w:r>
      <w:r w:rsidR="00F3184E">
        <w:rPr>
          <w:b w:val="0"/>
        </w:rPr>
        <w:t>ë</w:t>
      </w:r>
      <w:r>
        <w:rPr>
          <w:b w:val="0"/>
        </w:rPr>
        <w:t xml:space="preserve"> jet</w:t>
      </w:r>
      <w:r w:rsidR="00F3184E">
        <w:rPr>
          <w:b w:val="0"/>
        </w:rPr>
        <w:t>ë</w:t>
      </w:r>
      <w:r>
        <w:rPr>
          <w:b w:val="0"/>
        </w:rPr>
        <w:t xml:space="preserve"> marr</w:t>
      </w:r>
      <w:r w:rsidR="00F3184E">
        <w:rPr>
          <w:b w:val="0"/>
        </w:rPr>
        <w:t>ë</w:t>
      </w:r>
      <w:r>
        <w:rPr>
          <w:b w:val="0"/>
        </w:rPr>
        <w:t xml:space="preserve"> nj</w:t>
      </w:r>
      <w:r w:rsidR="00F3184E">
        <w:rPr>
          <w:b w:val="0"/>
        </w:rPr>
        <w:t>ë</w:t>
      </w:r>
      <w:r>
        <w:rPr>
          <w:b w:val="0"/>
        </w:rPr>
        <w:t xml:space="preserve"> vendim nga drejtori p</w:t>
      </w:r>
      <w:r w:rsidR="00F3184E">
        <w:rPr>
          <w:b w:val="0"/>
        </w:rPr>
        <w:t>ë</w:t>
      </w:r>
      <w:r>
        <w:rPr>
          <w:b w:val="0"/>
        </w:rPr>
        <w:t>r kryerjen e k</w:t>
      </w:r>
      <w:r w:rsidR="00F3184E">
        <w:rPr>
          <w:b w:val="0"/>
        </w:rPr>
        <w:t>ë</w:t>
      </w:r>
      <w:r>
        <w:rPr>
          <w:b w:val="0"/>
        </w:rPr>
        <w:t>tij vler</w:t>
      </w:r>
      <w:r w:rsidR="00F3184E">
        <w:rPr>
          <w:b w:val="0"/>
        </w:rPr>
        <w:t>ë</w:t>
      </w:r>
      <w:r>
        <w:rPr>
          <w:b w:val="0"/>
        </w:rPr>
        <w:t>simi, i cili duhet t</w:t>
      </w:r>
      <w:r w:rsidR="00F3184E">
        <w:rPr>
          <w:b w:val="0"/>
        </w:rPr>
        <w:t>ë</w:t>
      </w:r>
      <w:r>
        <w:rPr>
          <w:b w:val="0"/>
        </w:rPr>
        <w:t xml:space="preserve"> jet</w:t>
      </w:r>
      <w:r w:rsidR="00F3184E">
        <w:rPr>
          <w:b w:val="0"/>
        </w:rPr>
        <w:t>ë</w:t>
      </w:r>
      <w:r>
        <w:rPr>
          <w:b w:val="0"/>
        </w:rPr>
        <w:t xml:space="preserve"> nj</w:t>
      </w:r>
      <w:r w:rsidR="00F3184E">
        <w:rPr>
          <w:b w:val="0"/>
        </w:rPr>
        <w:t>ë</w:t>
      </w:r>
      <w:r>
        <w:rPr>
          <w:b w:val="0"/>
        </w:rPr>
        <w:t xml:space="preserve"> akt i posaç</w:t>
      </w:r>
      <w:r w:rsidR="00F3184E">
        <w:rPr>
          <w:b w:val="0"/>
        </w:rPr>
        <w:t>ë</w:t>
      </w:r>
      <w:r>
        <w:rPr>
          <w:b w:val="0"/>
        </w:rPr>
        <w:t>m administrativ i nxjerr</w:t>
      </w:r>
      <w:r w:rsidR="00F3184E">
        <w:rPr>
          <w:b w:val="0"/>
        </w:rPr>
        <w:t>ë</w:t>
      </w:r>
      <w:r>
        <w:rPr>
          <w:b w:val="0"/>
        </w:rPr>
        <w:t xml:space="preserve"> nga </w:t>
      </w:r>
      <w:r>
        <w:rPr>
          <w:b w:val="0"/>
          <w:lang w:val="en-GB"/>
        </w:rPr>
        <w:t xml:space="preserve">prej tij </w:t>
      </w:r>
      <w:r>
        <w:rPr>
          <w:b w:val="0"/>
        </w:rPr>
        <w:t>dhe nuk mjafton vet</w:t>
      </w:r>
      <w:r w:rsidR="00F3184E">
        <w:rPr>
          <w:b w:val="0"/>
        </w:rPr>
        <w:t>ë</w:t>
      </w:r>
      <w:r>
        <w:rPr>
          <w:b w:val="0"/>
        </w:rPr>
        <w:t>m n</w:t>
      </w:r>
      <w:r w:rsidR="00F3184E">
        <w:rPr>
          <w:b w:val="0"/>
        </w:rPr>
        <w:t>ë</w:t>
      </w:r>
      <w:r>
        <w:rPr>
          <w:b w:val="0"/>
        </w:rPr>
        <w:t>nshkrimi i njoftim vler</w:t>
      </w:r>
      <w:r w:rsidR="00F3184E">
        <w:rPr>
          <w:b w:val="0"/>
        </w:rPr>
        <w:t>ë</w:t>
      </w:r>
      <w:r>
        <w:rPr>
          <w:b w:val="0"/>
        </w:rPr>
        <w:t>simit p</w:t>
      </w:r>
      <w:r w:rsidR="00F3184E">
        <w:rPr>
          <w:b w:val="0"/>
        </w:rPr>
        <w:t>ë</w:t>
      </w:r>
      <w:r>
        <w:rPr>
          <w:b w:val="0"/>
        </w:rPr>
        <w:t>r detyrimet tatimore apo i raportit t</w:t>
      </w:r>
      <w:r w:rsidR="00F3184E">
        <w:rPr>
          <w:b w:val="0"/>
        </w:rPr>
        <w:t>ë</w:t>
      </w:r>
      <w:r>
        <w:rPr>
          <w:b w:val="0"/>
        </w:rPr>
        <w:t xml:space="preserve"> kontrollit nga ky i fundit.</w:t>
      </w:r>
    </w:p>
    <w:p w:rsidR="00052028" w:rsidRPr="0066286C" w:rsidRDefault="00052028" w:rsidP="00F3184E">
      <w:pPr>
        <w:pStyle w:val="Subtitle"/>
        <w:widowControl w:val="0"/>
        <w:spacing w:line="276" w:lineRule="auto"/>
        <w:jc w:val="both"/>
        <w:rPr>
          <w:b w:val="0"/>
        </w:rPr>
      </w:pPr>
    </w:p>
    <w:p w:rsidR="0066286C" w:rsidRPr="0066286C" w:rsidRDefault="0066286C" w:rsidP="00F3184E">
      <w:pPr>
        <w:pStyle w:val="Subtitle"/>
        <w:widowControl w:val="0"/>
        <w:spacing w:line="276" w:lineRule="auto"/>
        <w:jc w:val="both"/>
        <w:rPr>
          <w:b w:val="0"/>
        </w:rPr>
      </w:pPr>
      <w:r w:rsidRPr="0066286C">
        <w:rPr>
          <w:b w:val="0"/>
        </w:rPr>
        <w:t xml:space="preserve">Drejtoria e Apelimit Tatimor thekson se zbatimi i procedurave të përcaktuara në legjislacionin tatimor është një ndër elementët thelbësorë të aktit administrativ. Moszbatimi i saktë i procedurave passjell pavlefshmërinë e aktit dhe pasojave juridike që duhet të sjellë ky akt. Ndërsa, vlerësimi tatimor i trajtuar sa më sipër është kryer duke aplikuar metodat alternative, pa u marrë vendimi me shkrim nga drejtori i Drejtorisë Rajonale Tatimore, në kundërshtim me referencën e mësipërme ligjore dhe duke cënuar ligjshmërinë e aktit administrativ. Pra, administrata tatimore gëzon të drejtën e vlerësimit tatimor sipas metodave alternative, por në çdo rast këto vlerësime duhet të zbatojnë procedurat e përcaktuara në legjislacionin tatimor. </w:t>
      </w:r>
    </w:p>
    <w:p w:rsidR="0066286C" w:rsidRDefault="0066286C" w:rsidP="00F3184E">
      <w:pPr>
        <w:pStyle w:val="Subtitle"/>
        <w:widowControl w:val="0"/>
        <w:spacing w:line="276" w:lineRule="auto"/>
        <w:jc w:val="both"/>
        <w:rPr>
          <w:b w:val="0"/>
        </w:rPr>
      </w:pPr>
    </w:p>
    <w:p w:rsidR="00052028" w:rsidRPr="0066286C" w:rsidRDefault="00052028" w:rsidP="00F3184E">
      <w:pPr>
        <w:pStyle w:val="Subtitle"/>
        <w:widowControl w:val="0"/>
        <w:spacing w:line="276" w:lineRule="auto"/>
        <w:jc w:val="both"/>
        <w:rPr>
          <w:b w:val="0"/>
        </w:rPr>
      </w:pPr>
      <w:r w:rsidRPr="00052028">
        <w:rPr>
          <w:b w:val="0"/>
        </w:rPr>
        <w:t xml:space="preserve">Drejtoria e Apelimit Tatimor sjell në vëmendje të administratës tatimore </w:t>
      </w:r>
      <w:r>
        <w:rPr>
          <w:b w:val="0"/>
        </w:rPr>
        <w:t xml:space="preserve">se </w:t>
      </w:r>
      <w:r w:rsidRPr="00052028">
        <w:rPr>
          <w:b w:val="0"/>
        </w:rPr>
        <w:t xml:space="preserve">propozimi </w:t>
      </w:r>
      <w:r>
        <w:rPr>
          <w:b w:val="0"/>
        </w:rPr>
        <w:t>q</w:t>
      </w:r>
      <w:r w:rsidR="00F3184E">
        <w:rPr>
          <w:b w:val="0"/>
        </w:rPr>
        <w:t>ë</w:t>
      </w:r>
      <w:r>
        <w:rPr>
          <w:b w:val="0"/>
        </w:rPr>
        <w:t xml:space="preserve"> b</w:t>
      </w:r>
      <w:r w:rsidR="00F3184E">
        <w:rPr>
          <w:b w:val="0"/>
        </w:rPr>
        <w:t>ë</w:t>
      </w:r>
      <w:r>
        <w:rPr>
          <w:b w:val="0"/>
        </w:rPr>
        <w:t xml:space="preserve">het nga inspektori i kontrollit </w:t>
      </w:r>
      <w:r w:rsidRPr="00052028">
        <w:rPr>
          <w:b w:val="0"/>
        </w:rPr>
        <w:t>për rivlerësim sipas metodave alternative duhet patjetër të jetë i shoqëruar me analizën e kryerjes së këtij vlerësimi, ku përfshihet shkaku, çmimi i ri që propozohet, mënyra si është përllogaritur ky çmim, etj. Pikërisht, kjo është arsyeja që e drejta e vlerësimit sipas metodave alternative i është deleguar vetëm drejtorit të DRT-së, i cili është i vetmi person që gjykon dhe vlerëson nevojën, vlefshmërinë dhe ligjshmërinë e kryerjes së vlerësimit. Në këtë gjykim, drejtori i DRT-së verifikon saktësinë e mënyrave alternative të propozuara për vlerësim, shkaqet për vlerësim, mënyrën e përcaktimit të çmimit të ri si dhe shumë faktorë të tjerë, pjesë përbërëse të analizës.</w:t>
      </w:r>
    </w:p>
    <w:p w:rsidR="0052756E" w:rsidRDefault="0052756E" w:rsidP="00F3184E">
      <w:pPr>
        <w:widowControl w:val="0"/>
        <w:spacing w:after="0" w:line="276" w:lineRule="auto"/>
        <w:jc w:val="both"/>
        <w:rPr>
          <w:rFonts w:ascii="Times New Roman" w:eastAsia="SimSun" w:hAnsi="Times New Roman" w:cs="Times New Roman"/>
          <w:sz w:val="24"/>
          <w:szCs w:val="24"/>
          <w:lang w:eastAsia="zh-CN"/>
        </w:rPr>
      </w:pPr>
    </w:p>
    <w:p w:rsidR="00F3184E" w:rsidRDefault="00F3184E" w:rsidP="00F3184E">
      <w:pPr>
        <w:widowControl w:val="0"/>
        <w:spacing w:after="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DAT sjell në vëmendje të palëve se </w:t>
      </w:r>
      <w:r w:rsidR="00EC4265">
        <w:rPr>
          <w:rFonts w:ascii="Times New Roman" w:eastAsia="SimSun" w:hAnsi="Times New Roman" w:cs="Times New Roman"/>
          <w:sz w:val="24"/>
          <w:szCs w:val="24"/>
          <w:lang w:eastAsia="zh-CN"/>
        </w:rPr>
        <w:t>nëpërmjet këtij</w:t>
      </w:r>
      <w:r>
        <w:rPr>
          <w:rFonts w:ascii="Times New Roman" w:eastAsia="SimSun" w:hAnsi="Times New Roman" w:cs="Times New Roman"/>
          <w:sz w:val="24"/>
          <w:szCs w:val="24"/>
          <w:lang w:eastAsia="zh-CN"/>
        </w:rPr>
        <w:t xml:space="preserve"> vendim</w:t>
      </w:r>
      <w:r w:rsidR="00EC4265">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 xml:space="preserve"> nuk </w:t>
      </w:r>
      <w:r w:rsidR="00EC4265">
        <w:rPr>
          <w:rFonts w:ascii="Times New Roman" w:eastAsia="SimSun" w:hAnsi="Times New Roman" w:cs="Times New Roman"/>
          <w:sz w:val="24"/>
          <w:szCs w:val="24"/>
          <w:lang w:eastAsia="zh-CN"/>
        </w:rPr>
        <w:t xml:space="preserve">është </w:t>
      </w:r>
      <w:r>
        <w:rPr>
          <w:rFonts w:ascii="Times New Roman" w:eastAsia="SimSun" w:hAnsi="Times New Roman" w:cs="Times New Roman"/>
          <w:sz w:val="24"/>
          <w:szCs w:val="24"/>
          <w:lang w:eastAsia="zh-CN"/>
        </w:rPr>
        <w:t>shqyrtuar në themel rregullshmëri</w:t>
      </w:r>
      <w:r w:rsidR="00EC4265">
        <w:rPr>
          <w:rFonts w:ascii="Times New Roman" w:eastAsia="SimSun" w:hAnsi="Times New Roman" w:cs="Times New Roman"/>
          <w:sz w:val="24"/>
          <w:szCs w:val="24"/>
          <w:lang w:eastAsia="zh-CN"/>
        </w:rPr>
        <w:t>a dhe saktësia</w:t>
      </w:r>
      <w:r>
        <w:rPr>
          <w:rFonts w:ascii="Times New Roman" w:eastAsia="SimSun" w:hAnsi="Times New Roman" w:cs="Times New Roman"/>
          <w:sz w:val="24"/>
          <w:szCs w:val="24"/>
          <w:lang w:eastAsia="zh-CN"/>
        </w:rPr>
        <w:t xml:space="preserve"> e vlerësi</w:t>
      </w:r>
      <w:r w:rsidR="00EC4265">
        <w:rPr>
          <w:rFonts w:ascii="Times New Roman" w:eastAsia="SimSun" w:hAnsi="Times New Roman" w:cs="Times New Roman"/>
          <w:sz w:val="24"/>
          <w:szCs w:val="24"/>
          <w:lang w:eastAsia="zh-CN"/>
        </w:rPr>
        <w:t>mit të kryer, por vetëm aspekti</w:t>
      </w:r>
      <w:r>
        <w:rPr>
          <w:rFonts w:ascii="Times New Roman" w:eastAsia="SimSun" w:hAnsi="Times New Roman" w:cs="Times New Roman"/>
          <w:sz w:val="24"/>
          <w:szCs w:val="24"/>
          <w:lang w:eastAsia="zh-CN"/>
        </w:rPr>
        <w:t xml:space="preserve"> procedurial për vlerësimin e kryer sipas metodave alternative.</w:t>
      </w:r>
    </w:p>
    <w:p w:rsidR="00F3184E" w:rsidRDefault="00F3184E" w:rsidP="00F3184E">
      <w:pPr>
        <w:widowControl w:val="0"/>
        <w:spacing w:after="0" w:line="276" w:lineRule="auto"/>
        <w:jc w:val="both"/>
        <w:rPr>
          <w:rFonts w:ascii="Times New Roman" w:eastAsia="SimSun" w:hAnsi="Times New Roman" w:cs="Times New Roman"/>
          <w:sz w:val="24"/>
          <w:szCs w:val="24"/>
          <w:lang w:eastAsia="zh-CN"/>
        </w:rPr>
      </w:pPr>
    </w:p>
    <w:p w:rsidR="00052028" w:rsidRDefault="00052028" w:rsidP="00F3184E">
      <w:pPr>
        <w:widowControl w:val="0"/>
        <w:spacing w:after="0" w:line="276" w:lineRule="auto"/>
        <w:jc w:val="both"/>
        <w:rPr>
          <w:rFonts w:ascii="Times New Roman" w:eastAsia="SimSun" w:hAnsi="Times New Roman" w:cs="Times New Roman"/>
          <w:sz w:val="24"/>
          <w:szCs w:val="24"/>
          <w:lang w:eastAsia="zh-CN"/>
        </w:rPr>
      </w:pPr>
      <w:r w:rsidRPr="00052028">
        <w:rPr>
          <w:rFonts w:ascii="Times New Roman" w:eastAsia="SimSun" w:hAnsi="Times New Roman" w:cs="Times New Roman"/>
          <w:sz w:val="24"/>
          <w:szCs w:val="24"/>
          <w:lang w:eastAsia="zh-CN"/>
        </w:rPr>
        <w:t>Mbështetur në Udhëzimin nr. 24, datë 02.09.2008 “Për Procedurat Tatimore në RSH”, paragrafi 108.3.6 dhe 108.3.7, Drejtoria e Apelimit Tatimor, pasi konstaton se “</w:t>
      </w:r>
      <w:r w:rsidRPr="00052028">
        <w:rPr>
          <w:rFonts w:ascii="Times New Roman" w:eastAsia="SimSun" w:hAnsi="Times New Roman" w:cs="Times New Roman"/>
          <w:i/>
          <w:sz w:val="24"/>
          <w:szCs w:val="24"/>
          <w:lang w:eastAsia="zh-CN"/>
        </w:rPr>
        <w:t>procedura nuk ka mbajtur parasysh rregullat procedurale që mund të kenë ndikuar aktin administrativ</w:t>
      </w:r>
      <w:r w:rsidRPr="00052028">
        <w:rPr>
          <w:rFonts w:ascii="Times New Roman" w:eastAsia="SimSun" w:hAnsi="Times New Roman" w:cs="Times New Roman"/>
          <w:sz w:val="24"/>
          <w:szCs w:val="24"/>
          <w:lang w:eastAsia="zh-CN"/>
        </w:rPr>
        <w:t>”, anullon aktin administrativ dhe kërkon nga D</w:t>
      </w:r>
      <w:r w:rsidR="006E6E38">
        <w:rPr>
          <w:rFonts w:ascii="Times New Roman" w:eastAsia="SimSun" w:hAnsi="Times New Roman" w:cs="Times New Roman"/>
          <w:sz w:val="24"/>
          <w:szCs w:val="24"/>
          <w:lang w:eastAsia="zh-CN"/>
        </w:rPr>
        <w:t xml:space="preserve">rejtoria </w:t>
      </w:r>
      <w:r w:rsidRPr="00052028">
        <w:rPr>
          <w:rFonts w:ascii="Times New Roman" w:eastAsia="SimSun" w:hAnsi="Times New Roman" w:cs="Times New Roman"/>
          <w:sz w:val="24"/>
          <w:szCs w:val="24"/>
          <w:lang w:eastAsia="zh-CN"/>
        </w:rPr>
        <w:t>R</w:t>
      </w:r>
      <w:r w:rsidR="006E6E38">
        <w:rPr>
          <w:rFonts w:ascii="Times New Roman" w:eastAsia="SimSun" w:hAnsi="Times New Roman" w:cs="Times New Roman"/>
          <w:sz w:val="24"/>
          <w:szCs w:val="24"/>
          <w:lang w:eastAsia="zh-CN"/>
        </w:rPr>
        <w:t xml:space="preserve">ajonale </w:t>
      </w:r>
      <w:r w:rsidRPr="00052028">
        <w:rPr>
          <w:rFonts w:ascii="Times New Roman" w:eastAsia="SimSun" w:hAnsi="Times New Roman" w:cs="Times New Roman"/>
          <w:sz w:val="24"/>
          <w:szCs w:val="24"/>
          <w:lang w:eastAsia="zh-CN"/>
        </w:rPr>
        <w:t>T</w:t>
      </w:r>
      <w:r w:rsidR="006E6E38">
        <w:rPr>
          <w:rFonts w:ascii="Times New Roman" w:eastAsia="SimSun" w:hAnsi="Times New Roman" w:cs="Times New Roman"/>
          <w:sz w:val="24"/>
          <w:szCs w:val="24"/>
          <w:lang w:eastAsia="zh-CN"/>
        </w:rPr>
        <w:t>atimore</w:t>
      </w:r>
      <w:r w:rsidRPr="00052028">
        <w:rPr>
          <w:rFonts w:ascii="Times New Roman" w:eastAsia="SimSun" w:hAnsi="Times New Roman" w:cs="Times New Roman"/>
          <w:sz w:val="24"/>
          <w:szCs w:val="24"/>
          <w:lang w:eastAsia="zh-CN"/>
        </w:rPr>
        <w:t xml:space="preserve"> zgjidhjen e çështjes</w:t>
      </w:r>
      <w:r w:rsidR="00EC4265">
        <w:rPr>
          <w:rFonts w:ascii="Times New Roman" w:eastAsia="SimSun" w:hAnsi="Times New Roman" w:cs="Times New Roman"/>
          <w:sz w:val="24"/>
          <w:szCs w:val="24"/>
          <w:lang w:eastAsia="zh-CN"/>
        </w:rPr>
        <w:t xml:space="preserve"> në vijim të arsyetimit të mësipërm. Konkretisht, </w:t>
      </w:r>
      <w:r w:rsidR="006E6E38" w:rsidRPr="00052028">
        <w:rPr>
          <w:rFonts w:ascii="Times New Roman" w:eastAsia="SimSun" w:hAnsi="Times New Roman" w:cs="Times New Roman"/>
          <w:sz w:val="24"/>
          <w:szCs w:val="24"/>
          <w:lang w:eastAsia="zh-CN"/>
        </w:rPr>
        <w:t>D</w:t>
      </w:r>
      <w:r w:rsidR="006E6E38">
        <w:rPr>
          <w:rFonts w:ascii="Times New Roman" w:eastAsia="SimSun" w:hAnsi="Times New Roman" w:cs="Times New Roman"/>
          <w:sz w:val="24"/>
          <w:szCs w:val="24"/>
          <w:lang w:eastAsia="zh-CN"/>
        </w:rPr>
        <w:t xml:space="preserve">rejtoria </w:t>
      </w:r>
      <w:r w:rsidR="006E6E38" w:rsidRPr="00052028">
        <w:rPr>
          <w:rFonts w:ascii="Times New Roman" w:eastAsia="SimSun" w:hAnsi="Times New Roman" w:cs="Times New Roman"/>
          <w:sz w:val="24"/>
          <w:szCs w:val="24"/>
          <w:lang w:eastAsia="zh-CN"/>
        </w:rPr>
        <w:t>R</w:t>
      </w:r>
      <w:r w:rsidR="006E6E38">
        <w:rPr>
          <w:rFonts w:ascii="Times New Roman" w:eastAsia="SimSun" w:hAnsi="Times New Roman" w:cs="Times New Roman"/>
          <w:sz w:val="24"/>
          <w:szCs w:val="24"/>
          <w:lang w:eastAsia="zh-CN"/>
        </w:rPr>
        <w:t xml:space="preserve">ajonale </w:t>
      </w:r>
      <w:r w:rsidR="006E6E38" w:rsidRPr="00052028">
        <w:rPr>
          <w:rFonts w:ascii="Times New Roman" w:eastAsia="SimSun" w:hAnsi="Times New Roman" w:cs="Times New Roman"/>
          <w:sz w:val="24"/>
          <w:szCs w:val="24"/>
          <w:lang w:eastAsia="zh-CN"/>
        </w:rPr>
        <w:t>T</w:t>
      </w:r>
      <w:r w:rsidR="006E6E38">
        <w:rPr>
          <w:rFonts w:ascii="Times New Roman" w:eastAsia="SimSun" w:hAnsi="Times New Roman" w:cs="Times New Roman"/>
          <w:sz w:val="24"/>
          <w:szCs w:val="24"/>
          <w:lang w:eastAsia="zh-CN"/>
        </w:rPr>
        <w:t>atimore</w:t>
      </w:r>
      <w:r w:rsidR="006E6E38">
        <w:rPr>
          <w:rFonts w:ascii="Times New Roman" w:eastAsia="SimSun" w:hAnsi="Times New Roman" w:cs="Times New Roman"/>
          <w:sz w:val="24"/>
          <w:szCs w:val="24"/>
          <w:lang w:eastAsia="zh-CN"/>
        </w:rPr>
        <w:t xml:space="preserve"> </w:t>
      </w:r>
      <w:r w:rsidR="00EC4265">
        <w:rPr>
          <w:rFonts w:ascii="Times New Roman" w:eastAsia="SimSun" w:hAnsi="Times New Roman" w:cs="Times New Roman"/>
          <w:sz w:val="24"/>
          <w:szCs w:val="24"/>
          <w:lang w:eastAsia="zh-CN"/>
        </w:rPr>
        <w:t xml:space="preserve">duhet të plotësojë mangësitë proceduriale </w:t>
      </w:r>
      <w:r w:rsidRPr="00052028">
        <w:rPr>
          <w:rFonts w:ascii="Times New Roman" w:eastAsia="SimSun" w:hAnsi="Times New Roman" w:cs="Times New Roman"/>
          <w:sz w:val="24"/>
          <w:szCs w:val="24"/>
          <w:lang w:eastAsia="zh-CN"/>
        </w:rPr>
        <w:t>me vendimin e drejtorit të drejtorisë rajonale për vlerës</w:t>
      </w:r>
      <w:r w:rsidR="00EC4265">
        <w:rPr>
          <w:rFonts w:ascii="Times New Roman" w:eastAsia="SimSun" w:hAnsi="Times New Roman" w:cs="Times New Roman"/>
          <w:sz w:val="24"/>
          <w:szCs w:val="24"/>
          <w:lang w:eastAsia="zh-CN"/>
        </w:rPr>
        <w:t>imin sipas metodave alternative dhe më tej të vijojë me kryerjen e vlerësimit dhe njoftimin e tatimpaguesit për këtë vlerësim, nëse drejtori rajonal miraton vendimin për vlerësimin alternativ.</w:t>
      </w:r>
    </w:p>
    <w:p w:rsidR="00EC4265" w:rsidRDefault="00EC4265" w:rsidP="00F3184E">
      <w:pPr>
        <w:widowControl w:val="0"/>
        <w:spacing w:after="0" w:line="276" w:lineRule="auto"/>
        <w:jc w:val="both"/>
        <w:rPr>
          <w:rFonts w:ascii="Times New Roman" w:eastAsia="SimSun" w:hAnsi="Times New Roman" w:cs="Times New Roman"/>
          <w:sz w:val="24"/>
          <w:szCs w:val="24"/>
          <w:lang w:eastAsia="zh-CN"/>
        </w:rPr>
      </w:pPr>
    </w:p>
    <w:p w:rsidR="00FC011C" w:rsidRPr="00B031E4" w:rsidRDefault="00FC011C" w:rsidP="00F3184E">
      <w:pPr>
        <w:widowControl w:val="0"/>
        <w:spacing w:after="0" w:line="276" w:lineRule="auto"/>
        <w:jc w:val="both"/>
        <w:rPr>
          <w:rFonts w:ascii="Times New Roman" w:eastAsia="SimSun" w:hAnsi="Times New Roman" w:cs="Times New Roman"/>
          <w:sz w:val="24"/>
          <w:szCs w:val="24"/>
          <w:lang w:eastAsia="zh-CN"/>
        </w:rPr>
      </w:pPr>
      <w:r w:rsidRPr="00B031E4">
        <w:rPr>
          <w:rFonts w:ascii="Times New Roman" w:eastAsia="SimSun" w:hAnsi="Times New Roman" w:cs="Times New Roman"/>
          <w:sz w:val="24"/>
          <w:szCs w:val="24"/>
          <w:lang w:eastAsia="zh-CN"/>
        </w:rPr>
        <w:t>Sa më sipër, Drejtoria e Apelimit Tatimor, në zba</w:t>
      </w:r>
      <w:r w:rsidR="00960F98" w:rsidRPr="00B031E4">
        <w:rPr>
          <w:rFonts w:ascii="Times New Roman" w:eastAsia="SimSun" w:hAnsi="Times New Roman" w:cs="Times New Roman"/>
          <w:sz w:val="24"/>
          <w:szCs w:val="24"/>
          <w:lang w:eastAsia="zh-CN"/>
        </w:rPr>
        <w:t>tim të nenit 108, pika 3</w:t>
      </w:r>
      <w:r w:rsidRPr="00B031E4">
        <w:rPr>
          <w:rFonts w:ascii="Times New Roman" w:eastAsia="SimSun" w:hAnsi="Times New Roman" w:cs="Times New Roman"/>
          <w:sz w:val="24"/>
          <w:szCs w:val="24"/>
          <w:lang w:eastAsia="zh-CN"/>
        </w:rPr>
        <w:t>, të Ligjit Nr.9920 datë 19.05.2008, “Për Proced</w:t>
      </w:r>
      <w:r w:rsidR="00F3184E">
        <w:rPr>
          <w:rFonts w:ascii="Times New Roman" w:eastAsia="SimSun" w:hAnsi="Times New Roman" w:cs="Times New Roman"/>
          <w:sz w:val="24"/>
          <w:szCs w:val="24"/>
          <w:lang w:eastAsia="zh-CN"/>
        </w:rPr>
        <w:t>urat Tatimore në R.SH” dhe pikave</w:t>
      </w:r>
      <w:r w:rsidRPr="00B031E4">
        <w:rPr>
          <w:rFonts w:ascii="Times New Roman" w:eastAsia="SimSun" w:hAnsi="Times New Roman" w:cs="Times New Roman"/>
          <w:sz w:val="24"/>
          <w:szCs w:val="24"/>
          <w:lang w:eastAsia="zh-CN"/>
        </w:rPr>
        <w:t xml:space="preserve"> 108.3.</w:t>
      </w:r>
      <w:r w:rsidR="00F3184E">
        <w:rPr>
          <w:rFonts w:ascii="Times New Roman" w:eastAsia="SimSun" w:hAnsi="Times New Roman" w:cs="Times New Roman"/>
          <w:sz w:val="24"/>
          <w:szCs w:val="24"/>
          <w:lang w:eastAsia="zh-CN"/>
        </w:rPr>
        <w:t>6 dhe 108.3.7</w:t>
      </w:r>
      <w:r w:rsidRPr="00B031E4">
        <w:rPr>
          <w:rFonts w:ascii="Times New Roman" w:eastAsia="SimSun" w:hAnsi="Times New Roman" w:cs="Times New Roman"/>
          <w:sz w:val="24"/>
          <w:szCs w:val="24"/>
          <w:lang w:eastAsia="zh-CN"/>
        </w:rPr>
        <w:t xml:space="preserve"> të Udhëzimit të Ministri</w:t>
      </w:r>
      <w:r w:rsidR="00F3184E">
        <w:rPr>
          <w:rFonts w:ascii="Times New Roman" w:eastAsia="SimSun" w:hAnsi="Times New Roman" w:cs="Times New Roman"/>
          <w:sz w:val="24"/>
          <w:szCs w:val="24"/>
          <w:lang w:eastAsia="zh-CN"/>
        </w:rPr>
        <w:t>t</w:t>
      </w:r>
      <w:r w:rsidRPr="00B031E4">
        <w:rPr>
          <w:rFonts w:ascii="Times New Roman" w:eastAsia="SimSun" w:hAnsi="Times New Roman" w:cs="Times New Roman"/>
          <w:sz w:val="24"/>
          <w:szCs w:val="24"/>
          <w:lang w:eastAsia="zh-CN"/>
        </w:rPr>
        <w:t xml:space="preserve"> </w:t>
      </w:r>
      <w:r w:rsidR="00F3184E">
        <w:rPr>
          <w:rFonts w:ascii="Times New Roman" w:eastAsia="SimSun" w:hAnsi="Times New Roman" w:cs="Times New Roman"/>
          <w:sz w:val="24"/>
          <w:szCs w:val="24"/>
          <w:lang w:eastAsia="zh-CN"/>
        </w:rPr>
        <w:t>t</w:t>
      </w:r>
      <w:r w:rsidRPr="00B031E4">
        <w:rPr>
          <w:rFonts w:ascii="Times New Roman" w:eastAsia="SimSun" w:hAnsi="Times New Roman" w:cs="Times New Roman"/>
          <w:sz w:val="24"/>
          <w:szCs w:val="24"/>
          <w:lang w:eastAsia="zh-CN"/>
        </w:rPr>
        <w:t>ë Financave nr.</w:t>
      </w:r>
      <w:r w:rsidR="00F3184E">
        <w:rPr>
          <w:rFonts w:ascii="Times New Roman" w:eastAsia="SimSun" w:hAnsi="Times New Roman" w:cs="Times New Roman"/>
          <w:sz w:val="24"/>
          <w:szCs w:val="24"/>
          <w:lang w:eastAsia="zh-CN"/>
        </w:rPr>
        <w:t xml:space="preserve"> </w:t>
      </w:r>
      <w:r w:rsidRPr="00B031E4">
        <w:rPr>
          <w:rFonts w:ascii="Times New Roman" w:eastAsia="SimSun" w:hAnsi="Times New Roman" w:cs="Times New Roman"/>
          <w:sz w:val="24"/>
          <w:szCs w:val="24"/>
          <w:lang w:eastAsia="zh-CN"/>
        </w:rPr>
        <w:t>24 datë 02.09.2008, i nxjerrë në zbatim të këtij ligji,</w:t>
      </w:r>
    </w:p>
    <w:p w:rsidR="002F78C8" w:rsidRPr="00B031E4" w:rsidRDefault="002F78C8" w:rsidP="00F3184E">
      <w:pPr>
        <w:widowControl w:val="0"/>
        <w:spacing w:after="0" w:line="276" w:lineRule="auto"/>
        <w:jc w:val="both"/>
        <w:rPr>
          <w:rFonts w:ascii="Times New Roman" w:eastAsia="SimSun" w:hAnsi="Times New Roman" w:cs="Times New Roman"/>
          <w:sz w:val="24"/>
          <w:szCs w:val="24"/>
          <w:lang w:eastAsia="zh-CN"/>
        </w:rPr>
      </w:pPr>
    </w:p>
    <w:p w:rsidR="00FC011C" w:rsidRPr="00B031E4" w:rsidRDefault="00FC011C" w:rsidP="00F3184E">
      <w:pPr>
        <w:widowControl w:val="0"/>
        <w:spacing w:after="0" w:line="276" w:lineRule="auto"/>
        <w:jc w:val="center"/>
        <w:rPr>
          <w:rFonts w:ascii="Times New Roman" w:eastAsia="SimSun" w:hAnsi="Times New Roman" w:cs="Times New Roman"/>
          <w:b/>
          <w:sz w:val="24"/>
          <w:szCs w:val="24"/>
          <w:lang w:eastAsia="zh-CN"/>
        </w:rPr>
      </w:pPr>
      <w:r w:rsidRPr="00B031E4">
        <w:rPr>
          <w:rFonts w:ascii="Times New Roman" w:eastAsia="SimSun" w:hAnsi="Times New Roman" w:cs="Times New Roman"/>
          <w:b/>
          <w:sz w:val="24"/>
          <w:szCs w:val="24"/>
          <w:lang w:eastAsia="zh-CN"/>
        </w:rPr>
        <w:lastRenderedPageBreak/>
        <w:t>V E N D O S I</w:t>
      </w:r>
    </w:p>
    <w:p w:rsidR="00E708A0" w:rsidRPr="00B031E4" w:rsidRDefault="00E708A0" w:rsidP="00F3184E">
      <w:pPr>
        <w:widowControl w:val="0"/>
        <w:spacing w:after="0" w:line="276" w:lineRule="auto"/>
        <w:jc w:val="center"/>
        <w:rPr>
          <w:rFonts w:ascii="Times New Roman" w:eastAsia="SimSun" w:hAnsi="Times New Roman" w:cs="Times New Roman"/>
          <w:b/>
          <w:sz w:val="24"/>
          <w:szCs w:val="24"/>
          <w:u w:val="single"/>
          <w:lang w:eastAsia="zh-CN"/>
        </w:rPr>
      </w:pPr>
    </w:p>
    <w:p w:rsidR="00F3184E" w:rsidRPr="00F3184E" w:rsidRDefault="00F3184E" w:rsidP="00F3184E">
      <w:pPr>
        <w:widowControl w:val="0"/>
        <w:spacing w:after="0" w:line="276" w:lineRule="auto"/>
        <w:jc w:val="both"/>
        <w:rPr>
          <w:rFonts w:ascii="Times New Roman" w:hAnsi="Times New Roman" w:cs="Times New Roman"/>
          <w:sz w:val="24"/>
          <w:szCs w:val="24"/>
        </w:rPr>
      </w:pPr>
      <w:r w:rsidRPr="00F3184E">
        <w:rPr>
          <w:rFonts w:ascii="Times New Roman" w:hAnsi="Times New Roman" w:cs="Times New Roman"/>
          <w:b/>
          <w:sz w:val="24"/>
          <w:szCs w:val="24"/>
        </w:rPr>
        <w:t>Ndryshimin e aktit administrativ</w:t>
      </w:r>
      <w:r w:rsidRPr="00F3184E">
        <w:rPr>
          <w:rFonts w:ascii="Times New Roman" w:hAnsi="Times New Roman" w:cs="Times New Roman"/>
          <w:sz w:val="24"/>
          <w:szCs w:val="24"/>
        </w:rPr>
        <w:t>, njoftim vlerësimit</w:t>
      </w:r>
      <w:r>
        <w:rPr>
          <w:rFonts w:ascii="Times New Roman" w:hAnsi="Times New Roman" w:cs="Times New Roman"/>
          <w:sz w:val="24"/>
          <w:szCs w:val="24"/>
        </w:rPr>
        <w:t>,</w:t>
      </w:r>
      <w:r w:rsidRPr="00F3184E">
        <w:rPr>
          <w:rFonts w:ascii="Times New Roman" w:hAnsi="Times New Roman" w:cs="Times New Roman"/>
          <w:sz w:val="24"/>
          <w:szCs w:val="24"/>
        </w:rPr>
        <w:t xml:space="preserve"> s</w:t>
      </w:r>
      <w:r>
        <w:rPr>
          <w:rFonts w:ascii="Times New Roman" w:hAnsi="Times New Roman" w:cs="Times New Roman"/>
          <w:sz w:val="24"/>
          <w:szCs w:val="24"/>
        </w:rPr>
        <w:t>i</w:t>
      </w:r>
      <w:r w:rsidRPr="00F3184E">
        <w:rPr>
          <w:rFonts w:ascii="Times New Roman" w:hAnsi="Times New Roman" w:cs="Times New Roman"/>
          <w:sz w:val="24"/>
          <w:szCs w:val="24"/>
        </w:rPr>
        <w:t xml:space="preserve"> më poshtë:</w:t>
      </w:r>
    </w:p>
    <w:p w:rsidR="00F3184E" w:rsidRDefault="00F3184E" w:rsidP="00F3184E">
      <w:pPr>
        <w:pStyle w:val="ListParagraph"/>
        <w:widowControl w:val="0"/>
        <w:spacing w:after="0" w:line="276" w:lineRule="auto"/>
        <w:jc w:val="both"/>
        <w:rPr>
          <w:rFonts w:ascii="Times New Roman" w:hAnsi="Times New Roman" w:cs="Times New Roman"/>
          <w:sz w:val="24"/>
          <w:szCs w:val="24"/>
        </w:rPr>
      </w:pPr>
    </w:p>
    <w:p w:rsidR="00F3184E" w:rsidRPr="00F3184E" w:rsidRDefault="00F3184E" w:rsidP="00F3184E">
      <w:pPr>
        <w:pStyle w:val="ListParagraph"/>
        <w:widowControl w:val="0"/>
        <w:numPr>
          <w:ilvl w:val="0"/>
          <w:numId w:val="36"/>
        </w:numPr>
        <w:spacing w:after="0" w:line="276" w:lineRule="auto"/>
        <w:jc w:val="both"/>
        <w:rPr>
          <w:rFonts w:ascii="Times New Roman" w:hAnsi="Times New Roman" w:cs="Times New Roman"/>
          <w:sz w:val="24"/>
          <w:szCs w:val="24"/>
        </w:rPr>
      </w:pPr>
      <w:r>
        <w:rPr>
          <w:rFonts w:ascii="Times New Roman" w:hAnsi="Times New Roman" w:cs="Times New Roman"/>
          <w:b/>
          <w:sz w:val="24"/>
          <w:szCs w:val="24"/>
        </w:rPr>
        <w:t>Lënien në fuqi</w:t>
      </w:r>
      <w:r w:rsidRPr="00F3184E">
        <w:rPr>
          <w:rFonts w:ascii="Times New Roman" w:hAnsi="Times New Roman" w:cs="Times New Roman"/>
          <w:b/>
          <w:sz w:val="24"/>
          <w:szCs w:val="24"/>
        </w:rPr>
        <w:t xml:space="preserve"> </w:t>
      </w:r>
      <w:r>
        <w:rPr>
          <w:rFonts w:ascii="Times New Roman" w:hAnsi="Times New Roman" w:cs="Times New Roman"/>
          <w:b/>
          <w:sz w:val="24"/>
          <w:szCs w:val="24"/>
        </w:rPr>
        <w:t>të</w:t>
      </w:r>
      <w:r w:rsidRPr="00F3184E">
        <w:rPr>
          <w:rFonts w:ascii="Times New Roman" w:hAnsi="Times New Roman" w:cs="Times New Roman"/>
          <w:b/>
          <w:sz w:val="24"/>
          <w:szCs w:val="24"/>
        </w:rPr>
        <w:t xml:space="preserve"> aktit administrativ</w:t>
      </w:r>
      <w:r w:rsidRPr="00F3184E">
        <w:rPr>
          <w:rFonts w:ascii="Times New Roman" w:hAnsi="Times New Roman" w:cs="Times New Roman"/>
          <w:sz w:val="24"/>
          <w:szCs w:val="24"/>
        </w:rPr>
        <w:t xml:space="preserve">, njoftim vlerësimit </w:t>
      </w:r>
      <w:r>
        <w:rPr>
          <w:rFonts w:ascii="Times New Roman" w:hAnsi="Times New Roman" w:cs="Times New Roman"/>
          <w:sz w:val="24"/>
          <w:szCs w:val="24"/>
        </w:rPr>
        <w:t>për detyrimet si më poshtë</w:t>
      </w:r>
      <w:r w:rsidRPr="00F3184E">
        <w:rPr>
          <w:rFonts w:ascii="Times New Roman" w:hAnsi="Times New Roman" w:cs="Times New Roman"/>
          <w:sz w:val="24"/>
          <w:szCs w:val="24"/>
        </w:rPr>
        <w:t>:</w:t>
      </w:r>
    </w:p>
    <w:p w:rsidR="00F3184E" w:rsidRDefault="00F3184E" w:rsidP="00F3184E">
      <w:pPr>
        <w:widowControl w:val="0"/>
        <w:spacing w:after="0" w:line="276" w:lineRule="auto"/>
        <w:ind w:left="1440" w:hanging="1440"/>
        <w:jc w:val="both"/>
        <w:rPr>
          <w:rFonts w:ascii="Times New Roman" w:hAnsi="Times New Roman" w:cs="Times New Roman"/>
          <w:sz w:val="24"/>
          <w:szCs w:val="24"/>
        </w:rPr>
      </w:pPr>
    </w:p>
    <w:tbl>
      <w:tblPr>
        <w:tblW w:w="4966" w:type="pct"/>
        <w:tblLook w:val="04A0" w:firstRow="1" w:lastRow="0" w:firstColumn="1" w:lastColumn="0" w:noHBand="0" w:noVBand="1"/>
      </w:tblPr>
      <w:tblGrid>
        <w:gridCol w:w="1591"/>
        <w:gridCol w:w="1005"/>
        <w:gridCol w:w="1078"/>
        <w:gridCol w:w="961"/>
        <w:gridCol w:w="1435"/>
        <w:gridCol w:w="1904"/>
        <w:gridCol w:w="982"/>
      </w:tblGrid>
      <w:tr w:rsidR="00F3184E" w:rsidRPr="00D7646B" w:rsidTr="00F3184E">
        <w:trPr>
          <w:trHeight w:val="20"/>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Tatimi</w:t>
            </w:r>
          </w:p>
        </w:tc>
        <w:tc>
          <w:tcPr>
            <w:tcW w:w="548"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Periudha</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Detyrim</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Kamatë-vonesa</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Gjobë pages</w:t>
            </w:r>
            <w:r>
              <w:rPr>
                <w:sz w:val="20"/>
                <w:szCs w:val="20"/>
              </w:rPr>
              <w:t>ë</w:t>
            </w:r>
            <w:r w:rsidRPr="00D7646B">
              <w:rPr>
                <w:sz w:val="20"/>
                <w:szCs w:val="20"/>
              </w:rPr>
              <w:t xml:space="preserve"> e vonuar</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Gjobë për deklarim të pasaktë</w:t>
            </w:r>
          </w:p>
        </w:tc>
        <w:tc>
          <w:tcPr>
            <w:tcW w:w="553"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Shuma</w:t>
            </w:r>
          </w:p>
        </w:tc>
      </w:tr>
      <w:tr w:rsidR="00F3184E" w:rsidRPr="00D7646B" w:rsidTr="00F3184E">
        <w:trPr>
          <w:trHeight w:val="20"/>
        </w:trPr>
        <w:tc>
          <w:tcPr>
            <w:tcW w:w="894" w:type="pct"/>
            <w:tcBorders>
              <w:top w:val="nil"/>
              <w:left w:val="single" w:sz="4" w:space="0" w:color="auto"/>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Gjobe inspektori</w:t>
            </w:r>
          </w:p>
        </w:tc>
        <w:tc>
          <w:tcPr>
            <w:tcW w:w="548"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p>
        </w:tc>
        <w:tc>
          <w:tcPr>
            <w:tcW w:w="607"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p>
        </w:tc>
        <w:tc>
          <w:tcPr>
            <w:tcW w:w="523" w:type="pct"/>
            <w:tcBorders>
              <w:top w:val="nil"/>
              <w:left w:val="nil"/>
              <w:bottom w:val="single" w:sz="4" w:space="0" w:color="auto"/>
              <w:right w:val="single" w:sz="4" w:space="0" w:color="auto"/>
            </w:tcBorders>
            <w:shd w:val="clear" w:color="auto" w:fill="auto"/>
            <w:noWrap/>
            <w:vAlign w:val="center"/>
            <w:hideMark/>
          </w:tcPr>
          <w:p w:rsidR="00F3184E" w:rsidRPr="00D7646B" w:rsidRDefault="00F3184E" w:rsidP="00F3184E">
            <w:pPr>
              <w:pStyle w:val="Subtitle"/>
              <w:widowControl w:val="0"/>
              <w:spacing w:line="276" w:lineRule="auto"/>
              <w:rPr>
                <w:b w:val="0"/>
                <w:sz w:val="20"/>
                <w:szCs w:val="20"/>
              </w:rPr>
            </w:pPr>
          </w:p>
        </w:tc>
        <w:tc>
          <w:tcPr>
            <w:tcW w:w="806"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p>
        </w:tc>
        <w:tc>
          <w:tcPr>
            <w:tcW w:w="1068"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50,000</w:t>
            </w:r>
          </w:p>
        </w:tc>
        <w:tc>
          <w:tcPr>
            <w:tcW w:w="553"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50,000</w:t>
            </w:r>
          </w:p>
        </w:tc>
      </w:tr>
      <w:tr w:rsidR="00F3184E" w:rsidRPr="00D7646B" w:rsidTr="00F3184E">
        <w:trPr>
          <w:trHeight w:val="20"/>
        </w:trPr>
        <w:tc>
          <w:tcPr>
            <w:tcW w:w="894" w:type="pct"/>
            <w:tcBorders>
              <w:top w:val="nil"/>
              <w:left w:val="single" w:sz="4" w:space="0" w:color="auto"/>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Gjobe inspektori</w:t>
            </w:r>
          </w:p>
        </w:tc>
        <w:tc>
          <w:tcPr>
            <w:tcW w:w="548"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p>
        </w:tc>
        <w:tc>
          <w:tcPr>
            <w:tcW w:w="607"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p>
        </w:tc>
        <w:tc>
          <w:tcPr>
            <w:tcW w:w="523" w:type="pct"/>
            <w:tcBorders>
              <w:top w:val="nil"/>
              <w:left w:val="nil"/>
              <w:bottom w:val="single" w:sz="4" w:space="0" w:color="auto"/>
              <w:right w:val="single" w:sz="4" w:space="0" w:color="auto"/>
            </w:tcBorders>
            <w:shd w:val="clear" w:color="auto" w:fill="auto"/>
            <w:noWrap/>
            <w:vAlign w:val="center"/>
            <w:hideMark/>
          </w:tcPr>
          <w:p w:rsidR="00F3184E" w:rsidRPr="00D7646B" w:rsidRDefault="00F3184E" w:rsidP="00F3184E">
            <w:pPr>
              <w:pStyle w:val="Subtitle"/>
              <w:widowControl w:val="0"/>
              <w:spacing w:line="276" w:lineRule="auto"/>
              <w:rPr>
                <w:b w:val="0"/>
                <w:sz w:val="20"/>
                <w:szCs w:val="20"/>
              </w:rPr>
            </w:pPr>
          </w:p>
        </w:tc>
        <w:tc>
          <w:tcPr>
            <w:tcW w:w="806"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p>
        </w:tc>
        <w:tc>
          <w:tcPr>
            <w:tcW w:w="1068"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50,000</w:t>
            </w:r>
          </w:p>
        </w:tc>
        <w:tc>
          <w:tcPr>
            <w:tcW w:w="553"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50,000</w:t>
            </w:r>
          </w:p>
        </w:tc>
      </w:tr>
    </w:tbl>
    <w:p w:rsidR="00F3184E" w:rsidRPr="00F3184E" w:rsidRDefault="00F3184E" w:rsidP="00F3184E">
      <w:pPr>
        <w:pStyle w:val="ListParagraph"/>
        <w:widowControl w:val="0"/>
        <w:spacing w:after="0" w:line="276" w:lineRule="auto"/>
        <w:jc w:val="both"/>
        <w:rPr>
          <w:rFonts w:ascii="Times New Roman" w:hAnsi="Times New Roman" w:cs="Times New Roman"/>
          <w:sz w:val="24"/>
          <w:szCs w:val="24"/>
        </w:rPr>
      </w:pPr>
    </w:p>
    <w:p w:rsidR="00AC4385" w:rsidRPr="00F3184E" w:rsidRDefault="00353821" w:rsidP="00F3184E">
      <w:pPr>
        <w:pStyle w:val="ListParagraph"/>
        <w:widowControl w:val="0"/>
        <w:numPr>
          <w:ilvl w:val="0"/>
          <w:numId w:val="36"/>
        </w:numPr>
        <w:spacing w:after="0" w:line="276" w:lineRule="auto"/>
        <w:jc w:val="both"/>
        <w:rPr>
          <w:rFonts w:ascii="Times New Roman" w:hAnsi="Times New Roman" w:cs="Times New Roman"/>
          <w:sz w:val="24"/>
          <w:szCs w:val="24"/>
        </w:rPr>
      </w:pPr>
      <w:r w:rsidRPr="00F3184E">
        <w:rPr>
          <w:rFonts w:ascii="Times New Roman" w:hAnsi="Times New Roman" w:cs="Times New Roman"/>
          <w:b/>
          <w:sz w:val="24"/>
          <w:szCs w:val="24"/>
        </w:rPr>
        <w:t>Shfuqizim</w:t>
      </w:r>
      <w:r w:rsidR="00F3184E">
        <w:rPr>
          <w:rFonts w:ascii="Times New Roman" w:hAnsi="Times New Roman" w:cs="Times New Roman"/>
          <w:b/>
          <w:sz w:val="24"/>
          <w:szCs w:val="24"/>
        </w:rPr>
        <w:t>in</w:t>
      </w:r>
      <w:r w:rsidR="00FD7413" w:rsidRPr="00F3184E">
        <w:rPr>
          <w:rFonts w:ascii="Times New Roman" w:hAnsi="Times New Roman" w:cs="Times New Roman"/>
          <w:b/>
          <w:sz w:val="24"/>
          <w:szCs w:val="24"/>
        </w:rPr>
        <w:t xml:space="preserve"> </w:t>
      </w:r>
      <w:r w:rsidR="00F3184E">
        <w:rPr>
          <w:rFonts w:ascii="Times New Roman" w:hAnsi="Times New Roman" w:cs="Times New Roman"/>
          <w:b/>
          <w:sz w:val="24"/>
          <w:szCs w:val="24"/>
        </w:rPr>
        <w:t>e</w:t>
      </w:r>
      <w:r w:rsidR="00FD7413" w:rsidRPr="00F3184E">
        <w:rPr>
          <w:rFonts w:ascii="Times New Roman" w:hAnsi="Times New Roman" w:cs="Times New Roman"/>
          <w:b/>
          <w:sz w:val="24"/>
          <w:szCs w:val="24"/>
        </w:rPr>
        <w:t xml:space="preserve"> aktit administrativ</w:t>
      </w:r>
      <w:r w:rsidR="00FD7413" w:rsidRPr="00F3184E">
        <w:rPr>
          <w:rFonts w:ascii="Times New Roman" w:hAnsi="Times New Roman" w:cs="Times New Roman"/>
          <w:sz w:val="24"/>
          <w:szCs w:val="24"/>
        </w:rPr>
        <w:t xml:space="preserve">, njoftim vlerësimit </w:t>
      </w:r>
      <w:r w:rsidR="00F3184E">
        <w:rPr>
          <w:rFonts w:ascii="Times New Roman" w:hAnsi="Times New Roman" w:cs="Times New Roman"/>
          <w:sz w:val="24"/>
          <w:szCs w:val="24"/>
        </w:rPr>
        <w:t>për detyrimet si më poshtë</w:t>
      </w:r>
      <w:r w:rsidR="00AC4385" w:rsidRPr="00F3184E">
        <w:rPr>
          <w:rFonts w:ascii="Times New Roman" w:hAnsi="Times New Roman" w:cs="Times New Roman"/>
          <w:sz w:val="24"/>
          <w:szCs w:val="24"/>
        </w:rPr>
        <w:t>:</w:t>
      </w:r>
    </w:p>
    <w:p w:rsidR="00AC4385" w:rsidRDefault="00AC4385" w:rsidP="00F3184E">
      <w:pPr>
        <w:widowControl w:val="0"/>
        <w:spacing w:after="0" w:line="276" w:lineRule="auto"/>
        <w:ind w:left="1440" w:hanging="1440"/>
        <w:jc w:val="both"/>
        <w:rPr>
          <w:rFonts w:ascii="Times New Roman" w:hAnsi="Times New Roman" w:cs="Times New Roman"/>
          <w:sz w:val="24"/>
          <w:szCs w:val="24"/>
        </w:rPr>
      </w:pPr>
    </w:p>
    <w:tbl>
      <w:tblPr>
        <w:tblW w:w="4966" w:type="pct"/>
        <w:tblLook w:val="04A0" w:firstRow="1" w:lastRow="0" w:firstColumn="1" w:lastColumn="0" w:noHBand="0" w:noVBand="1"/>
      </w:tblPr>
      <w:tblGrid>
        <w:gridCol w:w="1591"/>
        <w:gridCol w:w="1005"/>
        <w:gridCol w:w="1078"/>
        <w:gridCol w:w="961"/>
        <w:gridCol w:w="1435"/>
        <w:gridCol w:w="1904"/>
        <w:gridCol w:w="982"/>
      </w:tblGrid>
      <w:tr w:rsidR="00F3184E" w:rsidRPr="00D7646B" w:rsidTr="00F3184E">
        <w:trPr>
          <w:trHeight w:val="20"/>
        </w:trPr>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Tatimi</w:t>
            </w:r>
          </w:p>
        </w:tc>
        <w:tc>
          <w:tcPr>
            <w:tcW w:w="548"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Periudha</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Detyrim</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Kamatë-vonesa</w:t>
            </w:r>
          </w:p>
        </w:tc>
        <w:tc>
          <w:tcPr>
            <w:tcW w:w="806"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Gjobë pages</w:t>
            </w:r>
            <w:r>
              <w:rPr>
                <w:sz w:val="20"/>
                <w:szCs w:val="20"/>
              </w:rPr>
              <w:t>ë</w:t>
            </w:r>
            <w:r w:rsidRPr="00D7646B">
              <w:rPr>
                <w:sz w:val="20"/>
                <w:szCs w:val="20"/>
              </w:rPr>
              <w:t xml:space="preserve"> e vonuar</w:t>
            </w:r>
          </w:p>
        </w:tc>
        <w:tc>
          <w:tcPr>
            <w:tcW w:w="1068"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Gjobë për deklarim të pasaktë</w:t>
            </w:r>
          </w:p>
        </w:tc>
        <w:tc>
          <w:tcPr>
            <w:tcW w:w="553"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sz w:val="20"/>
                <w:szCs w:val="20"/>
              </w:rPr>
            </w:pPr>
            <w:r w:rsidRPr="00D7646B">
              <w:rPr>
                <w:sz w:val="20"/>
                <w:szCs w:val="20"/>
              </w:rPr>
              <w:t>Shuma</w:t>
            </w:r>
          </w:p>
        </w:tc>
      </w:tr>
      <w:tr w:rsidR="00F3184E" w:rsidRPr="00D7646B" w:rsidTr="00F3184E">
        <w:trPr>
          <w:trHeight w:val="20"/>
        </w:trPr>
        <w:tc>
          <w:tcPr>
            <w:tcW w:w="894" w:type="pct"/>
            <w:tcBorders>
              <w:top w:val="nil"/>
              <w:left w:val="single" w:sz="4" w:space="0" w:color="auto"/>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TVSH</w:t>
            </w:r>
          </w:p>
        </w:tc>
        <w:tc>
          <w:tcPr>
            <w:tcW w:w="548"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201912</w:t>
            </w:r>
          </w:p>
        </w:tc>
        <w:tc>
          <w:tcPr>
            <w:tcW w:w="607" w:type="pct"/>
            <w:tcBorders>
              <w:top w:val="nil"/>
              <w:left w:val="nil"/>
              <w:bottom w:val="single" w:sz="4" w:space="0" w:color="auto"/>
              <w:right w:val="single" w:sz="4" w:space="0" w:color="auto"/>
            </w:tcBorders>
            <w:shd w:val="clear" w:color="auto" w:fill="auto"/>
            <w:noWrap/>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455,000</w:t>
            </w:r>
          </w:p>
        </w:tc>
        <w:tc>
          <w:tcPr>
            <w:tcW w:w="523"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56,814</w:t>
            </w:r>
          </w:p>
        </w:tc>
        <w:tc>
          <w:tcPr>
            <w:tcW w:w="806" w:type="pct"/>
            <w:tcBorders>
              <w:top w:val="nil"/>
              <w:left w:val="nil"/>
              <w:bottom w:val="single" w:sz="4" w:space="0" w:color="auto"/>
              <w:right w:val="single" w:sz="4" w:space="0" w:color="auto"/>
            </w:tcBorders>
            <w:shd w:val="clear" w:color="auto" w:fill="auto"/>
            <w:noWrap/>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99,645</w:t>
            </w:r>
          </w:p>
        </w:tc>
        <w:tc>
          <w:tcPr>
            <w:tcW w:w="1068"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355,355</w:t>
            </w:r>
          </w:p>
        </w:tc>
        <w:tc>
          <w:tcPr>
            <w:tcW w:w="553"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pStyle w:val="Subtitle"/>
              <w:widowControl w:val="0"/>
              <w:spacing w:line="276" w:lineRule="auto"/>
              <w:rPr>
                <w:b w:val="0"/>
                <w:sz w:val="20"/>
                <w:szCs w:val="20"/>
              </w:rPr>
            </w:pPr>
            <w:r w:rsidRPr="00D7646B">
              <w:rPr>
                <w:b w:val="0"/>
                <w:sz w:val="20"/>
                <w:szCs w:val="20"/>
              </w:rPr>
              <w:t>966,814</w:t>
            </w:r>
          </w:p>
        </w:tc>
      </w:tr>
    </w:tbl>
    <w:p w:rsidR="00804888" w:rsidRPr="00B031E4" w:rsidRDefault="00804888" w:rsidP="00F3184E">
      <w:pPr>
        <w:pStyle w:val="ListParagraph"/>
        <w:widowControl w:val="0"/>
        <w:spacing w:after="0" w:line="276" w:lineRule="auto"/>
        <w:ind w:left="1080"/>
        <w:jc w:val="both"/>
        <w:rPr>
          <w:rFonts w:ascii="Times New Roman" w:hAnsi="Times New Roman" w:cs="Times New Roman"/>
          <w:sz w:val="24"/>
          <w:szCs w:val="24"/>
        </w:rPr>
      </w:pPr>
    </w:p>
    <w:p w:rsidR="009420C0" w:rsidRDefault="009420C0" w:rsidP="00F3184E">
      <w:pPr>
        <w:pStyle w:val="NoSpacing"/>
        <w:widowControl w:val="0"/>
        <w:spacing w:line="276" w:lineRule="auto"/>
        <w:jc w:val="both"/>
        <w:rPr>
          <w:i/>
        </w:rPr>
      </w:pPr>
      <w:r>
        <w:rPr>
          <w:i/>
        </w:rPr>
        <w:t>Drejtoria e Apelimit Tatimor, bazuar në Udhëzimin nr. 24, datë 02.09.2008 “Për Procedurat Tatimore në R.Sh”, paragrafi 108.3.</w:t>
      </w:r>
      <w:r w:rsidR="00EC4265">
        <w:rPr>
          <w:i/>
        </w:rPr>
        <w:t>6</w:t>
      </w:r>
      <w:r>
        <w:rPr>
          <w:i/>
        </w:rPr>
        <w:t xml:space="preserve"> dhe 108.3.</w:t>
      </w:r>
      <w:r w:rsidR="00EC4265">
        <w:rPr>
          <w:i/>
        </w:rPr>
        <w:t>7</w:t>
      </w:r>
      <w:r>
        <w:rPr>
          <w:i/>
        </w:rPr>
        <w:t>, pas anullimit të njoftim vlerësimit të ankimuar, kërkon nga DRT zgjidhjen e çështjes referuar trajtimit në pjesën arsyetuese të vendimit, duke marr</w:t>
      </w:r>
      <w:r w:rsidRPr="009420C0">
        <w:rPr>
          <w:i/>
        </w:rPr>
        <w:t>ë</w:t>
      </w:r>
      <w:r>
        <w:rPr>
          <w:i/>
        </w:rPr>
        <w:t xml:space="preserve"> m</w:t>
      </w:r>
      <w:r w:rsidRPr="009420C0">
        <w:rPr>
          <w:i/>
        </w:rPr>
        <w:t>ë</w:t>
      </w:r>
      <w:r>
        <w:rPr>
          <w:i/>
        </w:rPr>
        <w:t xml:space="preserve"> par</w:t>
      </w:r>
      <w:r w:rsidRPr="009420C0">
        <w:rPr>
          <w:i/>
        </w:rPr>
        <w:t>ë</w:t>
      </w:r>
      <w:r>
        <w:rPr>
          <w:i/>
        </w:rPr>
        <w:t xml:space="preserve"> miratimin e vler</w:t>
      </w:r>
      <w:r w:rsidRPr="009420C0">
        <w:rPr>
          <w:i/>
        </w:rPr>
        <w:t>ë</w:t>
      </w:r>
      <w:r>
        <w:rPr>
          <w:i/>
        </w:rPr>
        <w:t>simit nga drejtori rajonal.</w:t>
      </w:r>
    </w:p>
    <w:p w:rsidR="009420C0" w:rsidRDefault="009420C0" w:rsidP="00F3184E">
      <w:pPr>
        <w:pStyle w:val="NoSpacing"/>
        <w:widowControl w:val="0"/>
        <w:spacing w:line="276" w:lineRule="auto"/>
        <w:jc w:val="both"/>
      </w:pPr>
    </w:p>
    <w:p w:rsidR="00F3184E" w:rsidRDefault="00F3184E" w:rsidP="00F3184E">
      <w:pPr>
        <w:pStyle w:val="ListParagraph"/>
        <w:widowControl w:val="0"/>
        <w:numPr>
          <w:ilvl w:val="0"/>
          <w:numId w:val="36"/>
        </w:numPr>
        <w:spacing w:after="0" w:line="276" w:lineRule="auto"/>
        <w:jc w:val="both"/>
        <w:rPr>
          <w:rFonts w:ascii="Times New Roman" w:hAnsi="Times New Roman" w:cs="Times New Roman"/>
          <w:sz w:val="24"/>
          <w:szCs w:val="24"/>
        </w:rPr>
      </w:pPr>
      <w:r w:rsidRPr="00F3184E">
        <w:rPr>
          <w:rFonts w:ascii="Times New Roman" w:hAnsi="Times New Roman" w:cs="Times New Roman"/>
          <w:b/>
          <w:sz w:val="24"/>
          <w:szCs w:val="24"/>
        </w:rPr>
        <w:t>Shfuqizim</w:t>
      </w:r>
      <w:r>
        <w:rPr>
          <w:rFonts w:ascii="Times New Roman" w:hAnsi="Times New Roman" w:cs="Times New Roman"/>
          <w:b/>
          <w:sz w:val="24"/>
          <w:szCs w:val="24"/>
        </w:rPr>
        <w:t>in</w:t>
      </w:r>
      <w:r w:rsidRPr="00F3184E">
        <w:rPr>
          <w:rFonts w:ascii="Times New Roman" w:hAnsi="Times New Roman" w:cs="Times New Roman"/>
          <w:b/>
          <w:sz w:val="24"/>
          <w:szCs w:val="24"/>
        </w:rPr>
        <w:t xml:space="preserve"> </w:t>
      </w:r>
      <w:r>
        <w:rPr>
          <w:rFonts w:ascii="Times New Roman" w:hAnsi="Times New Roman" w:cs="Times New Roman"/>
          <w:b/>
          <w:sz w:val="24"/>
          <w:szCs w:val="24"/>
        </w:rPr>
        <w:t>e</w:t>
      </w:r>
      <w:r w:rsidRPr="00F3184E">
        <w:rPr>
          <w:rFonts w:ascii="Times New Roman" w:hAnsi="Times New Roman" w:cs="Times New Roman"/>
          <w:b/>
          <w:sz w:val="24"/>
          <w:szCs w:val="24"/>
        </w:rPr>
        <w:t xml:space="preserve"> aktit administrativ</w:t>
      </w:r>
      <w:r w:rsidRPr="00F3184E">
        <w:rPr>
          <w:rFonts w:ascii="Times New Roman" w:hAnsi="Times New Roman" w:cs="Times New Roman"/>
          <w:sz w:val="24"/>
          <w:szCs w:val="24"/>
        </w:rPr>
        <w:t>, njoftim vlerësimit</w:t>
      </w:r>
      <w:r>
        <w:rPr>
          <w:rFonts w:ascii="Times New Roman" w:hAnsi="Times New Roman" w:cs="Times New Roman"/>
          <w:sz w:val="24"/>
          <w:szCs w:val="24"/>
        </w:rPr>
        <w:t>, për detyrimet si më poshtë</w:t>
      </w:r>
      <w:r w:rsidRPr="00F3184E">
        <w:rPr>
          <w:rFonts w:ascii="Times New Roman" w:hAnsi="Times New Roman" w:cs="Times New Roman"/>
          <w:sz w:val="24"/>
          <w:szCs w:val="24"/>
        </w:rPr>
        <w:t>:</w:t>
      </w:r>
    </w:p>
    <w:p w:rsidR="00F3184E" w:rsidRDefault="00F3184E" w:rsidP="00F3184E">
      <w:pPr>
        <w:pStyle w:val="ListParagraph"/>
        <w:widowControl w:val="0"/>
        <w:spacing w:after="0" w:line="276" w:lineRule="auto"/>
        <w:jc w:val="both"/>
        <w:rPr>
          <w:rFonts w:ascii="Times New Roman" w:hAnsi="Times New Roman" w:cs="Times New Roman"/>
          <w:sz w:val="24"/>
          <w:szCs w:val="24"/>
        </w:rPr>
      </w:pPr>
    </w:p>
    <w:tbl>
      <w:tblPr>
        <w:tblW w:w="5000" w:type="pct"/>
        <w:tblLook w:val="04A0" w:firstRow="1" w:lastRow="0" w:firstColumn="1" w:lastColumn="0" w:noHBand="0" w:noVBand="1"/>
      </w:tblPr>
      <w:tblGrid>
        <w:gridCol w:w="1897"/>
        <w:gridCol w:w="1005"/>
        <w:gridCol w:w="952"/>
        <w:gridCol w:w="964"/>
        <w:gridCol w:w="1377"/>
        <w:gridCol w:w="1934"/>
        <w:gridCol w:w="888"/>
      </w:tblGrid>
      <w:tr w:rsidR="00F3184E" w:rsidRPr="00D7646B" w:rsidTr="00F3184E">
        <w:trPr>
          <w:trHeight w:val="20"/>
        </w:trPr>
        <w:tc>
          <w:tcPr>
            <w:tcW w:w="10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Tatimi</w:t>
            </w:r>
            <w:proofErr w:type="spellEnd"/>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Periudha</w:t>
            </w:r>
            <w:proofErr w:type="spellEnd"/>
          </w:p>
        </w:tc>
        <w:tc>
          <w:tcPr>
            <w:tcW w:w="530"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Detyrim</w:t>
            </w:r>
            <w:proofErr w:type="spellEnd"/>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Kamatë-vonesa</w:t>
            </w:r>
            <w:proofErr w:type="spellEnd"/>
          </w:p>
        </w:tc>
        <w:tc>
          <w:tcPr>
            <w:tcW w:w="766"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Gjobë</w:t>
            </w:r>
            <w:proofErr w:type="spellEnd"/>
            <w:r w:rsidRPr="00D7646B">
              <w:rPr>
                <w:rFonts w:ascii="Times New Roman" w:eastAsia="Times New Roman" w:hAnsi="Times New Roman" w:cs="Times New Roman"/>
                <w:b/>
                <w:color w:val="000000"/>
                <w:sz w:val="20"/>
                <w:szCs w:val="20"/>
                <w:lang w:val="en-US"/>
              </w:rPr>
              <w:t xml:space="preserve"> </w:t>
            </w:r>
            <w:proofErr w:type="spellStart"/>
            <w:r w:rsidRPr="00D7646B">
              <w:rPr>
                <w:rFonts w:ascii="Times New Roman" w:eastAsia="Times New Roman" w:hAnsi="Times New Roman" w:cs="Times New Roman"/>
                <w:b/>
                <w:color w:val="000000"/>
                <w:sz w:val="20"/>
                <w:szCs w:val="20"/>
                <w:lang w:val="en-US"/>
              </w:rPr>
              <w:t>pages</w:t>
            </w:r>
            <w:r>
              <w:rPr>
                <w:rFonts w:ascii="Times New Roman" w:eastAsia="Times New Roman" w:hAnsi="Times New Roman" w:cs="Times New Roman"/>
                <w:b/>
                <w:color w:val="000000"/>
                <w:sz w:val="20"/>
                <w:szCs w:val="20"/>
                <w:lang w:val="en-US"/>
              </w:rPr>
              <w:t>ë</w:t>
            </w:r>
            <w:proofErr w:type="spellEnd"/>
            <w:r w:rsidRPr="00D7646B">
              <w:rPr>
                <w:rFonts w:ascii="Times New Roman" w:eastAsia="Times New Roman" w:hAnsi="Times New Roman" w:cs="Times New Roman"/>
                <w:b/>
                <w:color w:val="000000"/>
                <w:sz w:val="20"/>
                <w:szCs w:val="20"/>
                <w:lang w:val="en-US"/>
              </w:rPr>
              <w:t xml:space="preserve"> e </w:t>
            </w:r>
            <w:proofErr w:type="spellStart"/>
            <w:r w:rsidRPr="00D7646B">
              <w:rPr>
                <w:rFonts w:ascii="Times New Roman" w:eastAsia="Times New Roman" w:hAnsi="Times New Roman" w:cs="Times New Roman"/>
                <w:b/>
                <w:color w:val="000000"/>
                <w:sz w:val="20"/>
                <w:szCs w:val="20"/>
                <w:lang w:val="en-US"/>
              </w:rPr>
              <w:t>vonuar</w:t>
            </w:r>
            <w:proofErr w:type="spellEnd"/>
          </w:p>
        </w:tc>
        <w:tc>
          <w:tcPr>
            <w:tcW w:w="1074"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Gjobë</w:t>
            </w:r>
            <w:proofErr w:type="spellEnd"/>
            <w:r w:rsidRPr="00D7646B">
              <w:rPr>
                <w:rFonts w:ascii="Times New Roman" w:eastAsia="Times New Roman" w:hAnsi="Times New Roman" w:cs="Times New Roman"/>
                <w:b/>
                <w:color w:val="000000"/>
                <w:sz w:val="20"/>
                <w:szCs w:val="20"/>
                <w:lang w:val="en-US"/>
              </w:rPr>
              <w:t xml:space="preserve"> </w:t>
            </w:r>
            <w:proofErr w:type="spellStart"/>
            <w:r w:rsidRPr="00D7646B">
              <w:rPr>
                <w:rFonts w:ascii="Times New Roman" w:eastAsia="Times New Roman" w:hAnsi="Times New Roman" w:cs="Times New Roman"/>
                <w:b/>
                <w:color w:val="000000"/>
                <w:sz w:val="20"/>
                <w:szCs w:val="20"/>
                <w:lang w:val="en-US"/>
              </w:rPr>
              <w:t>për</w:t>
            </w:r>
            <w:proofErr w:type="spellEnd"/>
            <w:r w:rsidRPr="00D7646B">
              <w:rPr>
                <w:rFonts w:ascii="Times New Roman" w:eastAsia="Times New Roman" w:hAnsi="Times New Roman" w:cs="Times New Roman"/>
                <w:b/>
                <w:color w:val="000000"/>
                <w:sz w:val="20"/>
                <w:szCs w:val="20"/>
                <w:lang w:val="en-US"/>
              </w:rPr>
              <w:t xml:space="preserve"> </w:t>
            </w:r>
            <w:proofErr w:type="spellStart"/>
            <w:r w:rsidRPr="00D7646B">
              <w:rPr>
                <w:rFonts w:ascii="Times New Roman" w:eastAsia="Times New Roman" w:hAnsi="Times New Roman" w:cs="Times New Roman"/>
                <w:b/>
                <w:color w:val="000000"/>
                <w:sz w:val="20"/>
                <w:szCs w:val="20"/>
                <w:lang w:val="en-US"/>
              </w:rPr>
              <w:t>deklarim</w:t>
            </w:r>
            <w:proofErr w:type="spellEnd"/>
            <w:r w:rsidRPr="00D7646B">
              <w:rPr>
                <w:rFonts w:ascii="Times New Roman" w:eastAsia="Times New Roman" w:hAnsi="Times New Roman" w:cs="Times New Roman"/>
                <w:b/>
                <w:color w:val="000000"/>
                <w:sz w:val="20"/>
                <w:szCs w:val="20"/>
                <w:lang w:val="en-US"/>
              </w:rPr>
              <w:t xml:space="preserve"> </w:t>
            </w:r>
            <w:proofErr w:type="spellStart"/>
            <w:r w:rsidRPr="00D7646B">
              <w:rPr>
                <w:rFonts w:ascii="Times New Roman" w:eastAsia="Times New Roman" w:hAnsi="Times New Roman" w:cs="Times New Roman"/>
                <w:b/>
                <w:color w:val="000000"/>
                <w:sz w:val="20"/>
                <w:szCs w:val="20"/>
                <w:lang w:val="en-US"/>
              </w:rPr>
              <w:t>të</w:t>
            </w:r>
            <w:proofErr w:type="spellEnd"/>
            <w:r w:rsidRPr="00D7646B">
              <w:rPr>
                <w:rFonts w:ascii="Times New Roman" w:eastAsia="Times New Roman" w:hAnsi="Times New Roman" w:cs="Times New Roman"/>
                <w:b/>
                <w:color w:val="000000"/>
                <w:sz w:val="20"/>
                <w:szCs w:val="20"/>
                <w:lang w:val="en-US"/>
              </w:rPr>
              <w:t xml:space="preserve"> </w:t>
            </w:r>
            <w:proofErr w:type="spellStart"/>
            <w:r w:rsidRPr="00D7646B">
              <w:rPr>
                <w:rFonts w:ascii="Times New Roman" w:eastAsia="Times New Roman" w:hAnsi="Times New Roman" w:cs="Times New Roman"/>
                <w:b/>
                <w:color w:val="000000"/>
                <w:sz w:val="20"/>
                <w:szCs w:val="20"/>
                <w:lang w:val="en-US"/>
              </w:rPr>
              <w:t>pasaktë</w:t>
            </w:r>
            <w:proofErr w:type="spellEnd"/>
          </w:p>
        </w:tc>
        <w:tc>
          <w:tcPr>
            <w:tcW w:w="494" w:type="pct"/>
            <w:tcBorders>
              <w:top w:val="single" w:sz="4" w:space="0" w:color="auto"/>
              <w:left w:val="nil"/>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b/>
                <w:color w:val="000000"/>
                <w:sz w:val="20"/>
                <w:szCs w:val="20"/>
                <w:lang w:val="en-US"/>
              </w:rPr>
            </w:pPr>
            <w:proofErr w:type="spellStart"/>
            <w:r w:rsidRPr="00D7646B">
              <w:rPr>
                <w:rFonts w:ascii="Times New Roman" w:eastAsia="Times New Roman" w:hAnsi="Times New Roman" w:cs="Times New Roman"/>
                <w:b/>
                <w:color w:val="000000"/>
                <w:sz w:val="20"/>
                <w:szCs w:val="20"/>
                <w:lang w:val="en-US"/>
              </w:rPr>
              <w:t>Shuma</w:t>
            </w:r>
            <w:proofErr w:type="spellEnd"/>
          </w:p>
        </w:tc>
      </w:tr>
      <w:tr w:rsidR="00F3184E" w:rsidRPr="00D7646B" w:rsidTr="00F3184E">
        <w:trPr>
          <w:trHeight w:val="20"/>
        </w:trPr>
        <w:tc>
          <w:tcPr>
            <w:tcW w:w="1054" w:type="pct"/>
            <w:tcBorders>
              <w:top w:val="nil"/>
              <w:left w:val="single" w:sz="4" w:space="0" w:color="auto"/>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color w:val="000000"/>
                <w:sz w:val="20"/>
                <w:szCs w:val="20"/>
                <w:lang w:val="en-US"/>
              </w:rPr>
            </w:pPr>
            <w:proofErr w:type="spellStart"/>
            <w:r w:rsidRPr="00D7646B">
              <w:rPr>
                <w:rFonts w:ascii="Times New Roman" w:eastAsia="Times New Roman" w:hAnsi="Times New Roman" w:cs="Times New Roman"/>
                <w:color w:val="000000"/>
                <w:sz w:val="20"/>
                <w:szCs w:val="20"/>
                <w:lang w:val="en-US"/>
              </w:rPr>
              <w:t>Tatim</w:t>
            </w:r>
            <w:proofErr w:type="spellEnd"/>
            <w:r w:rsidRPr="00D7646B">
              <w:rPr>
                <w:rFonts w:ascii="Times New Roman" w:eastAsia="Times New Roman" w:hAnsi="Times New Roman" w:cs="Times New Roman"/>
                <w:color w:val="000000"/>
                <w:sz w:val="20"/>
                <w:szCs w:val="20"/>
                <w:lang w:val="en-US"/>
              </w:rPr>
              <w:t xml:space="preserve"> </w:t>
            </w:r>
            <w:proofErr w:type="spellStart"/>
            <w:r w:rsidRPr="00D7646B">
              <w:rPr>
                <w:rFonts w:ascii="Times New Roman" w:eastAsia="Times New Roman" w:hAnsi="Times New Roman" w:cs="Times New Roman"/>
                <w:color w:val="000000"/>
                <w:sz w:val="20"/>
                <w:szCs w:val="20"/>
                <w:lang w:val="en-US"/>
              </w:rPr>
              <w:t>i</w:t>
            </w:r>
            <w:proofErr w:type="spellEnd"/>
            <w:r w:rsidRPr="00D7646B">
              <w:rPr>
                <w:rFonts w:ascii="Times New Roman" w:eastAsia="Times New Roman" w:hAnsi="Times New Roman" w:cs="Times New Roman"/>
                <w:color w:val="000000"/>
                <w:sz w:val="20"/>
                <w:szCs w:val="20"/>
                <w:lang w:val="en-US"/>
              </w:rPr>
              <w:t xml:space="preserve"> </w:t>
            </w:r>
            <w:proofErr w:type="spellStart"/>
            <w:r w:rsidRPr="00D7646B">
              <w:rPr>
                <w:rFonts w:ascii="Times New Roman" w:eastAsia="Times New Roman" w:hAnsi="Times New Roman" w:cs="Times New Roman"/>
                <w:color w:val="000000"/>
                <w:sz w:val="20"/>
                <w:szCs w:val="20"/>
                <w:lang w:val="en-US"/>
              </w:rPr>
              <w:t>Thjeshtuar</w:t>
            </w:r>
            <w:proofErr w:type="spellEnd"/>
            <w:r w:rsidRPr="00D7646B">
              <w:rPr>
                <w:rFonts w:ascii="Times New Roman" w:eastAsia="Times New Roman" w:hAnsi="Times New Roman" w:cs="Times New Roman"/>
                <w:color w:val="000000"/>
                <w:sz w:val="20"/>
                <w:szCs w:val="20"/>
                <w:lang w:val="en-US"/>
              </w:rPr>
              <w:t xml:space="preserve"> </w:t>
            </w:r>
            <w:proofErr w:type="spellStart"/>
            <w:r w:rsidRPr="00D7646B">
              <w:rPr>
                <w:rFonts w:ascii="Times New Roman" w:eastAsia="Times New Roman" w:hAnsi="Times New Roman" w:cs="Times New Roman"/>
                <w:color w:val="000000"/>
                <w:sz w:val="20"/>
                <w:szCs w:val="20"/>
                <w:lang w:val="en-US"/>
              </w:rPr>
              <w:t>mbi</w:t>
            </w:r>
            <w:proofErr w:type="spellEnd"/>
            <w:r w:rsidRPr="00D7646B">
              <w:rPr>
                <w:rFonts w:ascii="Times New Roman" w:eastAsia="Times New Roman" w:hAnsi="Times New Roman" w:cs="Times New Roman"/>
                <w:color w:val="000000"/>
                <w:sz w:val="20"/>
                <w:szCs w:val="20"/>
                <w:lang w:val="en-US"/>
              </w:rPr>
              <w:t xml:space="preserve"> </w:t>
            </w:r>
            <w:proofErr w:type="spellStart"/>
            <w:r w:rsidRPr="00D7646B">
              <w:rPr>
                <w:rFonts w:ascii="Times New Roman" w:eastAsia="Times New Roman" w:hAnsi="Times New Roman" w:cs="Times New Roman"/>
                <w:color w:val="000000"/>
                <w:sz w:val="20"/>
                <w:szCs w:val="20"/>
                <w:lang w:val="en-US"/>
              </w:rPr>
              <w:t>Fitimin</w:t>
            </w:r>
            <w:proofErr w:type="spellEnd"/>
          </w:p>
        </w:tc>
        <w:tc>
          <w:tcPr>
            <w:tcW w:w="545"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2019</w:t>
            </w:r>
          </w:p>
        </w:tc>
        <w:tc>
          <w:tcPr>
            <w:tcW w:w="530" w:type="pct"/>
            <w:tcBorders>
              <w:top w:val="nil"/>
              <w:left w:val="nil"/>
              <w:bottom w:val="single" w:sz="4" w:space="0" w:color="auto"/>
              <w:right w:val="single" w:sz="4" w:space="0" w:color="auto"/>
            </w:tcBorders>
            <w:shd w:val="clear" w:color="auto" w:fill="auto"/>
            <w:noWrap/>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186,209</w:t>
            </w:r>
          </w:p>
        </w:tc>
        <w:tc>
          <w:tcPr>
            <w:tcW w:w="537"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22,425</w:t>
            </w:r>
          </w:p>
        </w:tc>
        <w:tc>
          <w:tcPr>
            <w:tcW w:w="766" w:type="pct"/>
            <w:tcBorders>
              <w:top w:val="nil"/>
              <w:left w:val="nil"/>
              <w:bottom w:val="single" w:sz="4" w:space="0" w:color="auto"/>
              <w:right w:val="single" w:sz="4" w:space="0" w:color="auto"/>
            </w:tcBorders>
            <w:shd w:val="clear" w:color="auto" w:fill="auto"/>
            <w:noWrap/>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40,780</w:t>
            </w:r>
          </w:p>
        </w:tc>
        <w:tc>
          <w:tcPr>
            <w:tcW w:w="1074"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186,209</w:t>
            </w:r>
          </w:p>
        </w:tc>
        <w:tc>
          <w:tcPr>
            <w:tcW w:w="494" w:type="pct"/>
            <w:tcBorders>
              <w:top w:val="nil"/>
              <w:left w:val="nil"/>
              <w:bottom w:val="single" w:sz="4" w:space="0" w:color="auto"/>
              <w:right w:val="single" w:sz="4" w:space="0" w:color="auto"/>
            </w:tcBorders>
            <w:shd w:val="clear" w:color="auto" w:fill="auto"/>
            <w:vAlign w:val="center"/>
            <w:hideMark/>
          </w:tcPr>
          <w:p w:rsidR="00F3184E" w:rsidRPr="00D7646B" w:rsidRDefault="00F3184E" w:rsidP="00F3184E">
            <w:pPr>
              <w:widowControl w:val="0"/>
              <w:spacing w:after="0" w:line="276" w:lineRule="auto"/>
              <w:jc w:val="center"/>
              <w:rPr>
                <w:rFonts w:ascii="Times New Roman" w:eastAsia="Times New Roman" w:hAnsi="Times New Roman" w:cs="Times New Roman"/>
                <w:color w:val="000000"/>
                <w:sz w:val="20"/>
                <w:szCs w:val="20"/>
                <w:lang w:val="en-US"/>
              </w:rPr>
            </w:pPr>
            <w:r w:rsidRPr="00D7646B">
              <w:rPr>
                <w:rFonts w:ascii="Times New Roman" w:eastAsia="Times New Roman" w:hAnsi="Times New Roman" w:cs="Times New Roman"/>
                <w:color w:val="000000"/>
                <w:sz w:val="20"/>
                <w:szCs w:val="20"/>
                <w:lang w:val="en-US"/>
              </w:rPr>
              <w:t>435,623</w:t>
            </w:r>
          </w:p>
        </w:tc>
      </w:tr>
    </w:tbl>
    <w:p w:rsidR="00F3184E" w:rsidRDefault="00F3184E" w:rsidP="00F3184E">
      <w:pPr>
        <w:pStyle w:val="ListParagraph"/>
        <w:widowControl w:val="0"/>
        <w:spacing w:after="0" w:line="276" w:lineRule="auto"/>
        <w:jc w:val="both"/>
        <w:rPr>
          <w:rFonts w:ascii="Times New Roman" w:hAnsi="Times New Roman" w:cs="Times New Roman"/>
          <w:sz w:val="24"/>
          <w:szCs w:val="24"/>
        </w:rPr>
      </w:pPr>
    </w:p>
    <w:p w:rsidR="00F3184E" w:rsidRDefault="00F3184E" w:rsidP="00F3184E">
      <w:pPr>
        <w:pStyle w:val="NoSpacing"/>
        <w:widowControl w:val="0"/>
        <w:spacing w:line="276" w:lineRule="auto"/>
        <w:jc w:val="both"/>
        <w:rPr>
          <w:i/>
        </w:rPr>
      </w:pPr>
      <w:r>
        <w:rPr>
          <w:i/>
        </w:rPr>
        <w:t>Drejtoria e Apelimit Tatimor, bazuar në Udhëzimin nr. 24, datë 02.09.2008 “Për Procedurat Tatimore në R.Sh”, paragrafi 108.3.</w:t>
      </w:r>
      <w:r w:rsidR="00EC4265">
        <w:rPr>
          <w:i/>
        </w:rPr>
        <w:t>6</w:t>
      </w:r>
      <w:r>
        <w:rPr>
          <w:i/>
        </w:rPr>
        <w:t xml:space="preserve"> dhe 108.3.</w:t>
      </w:r>
      <w:r w:rsidR="00EC4265">
        <w:rPr>
          <w:i/>
        </w:rPr>
        <w:t>7</w:t>
      </w:r>
      <w:r>
        <w:rPr>
          <w:i/>
        </w:rPr>
        <w:t>, pas anullimit të njoftim vlerësimit të ankimuar, kërkon nga DRT zgjidhjen e çështjes referuar trajtimit në pjesën arsyetuese të vendimit, duke marr</w:t>
      </w:r>
      <w:r w:rsidRPr="009420C0">
        <w:rPr>
          <w:i/>
        </w:rPr>
        <w:t>ë</w:t>
      </w:r>
      <w:r>
        <w:rPr>
          <w:i/>
        </w:rPr>
        <w:t xml:space="preserve"> m</w:t>
      </w:r>
      <w:r w:rsidRPr="009420C0">
        <w:rPr>
          <w:i/>
        </w:rPr>
        <w:t>ë</w:t>
      </w:r>
      <w:r>
        <w:rPr>
          <w:i/>
        </w:rPr>
        <w:t xml:space="preserve"> par</w:t>
      </w:r>
      <w:r w:rsidRPr="009420C0">
        <w:rPr>
          <w:i/>
        </w:rPr>
        <w:t>ë</w:t>
      </w:r>
      <w:r>
        <w:rPr>
          <w:i/>
        </w:rPr>
        <w:t xml:space="preserve"> miratimin e vler</w:t>
      </w:r>
      <w:r w:rsidRPr="009420C0">
        <w:rPr>
          <w:i/>
        </w:rPr>
        <w:t>ë</w:t>
      </w:r>
      <w:r>
        <w:rPr>
          <w:i/>
        </w:rPr>
        <w:t>simit nga drejtori rajonal.</w:t>
      </w:r>
    </w:p>
    <w:p w:rsidR="00F3184E" w:rsidRDefault="00F3184E" w:rsidP="00F3184E">
      <w:pPr>
        <w:pStyle w:val="NoSpacing"/>
        <w:widowControl w:val="0"/>
        <w:spacing w:line="276" w:lineRule="auto"/>
        <w:jc w:val="both"/>
      </w:pPr>
    </w:p>
    <w:p w:rsidR="009420C0" w:rsidRDefault="009420C0" w:rsidP="00F3184E">
      <w:pPr>
        <w:widowControl w:val="0"/>
        <w:spacing w:after="0" w:line="276" w:lineRule="auto"/>
        <w:jc w:val="both"/>
        <w:rPr>
          <w:rFonts w:ascii="Times New Roman" w:hAnsi="Times New Roman" w:cs="Times New Roman"/>
          <w:sz w:val="24"/>
          <w:szCs w:val="24"/>
        </w:rPr>
      </w:pPr>
      <w:r w:rsidRPr="001564BA">
        <w:rPr>
          <w:rFonts w:ascii="Times New Roman" w:hAnsi="Times New Roman" w:cs="Times New Roman"/>
          <w:sz w:val="24"/>
          <w:szCs w:val="24"/>
        </w:rPr>
        <w:t>Në zbatim të pikës 3 nenit 109 të Ligjit Nr.9920 datë 19.05.2008, “Procedurat Tatimore në R.Sh-se”, vendimi i Drejtorisë së Apelimit Tatimor është i detyrushëm për zbatim nga organi i administratës tatimore që ka bërë vlerësimin tatimor dhe nuk apelohet prej tij.</w:t>
      </w:r>
    </w:p>
    <w:p w:rsidR="006D7170" w:rsidRDefault="006D7170" w:rsidP="00F3184E">
      <w:pPr>
        <w:pStyle w:val="Header"/>
        <w:widowControl w:val="0"/>
        <w:tabs>
          <w:tab w:val="left" w:pos="720"/>
        </w:tabs>
        <w:spacing w:line="276" w:lineRule="auto"/>
        <w:jc w:val="both"/>
        <w:rPr>
          <w:rFonts w:ascii="Times New Roman" w:hAnsi="Times New Roman" w:cs="Times New Roman"/>
          <w:sz w:val="24"/>
          <w:szCs w:val="24"/>
        </w:rPr>
      </w:pPr>
    </w:p>
    <w:p w:rsidR="00F839CE" w:rsidRPr="006E6E38" w:rsidRDefault="00804888" w:rsidP="006E6E38">
      <w:pPr>
        <w:widowControl w:val="0"/>
        <w:spacing w:after="0" w:line="276" w:lineRule="auto"/>
        <w:ind w:left="3600" w:firstLine="720"/>
        <w:jc w:val="both"/>
        <w:rPr>
          <w:rFonts w:ascii="Times New Roman" w:hAnsi="Times New Roman" w:cs="Times New Roman"/>
          <w:b/>
          <w:bCs/>
          <w:sz w:val="24"/>
          <w:szCs w:val="24"/>
        </w:rPr>
      </w:pPr>
      <w:r w:rsidRPr="00B031E4">
        <w:rPr>
          <w:rFonts w:ascii="Times New Roman" w:hAnsi="Times New Roman" w:cs="Times New Roman"/>
          <w:b/>
          <w:bCs/>
          <w:sz w:val="24"/>
          <w:szCs w:val="24"/>
        </w:rPr>
        <w:t xml:space="preserve">    </w:t>
      </w:r>
      <w:r w:rsidR="00CF652A">
        <w:rPr>
          <w:rFonts w:ascii="Times New Roman" w:hAnsi="Times New Roman" w:cs="Times New Roman"/>
          <w:b/>
          <w:bCs/>
          <w:sz w:val="24"/>
          <w:szCs w:val="24"/>
        </w:rPr>
        <w:t xml:space="preserve">  </w:t>
      </w:r>
      <w:r w:rsidR="00EB1884" w:rsidRPr="00B031E4">
        <w:rPr>
          <w:rFonts w:ascii="Times New Roman" w:hAnsi="Times New Roman" w:cs="Times New Roman"/>
          <w:b/>
          <w:bCs/>
          <w:sz w:val="24"/>
          <w:szCs w:val="24"/>
        </w:rPr>
        <w:t xml:space="preserve">DREJTOR I APELIMIT TATIMOR </w:t>
      </w:r>
      <w:bookmarkStart w:id="1" w:name="_GoBack"/>
      <w:bookmarkEnd w:id="1"/>
    </w:p>
    <w:sectPr w:rsidR="00F839CE" w:rsidRPr="006E6E38" w:rsidSect="00F3184E">
      <w:footerReference w:type="default" r:id="rId9"/>
      <w:pgSz w:w="11907" w:h="16839" w:code="9"/>
      <w:pgMar w:top="1134" w:right="1440" w:bottom="851" w:left="1440" w:header="709" w:footer="1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630" w:rsidRDefault="008A0630" w:rsidP="006725DD">
      <w:pPr>
        <w:spacing w:after="0" w:line="240" w:lineRule="auto"/>
      </w:pPr>
      <w:r>
        <w:separator/>
      </w:r>
    </w:p>
  </w:endnote>
  <w:endnote w:type="continuationSeparator" w:id="0">
    <w:p w:rsidR="008A0630" w:rsidRDefault="008A0630"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4E" w:rsidRPr="00E431A8" w:rsidRDefault="00F3184E" w:rsidP="00F77EC6">
    <w:pPr>
      <w:pStyle w:val="Footer"/>
      <w:pBdr>
        <w:top w:val="single" w:sz="4" w:space="10" w:color="5B9BD5" w:themeColor="accent1"/>
      </w:pBdr>
      <w:tabs>
        <w:tab w:val="clear" w:pos="4680"/>
        <w:tab w:val="clear" w:pos="9360"/>
      </w:tabs>
      <w:spacing w:before="360"/>
      <w:contextualSpacing/>
      <w:rPr>
        <w:rFonts w:ascii="Times New Roman" w:hAnsi="Times New Roman" w:cs="Times New Roman"/>
        <w:noProof/>
        <w:color w:val="404040" w:themeColor="text1" w:themeTint="BF"/>
        <w:sz w:val="20"/>
        <w:szCs w:val="20"/>
      </w:rPr>
    </w:pPr>
    <w:r w:rsidRPr="00E431A8">
      <w:rPr>
        <w:rFonts w:ascii="Times New Roman" w:hAnsi="Times New Roman" w:cs="Times New Roman"/>
        <w:noProof/>
        <w:color w:val="404040" w:themeColor="text1" w:themeTint="BF"/>
        <w:sz w:val="20"/>
        <w:szCs w:val="20"/>
      </w:rPr>
      <w:t xml:space="preserve">Bulevardi “Dëshmorët e Kombit”, nr. 3, </w:t>
    </w:r>
    <w:hyperlink r:id="rId1" w:history="1">
      <w:r w:rsidRPr="00E431A8">
        <w:rPr>
          <w:rStyle w:val="Hyperlink"/>
          <w:rFonts w:ascii="Times New Roman" w:hAnsi="Times New Roman" w:cs="Times New Roman"/>
          <w:noProof/>
          <w:sz w:val="20"/>
          <w:szCs w:val="20"/>
        </w:rPr>
        <w:t>www.financa.gov.al</w:t>
      </w:r>
    </w:hyperlink>
    <w:r w:rsidRPr="00DD06C1">
      <w:rPr>
        <w:rStyle w:val="Hyperlink"/>
        <w:rFonts w:ascii="Times New Roman" w:hAnsi="Times New Roman" w:cs="Times New Roman"/>
        <w:noProof/>
        <w:sz w:val="20"/>
        <w:szCs w:val="20"/>
        <w:u w:val="none"/>
      </w:rPr>
      <w:tab/>
    </w:r>
    <w:r w:rsidRPr="00DD06C1">
      <w:rPr>
        <w:rStyle w:val="Hyperlink"/>
        <w:rFonts w:ascii="Times New Roman" w:hAnsi="Times New Roman" w:cs="Times New Roman"/>
        <w:noProof/>
        <w:sz w:val="20"/>
        <w:szCs w:val="20"/>
        <w:u w:val="none"/>
      </w:rPr>
      <w:tab/>
    </w:r>
    <w:r w:rsidRPr="00DD06C1">
      <w:rPr>
        <w:rStyle w:val="Hyperlink"/>
        <w:rFonts w:ascii="Times New Roman" w:hAnsi="Times New Roman" w:cs="Times New Roman"/>
        <w:noProof/>
        <w:sz w:val="20"/>
        <w:szCs w:val="20"/>
        <w:u w:val="none"/>
      </w:rPr>
      <w:tab/>
    </w:r>
    <w:r w:rsidRPr="00E431A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431A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431A8">
      <w:rPr>
        <w:rFonts w:ascii="Times New Roman" w:hAnsi="Times New Roman" w:cs="Times New Roman"/>
        <w:sz w:val="20"/>
        <w:szCs w:val="20"/>
      </w:rPr>
      <w:t xml:space="preserve">Faqe </w:t>
    </w:r>
    <w:r w:rsidRPr="00E431A8">
      <w:rPr>
        <w:rFonts w:ascii="Times New Roman" w:hAnsi="Times New Roman" w:cs="Times New Roman"/>
        <w:noProof/>
        <w:color w:val="404040" w:themeColor="text1" w:themeTint="BF"/>
        <w:sz w:val="20"/>
        <w:szCs w:val="20"/>
      </w:rPr>
      <w:fldChar w:fldCharType="begin"/>
    </w:r>
    <w:r w:rsidRPr="00E431A8">
      <w:rPr>
        <w:rFonts w:ascii="Times New Roman" w:hAnsi="Times New Roman" w:cs="Times New Roman"/>
        <w:noProof/>
        <w:color w:val="404040" w:themeColor="text1" w:themeTint="BF"/>
        <w:sz w:val="20"/>
        <w:szCs w:val="20"/>
      </w:rPr>
      <w:instrText xml:space="preserve"> PAGE   \* MERGEFORMAT </w:instrText>
    </w:r>
    <w:r w:rsidRPr="00E431A8">
      <w:rPr>
        <w:rFonts w:ascii="Times New Roman" w:hAnsi="Times New Roman" w:cs="Times New Roman"/>
        <w:noProof/>
        <w:color w:val="404040" w:themeColor="text1" w:themeTint="BF"/>
        <w:sz w:val="20"/>
        <w:szCs w:val="20"/>
      </w:rPr>
      <w:fldChar w:fldCharType="separate"/>
    </w:r>
    <w:r w:rsidR="006E6E38">
      <w:rPr>
        <w:rFonts w:ascii="Times New Roman" w:hAnsi="Times New Roman" w:cs="Times New Roman"/>
        <w:noProof/>
        <w:color w:val="404040" w:themeColor="text1" w:themeTint="BF"/>
        <w:sz w:val="20"/>
        <w:szCs w:val="20"/>
      </w:rPr>
      <w:t>6</w:t>
    </w:r>
    <w:r w:rsidRPr="00E431A8">
      <w:rPr>
        <w:rFonts w:ascii="Times New Roman" w:hAnsi="Times New Roman" w:cs="Times New Roman"/>
        <w:noProof/>
        <w:color w:val="404040" w:themeColor="text1" w:themeTint="BF"/>
        <w:sz w:val="20"/>
        <w:szCs w:val="20"/>
      </w:rPr>
      <w:fldChar w:fldCharType="end"/>
    </w:r>
  </w:p>
  <w:p w:rsidR="00F3184E" w:rsidRDefault="00F31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630" w:rsidRDefault="008A0630" w:rsidP="006725DD">
      <w:pPr>
        <w:spacing w:after="0" w:line="240" w:lineRule="auto"/>
      </w:pPr>
      <w:r>
        <w:separator/>
      </w:r>
    </w:p>
  </w:footnote>
  <w:footnote w:type="continuationSeparator" w:id="0">
    <w:p w:rsidR="008A0630" w:rsidRDefault="008A0630" w:rsidP="00672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6EA19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7442D7"/>
    <w:multiLevelType w:val="hybridMultilevel"/>
    <w:tmpl w:val="F4D8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60B80"/>
    <w:multiLevelType w:val="hybridMultilevel"/>
    <w:tmpl w:val="606EF14A"/>
    <w:lvl w:ilvl="0" w:tplc="815AF15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74A29"/>
    <w:multiLevelType w:val="hybridMultilevel"/>
    <w:tmpl w:val="C2D01666"/>
    <w:lvl w:ilvl="0" w:tplc="3ADC8A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E2F5D"/>
    <w:multiLevelType w:val="hybridMultilevel"/>
    <w:tmpl w:val="B38EE9BA"/>
    <w:lvl w:ilvl="0" w:tplc="2E106958">
      <w:start w:val="5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40655"/>
    <w:multiLevelType w:val="hybridMultilevel"/>
    <w:tmpl w:val="5F9679F2"/>
    <w:lvl w:ilvl="0" w:tplc="8398D290">
      <w:start w:val="2"/>
      <w:numFmt w:val="bullet"/>
      <w:lvlText w:val="-"/>
      <w:lvlJc w:val="left"/>
      <w:pPr>
        <w:ind w:left="720" w:hanging="360"/>
      </w:pPr>
      <w:rPr>
        <w:rFonts w:ascii="Times New Roman" w:eastAsia="SimSu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1D417AB7"/>
    <w:multiLevelType w:val="hybridMultilevel"/>
    <w:tmpl w:val="45B6ED90"/>
    <w:lvl w:ilvl="0" w:tplc="08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1E54299E"/>
    <w:multiLevelType w:val="hybridMultilevel"/>
    <w:tmpl w:val="AF06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2321E2"/>
    <w:multiLevelType w:val="hybridMultilevel"/>
    <w:tmpl w:val="09B24F4A"/>
    <w:lvl w:ilvl="0" w:tplc="0409000B">
      <w:start w:val="1"/>
      <w:numFmt w:val="bullet"/>
      <w:lvlText w:val=""/>
      <w:lvlJc w:val="left"/>
      <w:pPr>
        <w:tabs>
          <w:tab w:val="num" w:pos="4456"/>
        </w:tabs>
        <w:ind w:left="4456" w:hanging="360"/>
      </w:pPr>
      <w:rPr>
        <w:rFonts w:ascii="Wingdings" w:hAnsi="Wingdings" w:hint="default"/>
      </w:rPr>
    </w:lvl>
    <w:lvl w:ilvl="1" w:tplc="04090003" w:tentative="1">
      <w:start w:val="1"/>
      <w:numFmt w:val="bullet"/>
      <w:lvlText w:val="o"/>
      <w:lvlJc w:val="left"/>
      <w:pPr>
        <w:tabs>
          <w:tab w:val="num" w:pos="5176"/>
        </w:tabs>
        <w:ind w:left="5176" w:hanging="360"/>
      </w:pPr>
      <w:rPr>
        <w:rFonts w:ascii="Courier New" w:hAnsi="Courier New" w:cs="Courier New" w:hint="default"/>
      </w:rPr>
    </w:lvl>
    <w:lvl w:ilvl="2" w:tplc="04090005" w:tentative="1">
      <w:start w:val="1"/>
      <w:numFmt w:val="bullet"/>
      <w:lvlText w:val=""/>
      <w:lvlJc w:val="left"/>
      <w:pPr>
        <w:tabs>
          <w:tab w:val="num" w:pos="5896"/>
        </w:tabs>
        <w:ind w:left="5896" w:hanging="360"/>
      </w:pPr>
      <w:rPr>
        <w:rFonts w:ascii="Wingdings" w:hAnsi="Wingdings" w:hint="default"/>
      </w:rPr>
    </w:lvl>
    <w:lvl w:ilvl="3" w:tplc="04090001" w:tentative="1">
      <w:start w:val="1"/>
      <w:numFmt w:val="bullet"/>
      <w:lvlText w:val=""/>
      <w:lvlJc w:val="left"/>
      <w:pPr>
        <w:tabs>
          <w:tab w:val="num" w:pos="6616"/>
        </w:tabs>
        <w:ind w:left="6616" w:hanging="360"/>
      </w:pPr>
      <w:rPr>
        <w:rFonts w:ascii="Symbol" w:hAnsi="Symbol" w:hint="default"/>
      </w:rPr>
    </w:lvl>
    <w:lvl w:ilvl="4" w:tplc="04090003" w:tentative="1">
      <w:start w:val="1"/>
      <w:numFmt w:val="bullet"/>
      <w:lvlText w:val="o"/>
      <w:lvlJc w:val="left"/>
      <w:pPr>
        <w:tabs>
          <w:tab w:val="num" w:pos="7336"/>
        </w:tabs>
        <w:ind w:left="7336" w:hanging="360"/>
      </w:pPr>
      <w:rPr>
        <w:rFonts w:ascii="Courier New" w:hAnsi="Courier New" w:cs="Courier New" w:hint="default"/>
      </w:rPr>
    </w:lvl>
    <w:lvl w:ilvl="5" w:tplc="04090005" w:tentative="1">
      <w:start w:val="1"/>
      <w:numFmt w:val="bullet"/>
      <w:lvlText w:val=""/>
      <w:lvlJc w:val="left"/>
      <w:pPr>
        <w:tabs>
          <w:tab w:val="num" w:pos="8056"/>
        </w:tabs>
        <w:ind w:left="8056" w:hanging="360"/>
      </w:pPr>
      <w:rPr>
        <w:rFonts w:ascii="Wingdings" w:hAnsi="Wingdings" w:hint="default"/>
      </w:rPr>
    </w:lvl>
    <w:lvl w:ilvl="6" w:tplc="04090001" w:tentative="1">
      <w:start w:val="1"/>
      <w:numFmt w:val="bullet"/>
      <w:lvlText w:val=""/>
      <w:lvlJc w:val="left"/>
      <w:pPr>
        <w:tabs>
          <w:tab w:val="num" w:pos="8776"/>
        </w:tabs>
        <w:ind w:left="8776" w:hanging="360"/>
      </w:pPr>
      <w:rPr>
        <w:rFonts w:ascii="Symbol" w:hAnsi="Symbol" w:hint="default"/>
      </w:rPr>
    </w:lvl>
    <w:lvl w:ilvl="7" w:tplc="04090003" w:tentative="1">
      <w:start w:val="1"/>
      <w:numFmt w:val="bullet"/>
      <w:lvlText w:val="o"/>
      <w:lvlJc w:val="left"/>
      <w:pPr>
        <w:tabs>
          <w:tab w:val="num" w:pos="9496"/>
        </w:tabs>
        <w:ind w:left="9496" w:hanging="360"/>
      </w:pPr>
      <w:rPr>
        <w:rFonts w:ascii="Courier New" w:hAnsi="Courier New" w:cs="Courier New" w:hint="default"/>
      </w:rPr>
    </w:lvl>
    <w:lvl w:ilvl="8" w:tplc="04090005" w:tentative="1">
      <w:start w:val="1"/>
      <w:numFmt w:val="bullet"/>
      <w:lvlText w:val=""/>
      <w:lvlJc w:val="left"/>
      <w:pPr>
        <w:tabs>
          <w:tab w:val="num" w:pos="10216"/>
        </w:tabs>
        <w:ind w:left="10216" w:hanging="360"/>
      </w:pPr>
      <w:rPr>
        <w:rFonts w:ascii="Wingdings" w:hAnsi="Wingdings" w:hint="default"/>
      </w:rPr>
    </w:lvl>
  </w:abstractNum>
  <w:abstractNum w:abstractNumId="9">
    <w:nsid w:val="27A357EF"/>
    <w:multiLevelType w:val="hybridMultilevel"/>
    <w:tmpl w:val="0836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93E4B"/>
    <w:multiLevelType w:val="hybridMultilevel"/>
    <w:tmpl w:val="EF6ED41C"/>
    <w:lvl w:ilvl="0" w:tplc="99DE6CF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262B49"/>
    <w:multiLevelType w:val="hybridMultilevel"/>
    <w:tmpl w:val="79A660F2"/>
    <w:lvl w:ilvl="0" w:tplc="0409000B">
      <w:start w:val="1"/>
      <w:numFmt w:val="bullet"/>
      <w:lvlText w:val=""/>
      <w:lvlJc w:val="left"/>
      <w:pPr>
        <w:tabs>
          <w:tab w:val="num" w:pos="720"/>
        </w:tabs>
        <w:ind w:left="720"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0376C58"/>
    <w:multiLevelType w:val="hybridMultilevel"/>
    <w:tmpl w:val="1E9A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E03DA"/>
    <w:multiLevelType w:val="hybridMultilevel"/>
    <w:tmpl w:val="5B3C8CE8"/>
    <w:lvl w:ilvl="0" w:tplc="4A1A32E2">
      <w:start w:val="964"/>
      <w:numFmt w:val="bullet"/>
      <w:lvlText w:val="-"/>
      <w:lvlJc w:val="left"/>
      <w:pPr>
        <w:ind w:left="720" w:hanging="360"/>
      </w:pPr>
      <w:rPr>
        <w:rFonts w:ascii="Times New Roman" w:eastAsia="SimSu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nsid w:val="42E51A28"/>
    <w:multiLevelType w:val="hybridMultilevel"/>
    <w:tmpl w:val="37529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F84C87"/>
    <w:multiLevelType w:val="hybridMultilevel"/>
    <w:tmpl w:val="AFE6A81A"/>
    <w:lvl w:ilvl="0" w:tplc="D360B1D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E443AA"/>
    <w:multiLevelType w:val="hybridMultilevel"/>
    <w:tmpl w:val="2C448C8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86E6CC4"/>
    <w:multiLevelType w:val="hybridMultilevel"/>
    <w:tmpl w:val="E8D6019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085606"/>
    <w:multiLevelType w:val="hybridMultilevel"/>
    <w:tmpl w:val="6AAA80E4"/>
    <w:lvl w:ilvl="0" w:tplc="8DBCF4F2">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4FF94AA5"/>
    <w:multiLevelType w:val="hybridMultilevel"/>
    <w:tmpl w:val="B9E8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4B15B5"/>
    <w:multiLevelType w:val="hybridMultilevel"/>
    <w:tmpl w:val="28B4DC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D82ED1"/>
    <w:multiLevelType w:val="hybridMultilevel"/>
    <w:tmpl w:val="4662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B160C9"/>
    <w:multiLevelType w:val="hybridMultilevel"/>
    <w:tmpl w:val="76FCFC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6A7BC1"/>
    <w:multiLevelType w:val="hybridMultilevel"/>
    <w:tmpl w:val="04769520"/>
    <w:lvl w:ilvl="0" w:tplc="BD1082EC">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586B4B"/>
    <w:multiLevelType w:val="hybridMultilevel"/>
    <w:tmpl w:val="797CFEE6"/>
    <w:lvl w:ilvl="0" w:tplc="08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5">
    <w:nsid w:val="6BC537EF"/>
    <w:multiLevelType w:val="hybridMultilevel"/>
    <w:tmpl w:val="305EC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960B73"/>
    <w:multiLevelType w:val="hybridMultilevel"/>
    <w:tmpl w:val="B920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7C3537"/>
    <w:multiLevelType w:val="hybridMultilevel"/>
    <w:tmpl w:val="54FE1A18"/>
    <w:lvl w:ilvl="0" w:tplc="D7509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D128CF"/>
    <w:multiLevelType w:val="hybridMultilevel"/>
    <w:tmpl w:val="D068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6B550A"/>
    <w:multiLevelType w:val="hybridMultilevel"/>
    <w:tmpl w:val="47B096C8"/>
    <w:lvl w:ilvl="0" w:tplc="54B05D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FE6249"/>
    <w:multiLevelType w:val="hybridMultilevel"/>
    <w:tmpl w:val="9D845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523626"/>
    <w:multiLevelType w:val="hybridMultilevel"/>
    <w:tmpl w:val="2796F416"/>
    <w:lvl w:ilvl="0" w:tplc="08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2">
    <w:nsid w:val="7A240B67"/>
    <w:multiLevelType w:val="hybridMultilevel"/>
    <w:tmpl w:val="3266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331B8B"/>
    <w:multiLevelType w:val="hybridMultilevel"/>
    <w:tmpl w:val="CC34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7518E7"/>
    <w:multiLevelType w:val="hybridMultilevel"/>
    <w:tmpl w:val="358E0DEE"/>
    <w:lvl w:ilvl="0" w:tplc="2430890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1C36AE"/>
    <w:multiLevelType w:val="hybridMultilevel"/>
    <w:tmpl w:val="B0A64D80"/>
    <w:lvl w:ilvl="0" w:tplc="5E4C11F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4"/>
  </w:num>
  <w:num w:numId="4">
    <w:abstractNumId w:val="7"/>
  </w:num>
  <w:num w:numId="5">
    <w:abstractNumId w:val="31"/>
  </w:num>
  <w:num w:numId="6">
    <w:abstractNumId w:val="8"/>
  </w:num>
  <w:num w:numId="7">
    <w:abstractNumId w:val="20"/>
  </w:num>
  <w:num w:numId="8">
    <w:abstractNumId w:val="32"/>
  </w:num>
  <w:num w:numId="9">
    <w:abstractNumId w:val="10"/>
  </w:num>
  <w:num w:numId="10">
    <w:abstractNumId w:val="17"/>
  </w:num>
  <w:num w:numId="11">
    <w:abstractNumId w:val="30"/>
  </w:num>
  <w:num w:numId="12">
    <w:abstractNumId w:val="9"/>
  </w:num>
  <w:num w:numId="13">
    <w:abstractNumId w:val="27"/>
  </w:num>
  <w:num w:numId="14">
    <w:abstractNumId w:val="4"/>
  </w:num>
  <w:num w:numId="15">
    <w:abstractNumId w:val="18"/>
  </w:num>
  <w:num w:numId="16">
    <w:abstractNumId w:val="11"/>
  </w:num>
  <w:num w:numId="17">
    <w:abstractNumId w:val="25"/>
  </w:num>
  <w:num w:numId="18">
    <w:abstractNumId w:val="12"/>
  </w:num>
  <w:num w:numId="19">
    <w:abstractNumId w:val="29"/>
  </w:num>
  <w:num w:numId="20">
    <w:abstractNumId w:val="14"/>
  </w:num>
  <w:num w:numId="21">
    <w:abstractNumId w:val="3"/>
  </w:num>
  <w:num w:numId="22">
    <w:abstractNumId w:val="26"/>
  </w:num>
  <w:num w:numId="23">
    <w:abstractNumId w:val="33"/>
  </w:num>
  <w:num w:numId="24">
    <w:abstractNumId w:val="21"/>
  </w:num>
  <w:num w:numId="25">
    <w:abstractNumId w:val="19"/>
  </w:num>
  <w:num w:numId="26">
    <w:abstractNumId w:val="0"/>
  </w:num>
  <w:num w:numId="27">
    <w:abstractNumId w:val="2"/>
  </w:num>
  <w:num w:numId="28">
    <w:abstractNumId w:val="1"/>
  </w:num>
  <w:num w:numId="29">
    <w:abstractNumId w:val="22"/>
  </w:num>
  <w:num w:numId="30">
    <w:abstractNumId w:val="5"/>
  </w:num>
  <w:num w:numId="31">
    <w:abstractNumId w:val="35"/>
  </w:num>
  <w:num w:numId="32">
    <w:abstractNumId w:val="15"/>
  </w:num>
  <w:num w:numId="33">
    <w:abstractNumId w:val="13"/>
  </w:num>
  <w:num w:numId="34">
    <w:abstractNumId w:val="28"/>
  </w:num>
  <w:num w:numId="35">
    <w:abstractNumId w:val="34"/>
  </w:num>
  <w:num w:numId="3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51"/>
    <w:rsid w:val="00001252"/>
    <w:rsid w:val="00001D8E"/>
    <w:rsid w:val="00007AAE"/>
    <w:rsid w:val="0001668E"/>
    <w:rsid w:val="00016EBD"/>
    <w:rsid w:val="00022374"/>
    <w:rsid w:val="00022CC0"/>
    <w:rsid w:val="00023A11"/>
    <w:rsid w:val="000243ED"/>
    <w:rsid w:val="00032067"/>
    <w:rsid w:val="00032BB1"/>
    <w:rsid w:val="00036AAD"/>
    <w:rsid w:val="00037B29"/>
    <w:rsid w:val="00043918"/>
    <w:rsid w:val="000474A3"/>
    <w:rsid w:val="00047B96"/>
    <w:rsid w:val="00047FBE"/>
    <w:rsid w:val="00051B9F"/>
    <w:rsid w:val="00052028"/>
    <w:rsid w:val="000573EA"/>
    <w:rsid w:val="000579D9"/>
    <w:rsid w:val="00061D17"/>
    <w:rsid w:val="00063EBF"/>
    <w:rsid w:val="00064F3F"/>
    <w:rsid w:val="000707D6"/>
    <w:rsid w:val="00070BF3"/>
    <w:rsid w:val="000723DD"/>
    <w:rsid w:val="00077F71"/>
    <w:rsid w:val="00080AC7"/>
    <w:rsid w:val="0008369D"/>
    <w:rsid w:val="00086545"/>
    <w:rsid w:val="00086D03"/>
    <w:rsid w:val="0009199B"/>
    <w:rsid w:val="0009343B"/>
    <w:rsid w:val="00094ED7"/>
    <w:rsid w:val="000A14D5"/>
    <w:rsid w:val="000A5FB4"/>
    <w:rsid w:val="000A7CE4"/>
    <w:rsid w:val="000B2FC8"/>
    <w:rsid w:val="000B5988"/>
    <w:rsid w:val="000B5EBE"/>
    <w:rsid w:val="000B7593"/>
    <w:rsid w:val="000C3214"/>
    <w:rsid w:val="000C50A7"/>
    <w:rsid w:val="000C79A7"/>
    <w:rsid w:val="000D3BB8"/>
    <w:rsid w:val="000D6462"/>
    <w:rsid w:val="000E1F61"/>
    <w:rsid w:val="000E4FA4"/>
    <w:rsid w:val="000F0452"/>
    <w:rsid w:val="0010209D"/>
    <w:rsid w:val="00103517"/>
    <w:rsid w:val="00110561"/>
    <w:rsid w:val="001108B7"/>
    <w:rsid w:val="00115368"/>
    <w:rsid w:val="00115AF2"/>
    <w:rsid w:val="0012052C"/>
    <w:rsid w:val="00121172"/>
    <w:rsid w:val="00125A6C"/>
    <w:rsid w:val="001312DB"/>
    <w:rsid w:val="001331D6"/>
    <w:rsid w:val="00133521"/>
    <w:rsid w:val="00133CFB"/>
    <w:rsid w:val="001407E9"/>
    <w:rsid w:val="00140C64"/>
    <w:rsid w:val="00145CB4"/>
    <w:rsid w:val="00147213"/>
    <w:rsid w:val="001475AE"/>
    <w:rsid w:val="00147AF3"/>
    <w:rsid w:val="0015360F"/>
    <w:rsid w:val="001536CF"/>
    <w:rsid w:val="0015457B"/>
    <w:rsid w:val="00156CF6"/>
    <w:rsid w:val="00162A57"/>
    <w:rsid w:val="00164DB0"/>
    <w:rsid w:val="0016537A"/>
    <w:rsid w:val="0016654F"/>
    <w:rsid w:val="00174250"/>
    <w:rsid w:val="00180072"/>
    <w:rsid w:val="00192F37"/>
    <w:rsid w:val="00193FB6"/>
    <w:rsid w:val="00197397"/>
    <w:rsid w:val="001A0CE2"/>
    <w:rsid w:val="001A1EFA"/>
    <w:rsid w:val="001A3EA2"/>
    <w:rsid w:val="001B2259"/>
    <w:rsid w:val="001B5A11"/>
    <w:rsid w:val="001B6A59"/>
    <w:rsid w:val="001B7F7C"/>
    <w:rsid w:val="001C35A0"/>
    <w:rsid w:val="001C4053"/>
    <w:rsid w:val="001C43BC"/>
    <w:rsid w:val="001C4511"/>
    <w:rsid w:val="001C54D2"/>
    <w:rsid w:val="001C585C"/>
    <w:rsid w:val="001D6A7D"/>
    <w:rsid w:val="001D7834"/>
    <w:rsid w:val="001E4789"/>
    <w:rsid w:val="001E5F85"/>
    <w:rsid w:val="001E6E34"/>
    <w:rsid w:val="001E7980"/>
    <w:rsid w:val="001F47D7"/>
    <w:rsid w:val="001F5054"/>
    <w:rsid w:val="001F5145"/>
    <w:rsid w:val="001F582F"/>
    <w:rsid w:val="001F68B2"/>
    <w:rsid w:val="00202061"/>
    <w:rsid w:val="00203A99"/>
    <w:rsid w:val="00204AA6"/>
    <w:rsid w:val="00205583"/>
    <w:rsid w:val="00207890"/>
    <w:rsid w:val="002124F1"/>
    <w:rsid w:val="00213C94"/>
    <w:rsid w:val="00214241"/>
    <w:rsid w:val="00214658"/>
    <w:rsid w:val="002150BF"/>
    <w:rsid w:val="00216364"/>
    <w:rsid w:val="00216A5B"/>
    <w:rsid w:val="002208AE"/>
    <w:rsid w:val="00220A6D"/>
    <w:rsid w:val="00226A1F"/>
    <w:rsid w:val="00230104"/>
    <w:rsid w:val="00233710"/>
    <w:rsid w:val="00235DD1"/>
    <w:rsid w:val="00236BA5"/>
    <w:rsid w:val="002428C8"/>
    <w:rsid w:val="00243D3F"/>
    <w:rsid w:val="002506DE"/>
    <w:rsid w:val="002561B0"/>
    <w:rsid w:val="00257859"/>
    <w:rsid w:val="0026045D"/>
    <w:rsid w:val="00260EA9"/>
    <w:rsid w:val="00264F8B"/>
    <w:rsid w:val="00266DAF"/>
    <w:rsid w:val="00275138"/>
    <w:rsid w:val="00277EBC"/>
    <w:rsid w:val="00280053"/>
    <w:rsid w:val="00281160"/>
    <w:rsid w:val="00283065"/>
    <w:rsid w:val="00284557"/>
    <w:rsid w:val="00284D2C"/>
    <w:rsid w:val="00285D28"/>
    <w:rsid w:val="00285FDD"/>
    <w:rsid w:val="002958FC"/>
    <w:rsid w:val="00295923"/>
    <w:rsid w:val="00295E63"/>
    <w:rsid w:val="002961A5"/>
    <w:rsid w:val="002A0E3B"/>
    <w:rsid w:val="002A12C7"/>
    <w:rsid w:val="002A2E32"/>
    <w:rsid w:val="002A560D"/>
    <w:rsid w:val="002B1C9E"/>
    <w:rsid w:val="002B331F"/>
    <w:rsid w:val="002C2D05"/>
    <w:rsid w:val="002C2E3C"/>
    <w:rsid w:val="002C5D2E"/>
    <w:rsid w:val="002C60DA"/>
    <w:rsid w:val="002D0D8E"/>
    <w:rsid w:val="002D1906"/>
    <w:rsid w:val="002D3CA2"/>
    <w:rsid w:val="002D4C75"/>
    <w:rsid w:val="002E4C9E"/>
    <w:rsid w:val="002E5673"/>
    <w:rsid w:val="002E589D"/>
    <w:rsid w:val="002F0FB2"/>
    <w:rsid w:val="002F1083"/>
    <w:rsid w:val="002F2BE6"/>
    <w:rsid w:val="002F326C"/>
    <w:rsid w:val="002F3EA5"/>
    <w:rsid w:val="002F78C8"/>
    <w:rsid w:val="003015B9"/>
    <w:rsid w:val="003035BA"/>
    <w:rsid w:val="00303742"/>
    <w:rsid w:val="003041FF"/>
    <w:rsid w:val="003063B0"/>
    <w:rsid w:val="0032274C"/>
    <w:rsid w:val="00323D28"/>
    <w:rsid w:val="00325398"/>
    <w:rsid w:val="00326BDF"/>
    <w:rsid w:val="003362F5"/>
    <w:rsid w:val="00337344"/>
    <w:rsid w:val="00340F9C"/>
    <w:rsid w:val="00341942"/>
    <w:rsid w:val="00343CC7"/>
    <w:rsid w:val="00353821"/>
    <w:rsid w:val="003607B1"/>
    <w:rsid w:val="00361E0D"/>
    <w:rsid w:val="0036733D"/>
    <w:rsid w:val="00367427"/>
    <w:rsid w:val="003729CD"/>
    <w:rsid w:val="003774E8"/>
    <w:rsid w:val="00377B99"/>
    <w:rsid w:val="00382E59"/>
    <w:rsid w:val="00383773"/>
    <w:rsid w:val="00384820"/>
    <w:rsid w:val="00390892"/>
    <w:rsid w:val="00390EC0"/>
    <w:rsid w:val="00395265"/>
    <w:rsid w:val="003979FF"/>
    <w:rsid w:val="003A1629"/>
    <w:rsid w:val="003A43F5"/>
    <w:rsid w:val="003A5122"/>
    <w:rsid w:val="003A6ABF"/>
    <w:rsid w:val="003A77AA"/>
    <w:rsid w:val="003B1D93"/>
    <w:rsid w:val="003B3C61"/>
    <w:rsid w:val="003B40CC"/>
    <w:rsid w:val="003B489C"/>
    <w:rsid w:val="003B54A5"/>
    <w:rsid w:val="003B562D"/>
    <w:rsid w:val="003B6B61"/>
    <w:rsid w:val="003C41E0"/>
    <w:rsid w:val="003C769D"/>
    <w:rsid w:val="003D03F8"/>
    <w:rsid w:val="003D0A18"/>
    <w:rsid w:val="003D1EB4"/>
    <w:rsid w:val="003D3B7B"/>
    <w:rsid w:val="003D4C91"/>
    <w:rsid w:val="003E1544"/>
    <w:rsid w:val="003E15D7"/>
    <w:rsid w:val="003E231B"/>
    <w:rsid w:val="003E4BA6"/>
    <w:rsid w:val="003E6EE3"/>
    <w:rsid w:val="003F3203"/>
    <w:rsid w:val="003F339F"/>
    <w:rsid w:val="003F4D68"/>
    <w:rsid w:val="0040052B"/>
    <w:rsid w:val="004019BD"/>
    <w:rsid w:val="00402F1A"/>
    <w:rsid w:val="00404DDA"/>
    <w:rsid w:val="00410879"/>
    <w:rsid w:val="004154EC"/>
    <w:rsid w:val="0041742D"/>
    <w:rsid w:val="00422625"/>
    <w:rsid w:val="00422DA7"/>
    <w:rsid w:val="00424E9D"/>
    <w:rsid w:val="00431B5D"/>
    <w:rsid w:val="00433C27"/>
    <w:rsid w:val="0043531C"/>
    <w:rsid w:val="00437B96"/>
    <w:rsid w:val="0044228E"/>
    <w:rsid w:val="00444348"/>
    <w:rsid w:val="004501A4"/>
    <w:rsid w:val="00451075"/>
    <w:rsid w:val="00451885"/>
    <w:rsid w:val="004611AD"/>
    <w:rsid w:val="00462C5B"/>
    <w:rsid w:val="00471F08"/>
    <w:rsid w:val="004728A0"/>
    <w:rsid w:val="00475F54"/>
    <w:rsid w:val="00476EAF"/>
    <w:rsid w:val="004778C2"/>
    <w:rsid w:val="00480C82"/>
    <w:rsid w:val="00481D9A"/>
    <w:rsid w:val="00485B5B"/>
    <w:rsid w:val="00486A77"/>
    <w:rsid w:val="004929F2"/>
    <w:rsid w:val="00494D9E"/>
    <w:rsid w:val="004A01F5"/>
    <w:rsid w:val="004A0A9D"/>
    <w:rsid w:val="004A30BA"/>
    <w:rsid w:val="004A41F5"/>
    <w:rsid w:val="004B0E3E"/>
    <w:rsid w:val="004B1C96"/>
    <w:rsid w:val="004B290A"/>
    <w:rsid w:val="004B39E0"/>
    <w:rsid w:val="004B57E5"/>
    <w:rsid w:val="004B62AC"/>
    <w:rsid w:val="004B7B58"/>
    <w:rsid w:val="004C3A3F"/>
    <w:rsid w:val="004D27C5"/>
    <w:rsid w:val="004D4E11"/>
    <w:rsid w:val="004F00FF"/>
    <w:rsid w:val="004F2130"/>
    <w:rsid w:val="004F41BC"/>
    <w:rsid w:val="004F5CA1"/>
    <w:rsid w:val="00506D09"/>
    <w:rsid w:val="00507A25"/>
    <w:rsid w:val="00510B72"/>
    <w:rsid w:val="005117E7"/>
    <w:rsid w:val="00512E98"/>
    <w:rsid w:val="00514947"/>
    <w:rsid w:val="00515362"/>
    <w:rsid w:val="00515E0D"/>
    <w:rsid w:val="00517051"/>
    <w:rsid w:val="00520FA4"/>
    <w:rsid w:val="00522820"/>
    <w:rsid w:val="0052756E"/>
    <w:rsid w:val="00531D94"/>
    <w:rsid w:val="00533C48"/>
    <w:rsid w:val="00535799"/>
    <w:rsid w:val="0053799E"/>
    <w:rsid w:val="00540228"/>
    <w:rsid w:val="00542EB2"/>
    <w:rsid w:val="00543859"/>
    <w:rsid w:val="00547FF8"/>
    <w:rsid w:val="00550F33"/>
    <w:rsid w:val="00553B66"/>
    <w:rsid w:val="005543AB"/>
    <w:rsid w:val="00561798"/>
    <w:rsid w:val="005659B6"/>
    <w:rsid w:val="0056605B"/>
    <w:rsid w:val="0057218C"/>
    <w:rsid w:val="005806B0"/>
    <w:rsid w:val="00584FBD"/>
    <w:rsid w:val="00585AC8"/>
    <w:rsid w:val="005872C4"/>
    <w:rsid w:val="005A0551"/>
    <w:rsid w:val="005A0AF5"/>
    <w:rsid w:val="005A210B"/>
    <w:rsid w:val="005A4DAA"/>
    <w:rsid w:val="005A5AC2"/>
    <w:rsid w:val="005B0D3E"/>
    <w:rsid w:val="005C196D"/>
    <w:rsid w:val="005C287C"/>
    <w:rsid w:val="005C5F1D"/>
    <w:rsid w:val="005C6125"/>
    <w:rsid w:val="005C6D95"/>
    <w:rsid w:val="005D0C3B"/>
    <w:rsid w:val="005D1112"/>
    <w:rsid w:val="005D258E"/>
    <w:rsid w:val="005D50B6"/>
    <w:rsid w:val="005E24ED"/>
    <w:rsid w:val="005E4B2B"/>
    <w:rsid w:val="005E73BD"/>
    <w:rsid w:val="005F32FA"/>
    <w:rsid w:val="005F4504"/>
    <w:rsid w:val="005F547A"/>
    <w:rsid w:val="005F6089"/>
    <w:rsid w:val="005F66D1"/>
    <w:rsid w:val="005F67CB"/>
    <w:rsid w:val="005F6FA8"/>
    <w:rsid w:val="005F7DB3"/>
    <w:rsid w:val="006007F0"/>
    <w:rsid w:val="00601DF8"/>
    <w:rsid w:val="00603C0C"/>
    <w:rsid w:val="0060580F"/>
    <w:rsid w:val="00605D1A"/>
    <w:rsid w:val="00610295"/>
    <w:rsid w:val="006125A9"/>
    <w:rsid w:val="00614107"/>
    <w:rsid w:val="00615C83"/>
    <w:rsid w:val="006171F7"/>
    <w:rsid w:val="0062040A"/>
    <w:rsid w:val="006208E7"/>
    <w:rsid w:val="00624BEB"/>
    <w:rsid w:val="00625034"/>
    <w:rsid w:val="0062561E"/>
    <w:rsid w:val="006264CE"/>
    <w:rsid w:val="00626BFC"/>
    <w:rsid w:val="006318D8"/>
    <w:rsid w:val="0063287C"/>
    <w:rsid w:val="0063338B"/>
    <w:rsid w:val="00633907"/>
    <w:rsid w:val="006403DA"/>
    <w:rsid w:val="006437BB"/>
    <w:rsid w:val="00650824"/>
    <w:rsid w:val="00650CD4"/>
    <w:rsid w:val="00653278"/>
    <w:rsid w:val="00661D0D"/>
    <w:rsid w:val="0066286C"/>
    <w:rsid w:val="00670A62"/>
    <w:rsid w:val="006725DD"/>
    <w:rsid w:val="00680B16"/>
    <w:rsid w:val="00680FC0"/>
    <w:rsid w:val="00681CE8"/>
    <w:rsid w:val="00684E25"/>
    <w:rsid w:val="0068747A"/>
    <w:rsid w:val="006961A3"/>
    <w:rsid w:val="006A13CD"/>
    <w:rsid w:val="006A24C4"/>
    <w:rsid w:val="006A377D"/>
    <w:rsid w:val="006A3868"/>
    <w:rsid w:val="006A3A88"/>
    <w:rsid w:val="006A4730"/>
    <w:rsid w:val="006A6450"/>
    <w:rsid w:val="006B3267"/>
    <w:rsid w:val="006B3F73"/>
    <w:rsid w:val="006B51F8"/>
    <w:rsid w:val="006B7F99"/>
    <w:rsid w:val="006C2303"/>
    <w:rsid w:val="006C2B18"/>
    <w:rsid w:val="006C7CC9"/>
    <w:rsid w:val="006D0B0E"/>
    <w:rsid w:val="006D3369"/>
    <w:rsid w:val="006D7170"/>
    <w:rsid w:val="006E6E38"/>
    <w:rsid w:val="006F0F66"/>
    <w:rsid w:val="006F70C8"/>
    <w:rsid w:val="006F793C"/>
    <w:rsid w:val="0070017A"/>
    <w:rsid w:val="00701BFB"/>
    <w:rsid w:val="00701D63"/>
    <w:rsid w:val="00702C82"/>
    <w:rsid w:val="00704F43"/>
    <w:rsid w:val="0070506C"/>
    <w:rsid w:val="007122E2"/>
    <w:rsid w:val="0071547F"/>
    <w:rsid w:val="0072601F"/>
    <w:rsid w:val="00726146"/>
    <w:rsid w:val="00727090"/>
    <w:rsid w:val="0073465A"/>
    <w:rsid w:val="00734DFE"/>
    <w:rsid w:val="00734F7B"/>
    <w:rsid w:val="007360C0"/>
    <w:rsid w:val="0074339E"/>
    <w:rsid w:val="0075002F"/>
    <w:rsid w:val="0075162B"/>
    <w:rsid w:val="0075211C"/>
    <w:rsid w:val="007530B2"/>
    <w:rsid w:val="00753A67"/>
    <w:rsid w:val="00754290"/>
    <w:rsid w:val="00755092"/>
    <w:rsid w:val="0075696A"/>
    <w:rsid w:val="00761D84"/>
    <w:rsid w:val="00762AE0"/>
    <w:rsid w:val="007637B8"/>
    <w:rsid w:val="00764031"/>
    <w:rsid w:val="00764FC7"/>
    <w:rsid w:val="00766006"/>
    <w:rsid w:val="00766872"/>
    <w:rsid w:val="00770450"/>
    <w:rsid w:val="00773C79"/>
    <w:rsid w:val="00773FCA"/>
    <w:rsid w:val="0077509A"/>
    <w:rsid w:val="00775BCF"/>
    <w:rsid w:val="00776448"/>
    <w:rsid w:val="00776BC8"/>
    <w:rsid w:val="00776FCA"/>
    <w:rsid w:val="007770CA"/>
    <w:rsid w:val="00780A67"/>
    <w:rsid w:val="007837E3"/>
    <w:rsid w:val="007900F1"/>
    <w:rsid w:val="00790E00"/>
    <w:rsid w:val="00791345"/>
    <w:rsid w:val="0079688B"/>
    <w:rsid w:val="00797E26"/>
    <w:rsid w:val="007A5556"/>
    <w:rsid w:val="007A5B53"/>
    <w:rsid w:val="007A6474"/>
    <w:rsid w:val="007A704C"/>
    <w:rsid w:val="007B6C9D"/>
    <w:rsid w:val="007C05A6"/>
    <w:rsid w:val="007C2572"/>
    <w:rsid w:val="007C25DC"/>
    <w:rsid w:val="007C3DDB"/>
    <w:rsid w:val="007C7F33"/>
    <w:rsid w:val="007D4264"/>
    <w:rsid w:val="007D6E83"/>
    <w:rsid w:val="007E117E"/>
    <w:rsid w:val="007E261C"/>
    <w:rsid w:val="007E5590"/>
    <w:rsid w:val="007E5F19"/>
    <w:rsid w:val="007E77EA"/>
    <w:rsid w:val="007F0C6A"/>
    <w:rsid w:val="007F2356"/>
    <w:rsid w:val="007F463E"/>
    <w:rsid w:val="007F5775"/>
    <w:rsid w:val="007F6099"/>
    <w:rsid w:val="008001CB"/>
    <w:rsid w:val="00800C91"/>
    <w:rsid w:val="00802BED"/>
    <w:rsid w:val="00803118"/>
    <w:rsid w:val="00804888"/>
    <w:rsid w:val="00806EDD"/>
    <w:rsid w:val="00810721"/>
    <w:rsid w:val="00810948"/>
    <w:rsid w:val="0081591D"/>
    <w:rsid w:val="008160D3"/>
    <w:rsid w:val="008166E7"/>
    <w:rsid w:val="008213BB"/>
    <w:rsid w:val="00821910"/>
    <w:rsid w:val="00835D69"/>
    <w:rsid w:val="0083783F"/>
    <w:rsid w:val="00840098"/>
    <w:rsid w:val="00842086"/>
    <w:rsid w:val="00842972"/>
    <w:rsid w:val="0084496D"/>
    <w:rsid w:val="008449CD"/>
    <w:rsid w:val="00844F69"/>
    <w:rsid w:val="0084595E"/>
    <w:rsid w:val="0085129A"/>
    <w:rsid w:val="00855910"/>
    <w:rsid w:val="00861EAC"/>
    <w:rsid w:val="008623F5"/>
    <w:rsid w:val="00863E26"/>
    <w:rsid w:val="00870147"/>
    <w:rsid w:val="00870CCE"/>
    <w:rsid w:val="00871589"/>
    <w:rsid w:val="00874E97"/>
    <w:rsid w:val="0087743F"/>
    <w:rsid w:val="0088231F"/>
    <w:rsid w:val="0088565D"/>
    <w:rsid w:val="008913EE"/>
    <w:rsid w:val="0089162A"/>
    <w:rsid w:val="008920F3"/>
    <w:rsid w:val="00892B51"/>
    <w:rsid w:val="00894451"/>
    <w:rsid w:val="008A0630"/>
    <w:rsid w:val="008A191B"/>
    <w:rsid w:val="008A23BD"/>
    <w:rsid w:val="008A451B"/>
    <w:rsid w:val="008A47B0"/>
    <w:rsid w:val="008B02BF"/>
    <w:rsid w:val="008B0FEF"/>
    <w:rsid w:val="008B3CFE"/>
    <w:rsid w:val="008B4D4E"/>
    <w:rsid w:val="008B65F4"/>
    <w:rsid w:val="008C27A5"/>
    <w:rsid w:val="008C49D0"/>
    <w:rsid w:val="008C5E17"/>
    <w:rsid w:val="008C74F0"/>
    <w:rsid w:val="008C773D"/>
    <w:rsid w:val="008C774A"/>
    <w:rsid w:val="008D029D"/>
    <w:rsid w:val="008D2852"/>
    <w:rsid w:val="008D36C1"/>
    <w:rsid w:val="008D6AA9"/>
    <w:rsid w:val="008D7F83"/>
    <w:rsid w:val="008E58C4"/>
    <w:rsid w:val="008F19C1"/>
    <w:rsid w:val="008F49C1"/>
    <w:rsid w:val="00902FC1"/>
    <w:rsid w:val="009036A9"/>
    <w:rsid w:val="00904DF7"/>
    <w:rsid w:val="00913697"/>
    <w:rsid w:val="00920C7C"/>
    <w:rsid w:val="009225C3"/>
    <w:rsid w:val="0092283B"/>
    <w:rsid w:val="009228EE"/>
    <w:rsid w:val="00922A54"/>
    <w:rsid w:val="009261A9"/>
    <w:rsid w:val="009302C5"/>
    <w:rsid w:val="009317EB"/>
    <w:rsid w:val="00932E4B"/>
    <w:rsid w:val="0093309C"/>
    <w:rsid w:val="00934D1B"/>
    <w:rsid w:val="0093705D"/>
    <w:rsid w:val="009420C0"/>
    <w:rsid w:val="00942DC4"/>
    <w:rsid w:val="00944C13"/>
    <w:rsid w:val="00944E6A"/>
    <w:rsid w:val="009465A5"/>
    <w:rsid w:val="00947F75"/>
    <w:rsid w:val="00951F0E"/>
    <w:rsid w:val="00954C83"/>
    <w:rsid w:val="00955622"/>
    <w:rsid w:val="00955A80"/>
    <w:rsid w:val="00955BF3"/>
    <w:rsid w:val="00957415"/>
    <w:rsid w:val="00957421"/>
    <w:rsid w:val="00957D67"/>
    <w:rsid w:val="00960F98"/>
    <w:rsid w:val="0096184E"/>
    <w:rsid w:val="0096435E"/>
    <w:rsid w:val="00965146"/>
    <w:rsid w:val="00967E01"/>
    <w:rsid w:val="009704B7"/>
    <w:rsid w:val="00972295"/>
    <w:rsid w:val="00976088"/>
    <w:rsid w:val="009832C3"/>
    <w:rsid w:val="009858E5"/>
    <w:rsid w:val="00986112"/>
    <w:rsid w:val="00986A65"/>
    <w:rsid w:val="00990853"/>
    <w:rsid w:val="00992475"/>
    <w:rsid w:val="00993817"/>
    <w:rsid w:val="009960D7"/>
    <w:rsid w:val="00997BFB"/>
    <w:rsid w:val="009A082D"/>
    <w:rsid w:val="009A1A11"/>
    <w:rsid w:val="009A61B7"/>
    <w:rsid w:val="009B2229"/>
    <w:rsid w:val="009B511F"/>
    <w:rsid w:val="009B5B1A"/>
    <w:rsid w:val="009B6422"/>
    <w:rsid w:val="009B728E"/>
    <w:rsid w:val="009C0291"/>
    <w:rsid w:val="009C3099"/>
    <w:rsid w:val="009C3ACD"/>
    <w:rsid w:val="009C45BA"/>
    <w:rsid w:val="009C57E3"/>
    <w:rsid w:val="009C5CF4"/>
    <w:rsid w:val="009D1920"/>
    <w:rsid w:val="009D333F"/>
    <w:rsid w:val="009D5CF2"/>
    <w:rsid w:val="009D63C7"/>
    <w:rsid w:val="009E1D53"/>
    <w:rsid w:val="009E21C9"/>
    <w:rsid w:val="009F16F5"/>
    <w:rsid w:val="009F2FD3"/>
    <w:rsid w:val="009F3661"/>
    <w:rsid w:val="00A02A69"/>
    <w:rsid w:val="00A115C3"/>
    <w:rsid w:val="00A13BEA"/>
    <w:rsid w:val="00A154A0"/>
    <w:rsid w:val="00A16BB3"/>
    <w:rsid w:val="00A20A82"/>
    <w:rsid w:val="00A20D4D"/>
    <w:rsid w:val="00A22DF8"/>
    <w:rsid w:val="00A23DDA"/>
    <w:rsid w:val="00A24C0E"/>
    <w:rsid w:val="00A31ABA"/>
    <w:rsid w:val="00A3386D"/>
    <w:rsid w:val="00A36065"/>
    <w:rsid w:val="00A4023F"/>
    <w:rsid w:val="00A434C6"/>
    <w:rsid w:val="00A445BE"/>
    <w:rsid w:val="00A51670"/>
    <w:rsid w:val="00A53AAC"/>
    <w:rsid w:val="00A54858"/>
    <w:rsid w:val="00A573F7"/>
    <w:rsid w:val="00A6529B"/>
    <w:rsid w:val="00A7573A"/>
    <w:rsid w:val="00A75AA3"/>
    <w:rsid w:val="00A813F7"/>
    <w:rsid w:val="00A85388"/>
    <w:rsid w:val="00A914E7"/>
    <w:rsid w:val="00A91DBF"/>
    <w:rsid w:val="00A92992"/>
    <w:rsid w:val="00A94239"/>
    <w:rsid w:val="00A95DEE"/>
    <w:rsid w:val="00A974C1"/>
    <w:rsid w:val="00AA451E"/>
    <w:rsid w:val="00AB06E2"/>
    <w:rsid w:val="00AB17E2"/>
    <w:rsid w:val="00AB4E3E"/>
    <w:rsid w:val="00AB54E0"/>
    <w:rsid w:val="00AB7074"/>
    <w:rsid w:val="00AC0764"/>
    <w:rsid w:val="00AC1224"/>
    <w:rsid w:val="00AC158A"/>
    <w:rsid w:val="00AC3C2C"/>
    <w:rsid w:val="00AC4385"/>
    <w:rsid w:val="00AC49B6"/>
    <w:rsid w:val="00AC49F1"/>
    <w:rsid w:val="00AC614B"/>
    <w:rsid w:val="00AE07BD"/>
    <w:rsid w:val="00AE20EF"/>
    <w:rsid w:val="00AE2DA2"/>
    <w:rsid w:val="00AE3A67"/>
    <w:rsid w:val="00AE5C33"/>
    <w:rsid w:val="00AE6A9C"/>
    <w:rsid w:val="00AF04D6"/>
    <w:rsid w:val="00AF25A3"/>
    <w:rsid w:val="00AF49D0"/>
    <w:rsid w:val="00B028E4"/>
    <w:rsid w:val="00B030DB"/>
    <w:rsid w:val="00B031E4"/>
    <w:rsid w:val="00B046AC"/>
    <w:rsid w:val="00B06458"/>
    <w:rsid w:val="00B12BB1"/>
    <w:rsid w:val="00B23C87"/>
    <w:rsid w:val="00B25A45"/>
    <w:rsid w:val="00B3186F"/>
    <w:rsid w:val="00B32319"/>
    <w:rsid w:val="00B34DBF"/>
    <w:rsid w:val="00B406BD"/>
    <w:rsid w:val="00B53753"/>
    <w:rsid w:val="00B56879"/>
    <w:rsid w:val="00B56DAA"/>
    <w:rsid w:val="00B60572"/>
    <w:rsid w:val="00B6140C"/>
    <w:rsid w:val="00B61487"/>
    <w:rsid w:val="00B6217E"/>
    <w:rsid w:val="00B655AF"/>
    <w:rsid w:val="00B70CD4"/>
    <w:rsid w:val="00B7145C"/>
    <w:rsid w:val="00B71DA7"/>
    <w:rsid w:val="00B72A8F"/>
    <w:rsid w:val="00B748EA"/>
    <w:rsid w:val="00B75549"/>
    <w:rsid w:val="00B75F95"/>
    <w:rsid w:val="00B760A7"/>
    <w:rsid w:val="00B76BC7"/>
    <w:rsid w:val="00B771FF"/>
    <w:rsid w:val="00B773B1"/>
    <w:rsid w:val="00B8076C"/>
    <w:rsid w:val="00B807C2"/>
    <w:rsid w:val="00B83CA6"/>
    <w:rsid w:val="00B92CE3"/>
    <w:rsid w:val="00B93A1A"/>
    <w:rsid w:val="00B93FD0"/>
    <w:rsid w:val="00B946E4"/>
    <w:rsid w:val="00BA0158"/>
    <w:rsid w:val="00BA05C9"/>
    <w:rsid w:val="00BA09CC"/>
    <w:rsid w:val="00BA6790"/>
    <w:rsid w:val="00BB547D"/>
    <w:rsid w:val="00BC50F4"/>
    <w:rsid w:val="00BD19EE"/>
    <w:rsid w:val="00BD6E18"/>
    <w:rsid w:val="00BE41D4"/>
    <w:rsid w:val="00BF1BDE"/>
    <w:rsid w:val="00BF28DD"/>
    <w:rsid w:val="00BF2A82"/>
    <w:rsid w:val="00BF6099"/>
    <w:rsid w:val="00BF75D5"/>
    <w:rsid w:val="00BF7807"/>
    <w:rsid w:val="00BF7E7E"/>
    <w:rsid w:val="00C00BDF"/>
    <w:rsid w:val="00C04638"/>
    <w:rsid w:val="00C057B5"/>
    <w:rsid w:val="00C1032B"/>
    <w:rsid w:val="00C117D7"/>
    <w:rsid w:val="00C12747"/>
    <w:rsid w:val="00C13130"/>
    <w:rsid w:val="00C249A7"/>
    <w:rsid w:val="00C24B89"/>
    <w:rsid w:val="00C25251"/>
    <w:rsid w:val="00C275ED"/>
    <w:rsid w:val="00C27B96"/>
    <w:rsid w:val="00C30283"/>
    <w:rsid w:val="00C30B88"/>
    <w:rsid w:val="00C315D0"/>
    <w:rsid w:val="00C31EB5"/>
    <w:rsid w:val="00C34D95"/>
    <w:rsid w:val="00C35D25"/>
    <w:rsid w:val="00C41214"/>
    <w:rsid w:val="00C41ED1"/>
    <w:rsid w:val="00C4488C"/>
    <w:rsid w:val="00C44B1D"/>
    <w:rsid w:val="00C450B6"/>
    <w:rsid w:val="00C45551"/>
    <w:rsid w:val="00C4672A"/>
    <w:rsid w:val="00C46EB7"/>
    <w:rsid w:val="00C47D9E"/>
    <w:rsid w:val="00C510F2"/>
    <w:rsid w:val="00C53177"/>
    <w:rsid w:val="00C551A3"/>
    <w:rsid w:val="00C60DDF"/>
    <w:rsid w:val="00C62398"/>
    <w:rsid w:val="00C62507"/>
    <w:rsid w:val="00C62BF9"/>
    <w:rsid w:val="00C650B4"/>
    <w:rsid w:val="00C657E1"/>
    <w:rsid w:val="00C66095"/>
    <w:rsid w:val="00C66622"/>
    <w:rsid w:val="00C71764"/>
    <w:rsid w:val="00C71D98"/>
    <w:rsid w:val="00C7514E"/>
    <w:rsid w:val="00C769D2"/>
    <w:rsid w:val="00C81025"/>
    <w:rsid w:val="00C844A9"/>
    <w:rsid w:val="00C869D1"/>
    <w:rsid w:val="00C9020B"/>
    <w:rsid w:val="00C92E1E"/>
    <w:rsid w:val="00C96136"/>
    <w:rsid w:val="00C96BDD"/>
    <w:rsid w:val="00CA00BE"/>
    <w:rsid w:val="00CA369C"/>
    <w:rsid w:val="00CA4ED7"/>
    <w:rsid w:val="00CA74A9"/>
    <w:rsid w:val="00CA7C38"/>
    <w:rsid w:val="00CB5AE5"/>
    <w:rsid w:val="00CB6021"/>
    <w:rsid w:val="00CC1F75"/>
    <w:rsid w:val="00CC240A"/>
    <w:rsid w:val="00CC370B"/>
    <w:rsid w:val="00CC637D"/>
    <w:rsid w:val="00CC6FF6"/>
    <w:rsid w:val="00CD0926"/>
    <w:rsid w:val="00CD1CD5"/>
    <w:rsid w:val="00CE3591"/>
    <w:rsid w:val="00CE58CF"/>
    <w:rsid w:val="00CE6B53"/>
    <w:rsid w:val="00CF1F8B"/>
    <w:rsid w:val="00CF3793"/>
    <w:rsid w:val="00CF39D5"/>
    <w:rsid w:val="00CF4388"/>
    <w:rsid w:val="00CF61E9"/>
    <w:rsid w:val="00CF652A"/>
    <w:rsid w:val="00D06F1A"/>
    <w:rsid w:val="00D11AAA"/>
    <w:rsid w:val="00D12721"/>
    <w:rsid w:val="00D13813"/>
    <w:rsid w:val="00D172F8"/>
    <w:rsid w:val="00D222ED"/>
    <w:rsid w:val="00D239E1"/>
    <w:rsid w:val="00D27420"/>
    <w:rsid w:val="00D31A99"/>
    <w:rsid w:val="00D33EDA"/>
    <w:rsid w:val="00D360AE"/>
    <w:rsid w:val="00D365B5"/>
    <w:rsid w:val="00D44377"/>
    <w:rsid w:val="00D44908"/>
    <w:rsid w:val="00D5106F"/>
    <w:rsid w:val="00D510CF"/>
    <w:rsid w:val="00D57874"/>
    <w:rsid w:val="00D62966"/>
    <w:rsid w:val="00D64C7B"/>
    <w:rsid w:val="00D70446"/>
    <w:rsid w:val="00D74348"/>
    <w:rsid w:val="00D75062"/>
    <w:rsid w:val="00D7646B"/>
    <w:rsid w:val="00D77901"/>
    <w:rsid w:val="00D81BFE"/>
    <w:rsid w:val="00D8349A"/>
    <w:rsid w:val="00D90CC5"/>
    <w:rsid w:val="00D9137D"/>
    <w:rsid w:val="00D913EF"/>
    <w:rsid w:val="00D918D8"/>
    <w:rsid w:val="00D957F8"/>
    <w:rsid w:val="00DA54AC"/>
    <w:rsid w:val="00DA6048"/>
    <w:rsid w:val="00DB3DEA"/>
    <w:rsid w:val="00DB4349"/>
    <w:rsid w:val="00DB4E50"/>
    <w:rsid w:val="00DB54A1"/>
    <w:rsid w:val="00DB7F84"/>
    <w:rsid w:val="00DC2711"/>
    <w:rsid w:val="00DC398A"/>
    <w:rsid w:val="00DC3F3D"/>
    <w:rsid w:val="00DC438A"/>
    <w:rsid w:val="00DC6B89"/>
    <w:rsid w:val="00DD04C8"/>
    <w:rsid w:val="00DD06C1"/>
    <w:rsid w:val="00DD0BB1"/>
    <w:rsid w:val="00DD5878"/>
    <w:rsid w:val="00DE575A"/>
    <w:rsid w:val="00DE7B5B"/>
    <w:rsid w:val="00DF0299"/>
    <w:rsid w:val="00DF102D"/>
    <w:rsid w:val="00DF47FB"/>
    <w:rsid w:val="00DF486C"/>
    <w:rsid w:val="00DF71CC"/>
    <w:rsid w:val="00E0297E"/>
    <w:rsid w:val="00E04CC9"/>
    <w:rsid w:val="00E050C5"/>
    <w:rsid w:val="00E055EB"/>
    <w:rsid w:val="00E05DD7"/>
    <w:rsid w:val="00E07D15"/>
    <w:rsid w:val="00E138E9"/>
    <w:rsid w:val="00E22571"/>
    <w:rsid w:val="00E232D4"/>
    <w:rsid w:val="00E24CD1"/>
    <w:rsid w:val="00E254BC"/>
    <w:rsid w:val="00E31C04"/>
    <w:rsid w:val="00E325D8"/>
    <w:rsid w:val="00E34A4D"/>
    <w:rsid w:val="00E35D20"/>
    <w:rsid w:val="00E36089"/>
    <w:rsid w:val="00E360D6"/>
    <w:rsid w:val="00E40D80"/>
    <w:rsid w:val="00E40EBF"/>
    <w:rsid w:val="00E417B0"/>
    <w:rsid w:val="00E431A8"/>
    <w:rsid w:val="00E441FF"/>
    <w:rsid w:val="00E52117"/>
    <w:rsid w:val="00E53043"/>
    <w:rsid w:val="00E548B9"/>
    <w:rsid w:val="00E55A81"/>
    <w:rsid w:val="00E5625D"/>
    <w:rsid w:val="00E5790F"/>
    <w:rsid w:val="00E61C37"/>
    <w:rsid w:val="00E633D6"/>
    <w:rsid w:val="00E67E62"/>
    <w:rsid w:val="00E708A0"/>
    <w:rsid w:val="00E8239C"/>
    <w:rsid w:val="00E8784D"/>
    <w:rsid w:val="00E87BF4"/>
    <w:rsid w:val="00E9249D"/>
    <w:rsid w:val="00E965B2"/>
    <w:rsid w:val="00E965E6"/>
    <w:rsid w:val="00EA0A89"/>
    <w:rsid w:val="00EA1310"/>
    <w:rsid w:val="00EA1F8F"/>
    <w:rsid w:val="00EB1884"/>
    <w:rsid w:val="00EB25CB"/>
    <w:rsid w:val="00EB2F3E"/>
    <w:rsid w:val="00EB7357"/>
    <w:rsid w:val="00EC1052"/>
    <w:rsid w:val="00EC2963"/>
    <w:rsid w:val="00EC4265"/>
    <w:rsid w:val="00EC706E"/>
    <w:rsid w:val="00EC7E10"/>
    <w:rsid w:val="00ED01A5"/>
    <w:rsid w:val="00ED1C09"/>
    <w:rsid w:val="00ED2C61"/>
    <w:rsid w:val="00ED3FAB"/>
    <w:rsid w:val="00ED5C45"/>
    <w:rsid w:val="00ED7086"/>
    <w:rsid w:val="00EE0532"/>
    <w:rsid w:val="00EE078F"/>
    <w:rsid w:val="00EF10B8"/>
    <w:rsid w:val="00EF2147"/>
    <w:rsid w:val="00EF403D"/>
    <w:rsid w:val="00EF454C"/>
    <w:rsid w:val="00EF7BB4"/>
    <w:rsid w:val="00F01668"/>
    <w:rsid w:val="00F0205F"/>
    <w:rsid w:val="00F02571"/>
    <w:rsid w:val="00F03068"/>
    <w:rsid w:val="00F06269"/>
    <w:rsid w:val="00F06902"/>
    <w:rsid w:val="00F137FD"/>
    <w:rsid w:val="00F200B8"/>
    <w:rsid w:val="00F20E35"/>
    <w:rsid w:val="00F21D02"/>
    <w:rsid w:val="00F235EA"/>
    <w:rsid w:val="00F24199"/>
    <w:rsid w:val="00F30034"/>
    <w:rsid w:val="00F30A5F"/>
    <w:rsid w:val="00F30A9A"/>
    <w:rsid w:val="00F310C3"/>
    <w:rsid w:val="00F3184E"/>
    <w:rsid w:val="00F32B52"/>
    <w:rsid w:val="00F34329"/>
    <w:rsid w:val="00F351D5"/>
    <w:rsid w:val="00F35328"/>
    <w:rsid w:val="00F366DE"/>
    <w:rsid w:val="00F42F53"/>
    <w:rsid w:val="00F44004"/>
    <w:rsid w:val="00F47B27"/>
    <w:rsid w:val="00F562A1"/>
    <w:rsid w:val="00F57AD0"/>
    <w:rsid w:val="00F62154"/>
    <w:rsid w:val="00F630D0"/>
    <w:rsid w:val="00F63336"/>
    <w:rsid w:val="00F64487"/>
    <w:rsid w:val="00F65826"/>
    <w:rsid w:val="00F728B0"/>
    <w:rsid w:val="00F77EC6"/>
    <w:rsid w:val="00F82683"/>
    <w:rsid w:val="00F827EF"/>
    <w:rsid w:val="00F839CE"/>
    <w:rsid w:val="00F83E83"/>
    <w:rsid w:val="00F85CA2"/>
    <w:rsid w:val="00F86571"/>
    <w:rsid w:val="00F86825"/>
    <w:rsid w:val="00F903AF"/>
    <w:rsid w:val="00F9186D"/>
    <w:rsid w:val="00F92898"/>
    <w:rsid w:val="00F96657"/>
    <w:rsid w:val="00F96884"/>
    <w:rsid w:val="00F96A78"/>
    <w:rsid w:val="00FA3406"/>
    <w:rsid w:val="00FA694C"/>
    <w:rsid w:val="00FB08F6"/>
    <w:rsid w:val="00FB0A01"/>
    <w:rsid w:val="00FB0F10"/>
    <w:rsid w:val="00FB1B3F"/>
    <w:rsid w:val="00FB2E87"/>
    <w:rsid w:val="00FB49FC"/>
    <w:rsid w:val="00FB4B19"/>
    <w:rsid w:val="00FB61BE"/>
    <w:rsid w:val="00FC00D3"/>
    <w:rsid w:val="00FC011C"/>
    <w:rsid w:val="00FC03C4"/>
    <w:rsid w:val="00FC34B3"/>
    <w:rsid w:val="00FC6DB3"/>
    <w:rsid w:val="00FD44C1"/>
    <w:rsid w:val="00FD47AC"/>
    <w:rsid w:val="00FD6443"/>
    <w:rsid w:val="00FD7413"/>
    <w:rsid w:val="00FE23F7"/>
    <w:rsid w:val="00FE6D28"/>
    <w:rsid w:val="00FE6FCC"/>
    <w:rsid w:val="00FE788F"/>
    <w:rsid w:val="00FF167E"/>
    <w:rsid w:val="00FF3EEE"/>
    <w:rsid w:val="00FF4938"/>
    <w:rsid w:val="00FF6C9A"/>
    <w:rsid w:val="00FF77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CE4E85-8C88-4B3F-A64E-8E5B964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DAA"/>
    <w:rPr>
      <w:lang w:val="sq-AL"/>
    </w:rPr>
  </w:style>
  <w:style w:type="paragraph" w:styleId="Heading9">
    <w:name w:val="heading 9"/>
    <w:basedOn w:val="Normal"/>
    <w:next w:val="Normal"/>
    <w:link w:val="Heading9Char"/>
    <w:uiPriority w:val="9"/>
    <w:semiHidden/>
    <w:unhideWhenUsed/>
    <w:qFormat/>
    <w:rsid w:val="0066286C"/>
    <w:pPr>
      <w:keepNext/>
      <w:keepLines/>
      <w:spacing w:before="200" w:after="0" w:line="240" w:lineRule="auto"/>
      <w:outlineLvl w:val="8"/>
    </w:pPr>
    <w:rPr>
      <w:rFonts w:ascii="Cambria" w:eastAsia="Times New Roman" w:hAnsi="Cambria" w:cs="Times New Roman"/>
      <w:i/>
      <w:iCs/>
      <w:noProof/>
      <w:color w:val="40404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Intestazione.int,Header1, Char Char Char Char,Char Char Char,hd"/>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Header1 Char, Char Char Char Char Char,Char Char Char Char,hd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customStyle="1" w:styleId="Default">
    <w:name w:val="Default"/>
    <w:rsid w:val="008B65F4"/>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link w:val="SubtitleChar"/>
    <w:qFormat/>
    <w:rsid w:val="00B3186F"/>
    <w:pPr>
      <w:spacing w:after="0" w:line="240" w:lineRule="auto"/>
      <w:jc w:val="center"/>
    </w:pPr>
    <w:rPr>
      <w:rFonts w:ascii="Times New Roman" w:eastAsia="Times New Roman" w:hAnsi="Times New Roman" w:cs="Times New Roman"/>
      <w:b/>
      <w:bCs/>
      <w:noProof/>
      <w:sz w:val="24"/>
      <w:szCs w:val="24"/>
      <w:lang w:val="it-IT"/>
    </w:rPr>
  </w:style>
  <w:style w:type="character" w:customStyle="1" w:styleId="SubtitleChar">
    <w:name w:val="Subtitle Char"/>
    <w:basedOn w:val="DefaultParagraphFont"/>
    <w:link w:val="Subtitle"/>
    <w:rsid w:val="00B3186F"/>
    <w:rPr>
      <w:rFonts w:ascii="Times New Roman" w:eastAsia="Times New Roman" w:hAnsi="Times New Roman" w:cs="Times New Roman"/>
      <w:b/>
      <w:bCs/>
      <w:noProof/>
      <w:sz w:val="24"/>
      <w:szCs w:val="24"/>
      <w:lang w:val="it-IT"/>
    </w:rPr>
  </w:style>
  <w:style w:type="paragraph" w:styleId="NoSpacing">
    <w:name w:val="No Spacing"/>
    <w:link w:val="NoSpacingChar"/>
    <w:uiPriority w:val="1"/>
    <w:qFormat/>
    <w:rsid w:val="0009199B"/>
    <w:pPr>
      <w:spacing w:after="0" w:line="240" w:lineRule="auto"/>
    </w:pPr>
    <w:rPr>
      <w:rFonts w:ascii="Times New Roman" w:eastAsia="SimSun" w:hAnsi="Times New Roman" w:cs="Times New Roman"/>
      <w:noProof/>
      <w:sz w:val="24"/>
      <w:szCs w:val="24"/>
      <w:lang w:val="sq-AL" w:eastAsia="zh-CN"/>
    </w:rPr>
  </w:style>
  <w:style w:type="character" w:customStyle="1" w:styleId="NoSpacingChar">
    <w:name w:val="No Spacing Char"/>
    <w:link w:val="NoSpacing"/>
    <w:uiPriority w:val="1"/>
    <w:locked/>
    <w:rsid w:val="0009199B"/>
    <w:rPr>
      <w:rFonts w:ascii="Times New Roman" w:eastAsia="SimSun" w:hAnsi="Times New Roman" w:cs="Times New Roman"/>
      <w:noProof/>
      <w:sz w:val="24"/>
      <w:szCs w:val="24"/>
      <w:lang w:val="sq-AL" w:eastAsia="zh-CN"/>
    </w:rPr>
  </w:style>
  <w:style w:type="paragraph" w:styleId="BodyText">
    <w:name w:val="Body Text"/>
    <w:basedOn w:val="Normal"/>
    <w:link w:val="BodyTextChar"/>
    <w:rsid w:val="00DB3DE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B3DEA"/>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AE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7BD"/>
    <w:rPr>
      <w:rFonts w:ascii="Tahoma" w:hAnsi="Tahoma" w:cs="Tahoma"/>
      <w:sz w:val="16"/>
      <w:szCs w:val="16"/>
    </w:rPr>
  </w:style>
  <w:style w:type="character" w:styleId="Emphasis">
    <w:name w:val="Emphasis"/>
    <w:qFormat/>
    <w:rsid w:val="00361E0D"/>
    <w:rPr>
      <w:i/>
      <w:iCs/>
    </w:rPr>
  </w:style>
  <w:style w:type="paragraph" w:styleId="BodyTextIndent2">
    <w:name w:val="Body Text Indent 2"/>
    <w:basedOn w:val="Normal"/>
    <w:link w:val="BodyTextIndent2Char"/>
    <w:uiPriority w:val="99"/>
    <w:semiHidden/>
    <w:unhideWhenUsed/>
    <w:rsid w:val="00842972"/>
    <w:pPr>
      <w:spacing w:after="120" w:line="480" w:lineRule="auto"/>
      <w:ind w:left="360"/>
    </w:pPr>
  </w:style>
  <w:style w:type="character" w:customStyle="1" w:styleId="BodyTextIndent2Char">
    <w:name w:val="Body Text Indent 2 Char"/>
    <w:basedOn w:val="DefaultParagraphFont"/>
    <w:link w:val="BodyTextIndent2"/>
    <w:uiPriority w:val="99"/>
    <w:semiHidden/>
    <w:rsid w:val="00842972"/>
  </w:style>
  <w:style w:type="paragraph" w:styleId="PlainText">
    <w:name w:val="Plain Text"/>
    <w:basedOn w:val="Normal"/>
    <w:link w:val="PlainTextChar"/>
    <w:rsid w:val="003774E8"/>
    <w:pPr>
      <w:spacing w:after="0" w:line="240" w:lineRule="auto"/>
    </w:pPr>
    <w:rPr>
      <w:rFonts w:ascii="Courier New" w:eastAsia="Times New Roman" w:hAnsi="Courier New" w:cs="Times New Roman"/>
      <w:sz w:val="24"/>
      <w:szCs w:val="24"/>
    </w:rPr>
  </w:style>
  <w:style w:type="character" w:customStyle="1" w:styleId="PlainTextChar">
    <w:name w:val="Plain Text Char"/>
    <w:basedOn w:val="DefaultParagraphFont"/>
    <w:link w:val="PlainText"/>
    <w:rsid w:val="003774E8"/>
    <w:rPr>
      <w:rFonts w:ascii="Courier New" w:eastAsia="Times New Roman" w:hAnsi="Courier New" w:cs="Times New Roman"/>
      <w:sz w:val="24"/>
      <w:szCs w:val="24"/>
    </w:rPr>
  </w:style>
  <w:style w:type="paragraph" w:styleId="BodyText2">
    <w:name w:val="Body Text 2"/>
    <w:basedOn w:val="Normal"/>
    <w:link w:val="BodyText2Char"/>
    <w:uiPriority w:val="99"/>
    <w:unhideWhenUsed/>
    <w:rsid w:val="009225C3"/>
    <w:pPr>
      <w:spacing w:after="120" w:line="480" w:lineRule="auto"/>
    </w:pPr>
  </w:style>
  <w:style w:type="character" w:customStyle="1" w:styleId="BodyText2Char">
    <w:name w:val="Body Text 2 Char"/>
    <w:basedOn w:val="DefaultParagraphFont"/>
    <w:link w:val="BodyText2"/>
    <w:uiPriority w:val="99"/>
    <w:rsid w:val="009225C3"/>
  </w:style>
  <w:style w:type="character" w:customStyle="1" w:styleId="actscontent">
    <w:name w:val="actscontent"/>
    <w:basedOn w:val="DefaultParagraphFont"/>
    <w:rsid w:val="00F32B52"/>
  </w:style>
  <w:style w:type="character" w:customStyle="1" w:styleId="Heading9Char">
    <w:name w:val="Heading 9 Char"/>
    <w:basedOn w:val="DefaultParagraphFont"/>
    <w:link w:val="Heading9"/>
    <w:uiPriority w:val="9"/>
    <w:semiHidden/>
    <w:rsid w:val="0066286C"/>
    <w:rPr>
      <w:rFonts w:ascii="Cambria" w:eastAsia="Times New Roman" w:hAnsi="Cambria" w:cs="Times New Roman"/>
      <w:i/>
      <w:iCs/>
      <w:noProof/>
      <w:color w:val="404040"/>
      <w:sz w:val="20"/>
      <w:szCs w:val="20"/>
      <w:lang w:val="sq-AL" w:eastAsia="zh-CN"/>
    </w:rPr>
  </w:style>
  <w:style w:type="character" w:customStyle="1" w:styleId="MessageHeaderLabel">
    <w:name w:val="Message Header Label"/>
    <w:rsid w:val="0066286C"/>
    <w:rPr>
      <w:rFonts w:ascii="Arial Black" w:hAnsi="Arial Black" w:hint="default"/>
      <w:spacing w:val="-10"/>
      <w:sz w:val="18"/>
    </w:rPr>
  </w:style>
  <w:style w:type="paragraph" w:styleId="ListBullet">
    <w:name w:val="List Bullet"/>
    <w:basedOn w:val="Normal"/>
    <w:uiPriority w:val="99"/>
    <w:unhideWhenUsed/>
    <w:rsid w:val="0066286C"/>
    <w:pPr>
      <w:numPr>
        <w:numId w:val="26"/>
      </w:numPr>
      <w:spacing w:after="0" w:line="240" w:lineRule="auto"/>
      <w:contextualSpacing/>
    </w:pPr>
    <w:rPr>
      <w:rFonts w:ascii="Times New Roman" w:eastAsia="SimSun" w:hAnsi="Times New Roman" w:cs="Times New Roman"/>
      <w:noProo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730">
      <w:bodyDiv w:val="1"/>
      <w:marLeft w:val="0"/>
      <w:marRight w:val="0"/>
      <w:marTop w:val="0"/>
      <w:marBottom w:val="0"/>
      <w:divBdr>
        <w:top w:val="none" w:sz="0" w:space="0" w:color="auto"/>
        <w:left w:val="none" w:sz="0" w:space="0" w:color="auto"/>
        <w:bottom w:val="none" w:sz="0" w:space="0" w:color="auto"/>
        <w:right w:val="none" w:sz="0" w:space="0" w:color="auto"/>
      </w:divBdr>
    </w:div>
    <w:div w:id="38012656">
      <w:bodyDiv w:val="1"/>
      <w:marLeft w:val="0"/>
      <w:marRight w:val="0"/>
      <w:marTop w:val="0"/>
      <w:marBottom w:val="0"/>
      <w:divBdr>
        <w:top w:val="none" w:sz="0" w:space="0" w:color="auto"/>
        <w:left w:val="none" w:sz="0" w:space="0" w:color="auto"/>
        <w:bottom w:val="none" w:sz="0" w:space="0" w:color="auto"/>
        <w:right w:val="none" w:sz="0" w:space="0" w:color="auto"/>
      </w:divBdr>
    </w:div>
    <w:div w:id="142501885">
      <w:bodyDiv w:val="1"/>
      <w:marLeft w:val="0"/>
      <w:marRight w:val="0"/>
      <w:marTop w:val="0"/>
      <w:marBottom w:val="0"/>
      <w:divBdr>
        <w:top w:val="none" w:sz="0" w:space="0" w:color="auto"/>
        <w:left w:val="none" w:sz="0" w:space="0" w:color="auto"/>
        <w:bottom w:val="none" w:sz="0" w:space="0" w:color="auto"/>
        <w:right w:val="none" w:sz="0" w:space="0" w:color="auto"/>
      </w:divBdr>
    </w:div>
    <w:div w:id="155850495">
      <w:bodyDiv w:val="1"/>
      <w:marLeft w:val="0"/>
      <w:marRight w:val="0"/>
      <w:marTop w:val="0"/>
      <w:marBottom w:val="0"/>
      <w:divBdr>
        <w:top w:val="none" w:sz="0" w:space="0" w:color="auto"/>
        <w:left w:val="none" w:sz="0" w:space="0" w:color="auto"/>
        <w:bottom w:val="none" w:sz="0" w:space="0" w:color="auto"/>
        <w:right w:val="none" w:sz="0" w:space="0" w:color="auto"/>
      </w:divBdr>
    </w:div>
    <w:div w:id="171847730">
      <w:bodyDiv w:val="1"/>
      <w:marLeft w:val="0"/>
      <w:marRight w:val="0"/>
      <w:marTop w:val="0"/>
      <w:marBottom w:val="0"/>
      <w:divBdr>
        <w:top w:val="none" w:sz="0" w:space="0" w:color="auto"/>
        <w:left w:val="none" w:sz="0" w:space="0" w:color="auto"/>
        <w:bottom w:val="none" w:sz="0" w:space="0" w:color="auto"/>
        <w:right w:val="none" w:sz="0" w:space="0" w:color="auto"/>
      </w:divBdr>
    </w:div>
    <w:div w:id="178541530">
      <w:bodyDiv w:val="1"/>
      <w:marLeft w:val="0"/>
      <w:marRight w:val="0"/>
      <w:marTop w:val="0"/>
      <w:marBottom w:val="0"/>
      <w:divBdr>
        <w:top w:val="none" w:sz="0" w:space="0" w:color="auto"/>
        <w:left w:val="none" w:sz="0" w:space="0" w:color="auto"/>
        <w:bottom w:val="none" w:sz="0" w:space="0" w:color="auto"/>
        <w:right w:val="none" w:sz="0" w:space="0" w:color="auto"/>
      </w:divBdr>
    </w:div>
    <w:div w:id="184297114">
      <w:bodyDiv w:val="1"/>
      <w:marLeft w:val="0"/>
      <w:marRight w:val="0"/>
      <w:marTop w:val="0"/>
      <w:marBottom w:val="0"/>
      <w:divBdr>
        <w:top w:val="none" w:sz="0" w:space="0" w:color="auto"/>
        <w:left w:val="none" w:sz="0" w:space="0" w:color="auto"/>
        <w:bottom w:val="none" w:sz="0" w:space="0" w:color="auto"/>
        <w:right w:val="none" w:sz="0" w:space="0" w:color="auto"/>
      </w:divBdr>
    </w:div>
    <w:div w:id="246429185">
      <w:bodyDiv w:val="1"/>
      <w:marLeft w:val="0"/>
      <w:marRight w:val="0"/>
      <w:marTop w:val="0"/>
      <w:marBottom w:val="0"/>
      <w:divBdr>
        <w:top w:val="none" w:sz="0" w:space="0" w:color="auto"/>
        <w:left w:val="none" w:sz="0" w:space="0" w:color="auto"/>
        <w:bottom w:val="none" w:sz="0" w:space="0" w:color="auto"/>
        <w:right w:val="none" w:sz="0" w:space="0" w:color="auto"/>
      </w:divBdr>
    </w:div>
    <w:div w:id="265187932">
      <w:bodyDiv w:val="1"/>
      <w:marLeft w:val="0"/>
      <w:marRight w:val="0"/>
      <w:marTop w:val="0"/>
      <w:marBottom w:val="0"/>
      <w:divBdr>
        <w:top w:val="none" w:sz="0" w:space="0" w:color="auto"/>
        <w:left w:val="none" w:sz="0" w:space="0" w:color="auto"/>
        <w:bottom w:val="none" w:sz="0" w:space="0" w:color="auto"/>
        <w:right w:val="none" w:sz="0" w:space="0" w:color="auto"/>
      </w:divBdr>
    </w:div>
    <w:div w:id="293759555">
      <w:bodyDiv w:val="1"/>
      <w:marLeft w:val="0"/>
      <w:marRight w:val="0"/>
      <w:marTop w:val="0"/>
      <w:marBottom w:val="0"/>
      <w:divBdr>
        <w:top w:val="none" w:sz="0" w:space="0" w:color="auto"/>
        <w:left w:val="none" w:sz="0" w:space="0" w:color="auto"/>
        <w:bottom w:val="none" w:sz="0" w:space="0" w:color="auto"/>
        <w:right w:val="none" w:sz="0" w:space="0" w:color="auto"/>
      </w:divBdr>
    </w:div>
    <w:div w:id="325519075">
      <w:bodyDiv w:val="1"/>
      <w:marLeft w:val="0"/>
      <w:marRight w:val="0"/>
      <w:marTop w:val="0"/>
      <w:marBottom w:val="0"/>
      <w:divBdr>
        <w:top w:val="none" w:sz="0" w:space="0" w:color="auto"/>
        <w:left w:val="none" w:sz="0" w:space="0" w:color="auto"/>
        <w:bottom w:val="none" w:sz="0" w:space="0" w:color="auto"/>
        <w:right w:val="none" w:sz="0" w:space="0" w:color="auto"/>
      </w:divBdr>
    </w:div>
    <w:div w:id="364140154">
      <w:bodyDiv w:val="1"/>
      <w:marLeft w:val="0"/>
      <w:marRight w:val="0"/>
      <w:marTop w:val="0"/>
      <w:marBottom w:val="0"/>
      <w:divBdr>
        <w:top w:val="none" w:sz="0" w:space="0" w:color="auto"/>
        <w:left w:val="none" w:sz="0" w:space="0" w:color="auto"/>
        <w:bottom w:val="none" w:sz="0" w:space="0" w:color="auto"/>
        <w:right w:val="none" w:sz="0" w:space="0" w:color="auto"/>
      </w:divBdr>
    </w:div>
    <w:div w:id="387194293">
      <w:bodyDiv w:val="1"/>
      <w:marLeft w:val="0"/>
      <w:marRight w:val="0"/>
      <w:marTop w:val="0"/>
      <w:marBottom w:val="0"/>
      <w:divBdr>
        <w:top w:val="none" w:sz="0" w:space="0" w:color="auto"/>
        <w:left w:val="none" w:sz="0" w:space="0" w:color="auto"/>
        <w:bottom w:val="none" w:sz="0" w:space="0" w:color="auto"/>
        <w:right w:val="none" w:sz="0" w:space="0" w:color="auto"/>
      </w:divBdr>
    </w:div>
    <w:div w:id="406727853">
      <w:bodyDiv w:val="1"/>
      <w:marLeft w:val="0"/>
      <w:marRight w:val="0"/>
      <w:marTop w:val="0"/>
      <w:marBottom w:val="0"/>
      <w:divBdr>
        <w:top w:val="none" w:sz="0" w:space="0" w:color="auto"/>
        <w:left w:val="none" w:sz="0" w:space="0" w:color="auto"/>
        <w:bottom w:val="none" w:sz="0" w:space="0" w:color="auto"/>
        <w:right w:val="none" w:sz="0" w:space="0" w:color="auto"/>
      </w:divBdr>
    </w:div>
    <w:div w:id="450129493">
      <w:bodyDiv w:val="1"/>
      <w:marLeft w:val="0"/>
      <w:marRight w:val="0"/>
      <w:marTop w:val="0"/>
      <w:marBottom w:val="0"/>
      <w:divBdr>
        <w:top w:val="none" w:sz="0" w:space="0" w:color="auto"/>
        <w:left w:val="none" w:sz="0" w:space="0" w:color="auto"/>
        <w:bottom w:val="none" w:sz="0" w:space="0" w:color="auto"/>
        <w:right w:val="none" w:sz="0" w:space="0" w:color="auto"/>
      </w:divBdr>
    </w:div>
    <w:div w:id="514074756">
      <w:bodyDiv w:val="1"/>
      <w:marLeft w:val="0"/>
      <w:marRight w:val="0"/>
      <w:marTop w:val="0"/>
      <w:marBottom w:val="0"/>
      <w:divBdr>
        <w:top w:val="none" w:sz="0" w:space="0" w:color="auto"/>
        <w:left w:val="none" w:sz="0" w:space="0" w:color="auto"/>
        <w:bottom w:val="none" w:sz="0" w:space="0" w:color="auto"/>
        <w:right w:val="none" w:sz="0" w:space="0" w:color="auto"/>
      </w:divBdr>
    </w:div>
    <w:div w:id="525098933">
      <w:bodyDiv w:val="1"/>
      <w:marLeft w:val="0"/>
      <w:marRight w:val="0"/>
      <w:marTop w:val="0"/>
      <w:marBottom w:val="0"/>
      <w:divBdr>
        <w:top w:val="none" w:sz="0" w:space="0" w:color="auto"/>
        <w:left w:val="none" w:sz="0" w:space="0" w:color="auto"/>
        <w:bottom w:val="none" w:sz="0" w:space="0" w:color="auto"/>
        <w:right w:val="none" w:sz="0" w:space="0" w:color="auto"/>
      </w:divBdr>
    </w:div>
    <w:div w:id="563032345">
      <w:bodyDiv w:val="1"/>
      <w:marLeft w:val="0"/>
      <w:marRight w:val="0"/>
      <w:marTop w:val="0"/>
      <w:marBottom w:val="0"/>
      <w:divBdr>
        <w:top w:val="none" w:sz="0" w:space="0" w:color="auto"/>
        <w:left w:val="none" w:sz="0" w:space="0" w:color="auto"/>
        <w:bottom w:val="none" w:sz="0" w:space="0" w:color="auto"/>
        <w:right w:val="none" w:sz="0" w:space="0" w:color="auto"/>
      </w:divBdr>
    </w:div>
    <w:div w:id="564608620">
      <w:bodyDiv w:val="1"/>
      <w:marLeft w:val="0"/>
      <w:marRight w:val="0"/>
      <w:marTop w:val="0"/>
      <w:marBottom w:val="0"/>
      <w:divBdr>
        <w:top w:val="none" w:sz="0" w:space="0" w:color="auto"/>
        <w:left w:val="none" w:sz="0" w:space="0" w:color="auto"/>
        <w:bottom w:val="none" w:sz="0" w:space="0" w:color="auto"/>
        <w:right w:val="none" w:sz="0" w:space="0" w:color="auto"/>
      </w:divBdr>
    </w:div>
    <w:div w:id="634798215">
      <w:bodyDiv w:val="1"/>
      <w:marLeft w:val="0"/>
      <w:marRight w:val="0"/>
      <w:marTop w:val="0"/>
      <w:marBottom w:val="0"/>
      <w:divBdr>
        <w:top w:val="none" w:sz="0" w:space="0" w:color="auto"/>
        <w:left w:val="none" w:sz="0" w:space="0" w:color="auto"/>
        <w:bottom w:val="none" w:sz="0" w:space="0" w:color="auto"/>
        <w:right w:val="none" w:sz="0" w:space="0" w:color="auto"/>
      </w:divBdr>
    </w:div>
    <w:div w:id="636379010">
      <w:bodyDiv w:val="1"/>
      <w:marLeft w:val="0"/>
      <w:marRight w:val="0"/>
      <w:marTop w:val="0"/>
      <w:marBottom w:val="0"/>
      <w:divBdr>
        <w:top w:val="none" w:sz="0" w:space="0" w:color="auto"/>
        <w:left w:val="none" w:sz="0" w:space="0" w:color="auto"/>
        <w:bottom w:val="none" w:sz="0" w:space="0" w:color="auto"/>
        <w:right w:val="none" w:sz="0" w:space="0" w:color="auto"/>
      </w:divBdr>
    </w:div>
    <w:div w:id="679698608">
      <w:bodyDiv w:val="1"/>
      <w:marLeft w:val="0"/>
      <w:marRight w:val="0"/>
      <w:marTop w:val="0"/>
      <w:marBottom w:val="0"/>
      <w:divBdr>
        <w:top w:val="none" w:sz="0" w:space="0" w:color="auto"/>
        <w:left w:val="none" w:sz="0" w:space="0" w:color="auto"/>
        <w:bottom w:val="none" w:sz="0" w:space="0" w:color="auto"/>
        <w:right w:val="none" w:sz="0" w:space="0" w:color="auto"/>
      </w:divBdr>
    </w:div>
    <w:div w:id="825897789">
      <w:bodyDiv w:val="1"/>
      <w:marLeft w:val="0"/>
      <w:marRight w:val="0"/>
      <w:marTop w:val="0"/>
      <w:marBottom w:val="0"/>
      <w:divBdr>
        <w:top w:val="none" w:sz="0" w:space="0" w:color="auto"/>
        <w:left w:val="none" w:sz="0" w:space="0" w:color="auto"/>
        <w:bottom w:val="none" w:sz="0" w:space="0" w:color="auto"/>
        <w:right w:val="none" w:sz="0" w:space="0" w:color="auto"/>
      </w:divBdr>
    </w:div>
    <w:div w:id="929893825">
      <w:bodyDiv w:val="1"/>
      <w:marLeft w:val="0"/>
      <w:marRight w:val="0"/>
      <w:marTop w:val="0"/>
      <w:marBottom w:val="0"/>
      <w:divBdr>
        <w:top w:val="none" w:sz="0" w:space="0" w:color="auto"/>
        <w:left w:val="none" w:sz="0" w:space="0" w:color="auto"/>
        <w:bottom w:val="none" w:sz="0" w:space="0" w:color="auto"/>
        <w:right w:val="none" w:sz="0" w:space="0" w:color="auto"/>
      </w:divBdr>
      <w:divsChild>
        <w:div w:id="780105011">
          <w:marLeft w:val="0"/>
          <w:marRight w:val="0"/>
          <w:marTop w:val="0"/>
          <w:marBottom w:val="0"/>
          <w:divBdr>
            <w:top w:val="none" w:sz="0" w:space="0" w:color="auto"/>
            <w:left w:val="none" w:sz="0" w:space="0" w:color="auto"/>
            <w:bottom w:val="none" w:sz="0" w:space="0" w:color="auto"/>
            <w:right w:val="none" w:sz="0" w:space="0" w:color="auto"/>
          </w:divBdr>
        </w:div>
        <w:div w:id="1633557074">
          <w:marLeft w:val="0"/>
          <w:marRight w:val="0"/>
          <w:marTop w:val="0"/>
          <w:marBottom w:val="0"/>
          <w:divBdr>
            <w:top w:val="none" w:sz="0" w:space="0" w:color="auto"/>
            <w:left w:val="none" w:sz="0" w:space="0" w:color="auto"/>
            <w:bottom w:val="none" w:sz="0" w:space="0" w:color="auto"/>
            <w:right w:val="none" w:sz="0" w:space="0" w:color="auto"/>
          </w:divBdr>
        </w:div>
        <w:div w:id="1375427943">
          <w:marLeft w:val="0"/>
          <w:marRight w:val="0"/>
          <w:marTop w:val="0"/>
          <w:marBottom w:val="0"/>
          <w:divBdr>
            <w:top w:val="none" w:sz="0" w:space="0" w:color="auto"/>
            <w:left w:val="none" w:sz="0" w:space="0" w:color="auto"/>
            <w:bottom w:val="none" w:sz="0" w:space="0" w:color="auto"/>
            <w:right w:val="none" w:sz="0" w:space="0" w:color="auto"/>
          </w:divBdr>
        </w:div>
        <w:div w:id="1785803310">
          <w:marLeft w:val="0"/>
          <w:marRight w:val="0"/>
          <w:marTop w:val="0"/>
          <w:marBottom w:val="0"/>
          <w:divBdr>
            <w:top w:val="none" w:sz="0" w:space="0" w:color="auto"/>
            <w:left w:val="none" w:sz="0" w:space="0" w:color="auto"/>
            <w:bottom w:val="none" w:sz="0" w:space="0" w:color="auto"/>
            <w:right w:val="none" w:sz="0" w:space="0" w:color="auto"/>
          </w:divBdr>
        </w:div>
        <w:div w:id="344288429">
          <w:marLeft w:val="0"/>
          <w:marRight w:val="0"/>
          <w:marTop w:val="0"/>
          <w:marBottom w:val="0"/>
          <w:divBdr>
            <w:top w:val="none" w:sz="0" w:space="0" w:color="auto"/>
            <w:left w:val="none" w:sz="0" w:space="0" w:color="auto"/>
            <w:bottom w:val="none" w:sz="0" w:space="0" w:color="auto"/>
            <w:right w:val="none" w:sz="0" w:space="0" w:color="auto"/>
          </w:divBdr>
        </w:div>
        <w:div w:id="1166046452">
          <w:marLeft w:val="0"/>
          <w:marRight w:val="0"/>
          <w:marTop w:val="0"/>
          <w:marBottom w:val="0"/>
          <w:divBdr>
            <w:top w:val="none" w:sz="0" w:space="0" w:color="auto"/>
            <w:left w:val="none" w:sz="0" w:space="0" w:color="auto"/>
            <w:bottom w:val="none" w:sz="0" w:space="0" w:color="auto"/>
            <w:right w:val="none" w:sz="0" w:space="0" w:color="auto"/>
          </w:divBdr>
        </w:div>
        <w:div w:id="1589539086">
          <w:marLeft w:val="0"/>
          <w:marRight w:val="0"/>
          <w:marTop w:val="0"/>
          <w:marBottom w:val="0"/>
          <w:divBdr>
            <w:top w:val="none" w:sz="0" w:space="0" w:color="auto"/>
            <w:left w:val="none" w:sz="0" w:space="0" w:color="auto"/>
            <w:bottom w:val="none" w:sz="0" w:space="0" w:color="auto"/>
            <w:right w:val="none" w:sz="0" w:space="0" w:color="auto"/>
          </w:divBdr>
        </w:div>
        <w:div w:id="1095905448">
          <w:marLeft w:val="0"/>
          <w:marRight w:val="0"/>
          <w:marTop w:val="0"/>
          <w:marBottom w:val="0"/>
          <w:divBdr>
            <w:top w:val="none" w:sz="0" w:space="0" w:color="auto"/>
            <w:left w:val="none" w:sz="0" w:space="0" w:color="auto"/>
            <w:bottom w:val="none" w:sz="0" w:space="0" w:color="auto"/>
            <w:right w:val="none" w:sz="0" w:space="0" w:color="auto"/>
          </w:divBdr>
        </w:div>
        <w:div w:id="947544911">
          <w:marLeft w:val="0"/>
          <w:marRight w:val="0"/>
          <w:marTop w:val="0"/>
          <w:marBottom w:val="0"/>
          <w:divBdr>
            <w:top w:val="none" w:sz="0" w:space="0" w:color="auto"/>
            <w:left w:val="none" w:sz="0" w:space="0" w:color="auto"/>
            <w:bottom w:val="none" w:sz="0" w:space="0" w:color="auto"/>
            <w:right w:val="none" w:sz="0" w:space="0" w:color="auto"/>
          </w:divBdr>
        </w:div>
        <w:div w:id="6057238">
          <w:marLeft w:val="0"/>
          <w:marRight w:val="0"/>
          <w:marTop w:val="0"/>
          <w:marBottom w:val="0"/>
          <w:divBdr>
            <w:top w:val="none" w:sz="0" w:space="0" w:color="auto"/>
            <w:left w:val="none" w:sz="0" w:space="0" w:color="auto"/>
            <w:bottom w:val="none" w:sz="0" w:space="0" w:color="auto"/>
            <w:right w:val="none" w:sz="0" w:space="0" w:color="auto"/>
          </w:divBdr>
        </w:div>
        <w:div w:id="119538658">
          <w:marLeft w:val="0"/>
          <w:marRight w:val="0"/>
          <w:marTop w:val="0"/>
          <w:marBottom w:val="0"/>
          <w:divBdr>
            <w:top w:val="none" w:sz="0" w:space="0" w:color="auto"/>
            <w:left w:val="none" w:sz="0" w:space="0" w:color="auto"/>
            <w:bottom w:val="none" w:sz="0" w:space="0" w:color="auto"/>
            <w:right w:val="none" w:sz="0" w:space="0" w:color="auto"/>
          </w:divBdr>
        </w:div>
        <w:div w:id="1932816903">
          <w:marLeft w:val="0"/>
          <w:marRight w:val="0"/>
          <w:marTop w:val="0"/>
          <w:marBottom w:val="0"/>
          <w:divBdr>
            <w:top w:val="none" w:sz="0" w:space="0" w:color="auto"/>
            <w:left w:val="none" w:sz="0" w:space="0" w:color="auto"/>
            <w:bottom w:val="none" w:sz="0" w:space="0" w:color="auto"/>
            <w:right w:val="none" w:sz="0" w:space="0" w:color="auto"/>
          </w:divBdr>
        </w:div>
        <w:div w:id="443770378">
          <w:marLeft w:val="0"/>
          <w:marRight w:val="0"/>
          <w:marTop w:val="0"/>
          <w:marBottom w:val="0"/>
          <w:divBdr>
            <w:top w:val="none" w:sz="0" w:space="0" w:color="auto"/>
            <w:left w:val="none" w:sz="0" w:space="0" w:color="auto"/>
            <w:bottom w:val="none" w:sz="0" w:space="0" w:color="auto"/>
            <w:right w:val="none" w:sz="0" w:space="0" w:color="auto"/>
          </w:divBdr>
        </w:div>
        <w:div w:id="983393909">
          <w:marLeft w:val="0"/>
          <w:marRight w:val="0"/>
          <w:marTop w:val="0"/>
          <w:marBottom w:val="0"/>
          <w:divBdr>
            <w:top w:val="none" w:sz="0" w:space="0" w:color="auto"/>
            <w:left w:val="none" w:sz="0" w:space="0" w:color="auto"/>
            <w:bottom w:val="none" w:sz="0" w:space="0" w:color="auto"/>
            <w:right w:val="none" w:sz="0" w:space="0" w:color="auto"/>
          </w:divBdr>
        </w:div>
      </w:divsChild>
    </w:div>
    <w:div w:id="985278261">
      <w:bodyDiv w:val="1"/>
      <w:marLeft w:val="0"/>
      <w:marRight w:val="0"/>
      <w:marTop w:val="0"/>
      <w:marBottom w:val="0"/>
      <w:divBdr>
        <w:top w:val="none" w:sz="0" w:space="0" w:color="auto"/>
        <w:left w:val="none" w:sz="0" w:space="0" w:color="auto"/>
        <w:bottom w:val="none" w:sz="0" w:space="0" w:color="auto"/>
        <w:right w:val="none" w:sz="0" w:space="0" w:color="auto"/>
      </w:divBdr>
    </w:div>
    <w:div w:id="1151944096">
      <w:bodyDiv w:val="1"/>
      <w:marLeft w:val="0"/>
      <w:marRight w:val="0"/>
      <w:marTop w:val="0"/>
      <w:marBottom w:val="0"/>
      <w:divBdr>
        <w:top w:val="none" w:sz="0" w:space="0" w:color="auto"/>
        <w:left w:val="none" w:sz="0" w:space="0" w:color="auto"/>
        <w:bottom w:val="none" w:sz="0" w:space="0" w:color="auto"/>
        <w:right w:val="none" w:sz="0" w:space="0" w:color="auto"/>
      </w:divBdr>
    </w:div>
    <w:div w:id="1163006935">
      <w:bodyDiv w:val="1"/>
      <w:marLeft w:val="0"/>
      <w:marRight w:val="0"/>
      <w:marTop w:val="0"/>
      <w:marBottom w:val="0"/>
      <w:divBdr>
        <w:top w:val="none" w:sz="0" w:space="0" w:color="auto"/>
        <w:left w:val="none" w:sz="0" w:space="0" w:color="auto"/>
        <w:bottom w:val="none" w:sz="0" w:space="0" w:color="auto"/>
        <w:right w:val="none" w:sz="0" w:space="0" w:color="auto"/>
      </w:divBdr>
    </w:div>
    <w:div w:id="1167407129">
      <w:bodyDiv w:val="1"/>
      <w:marLeft w:val="0"/>
      <w:marRight w:val="0"/>
      <w:marTop w:val="0"/>
      <w:marBottom w:val="0"/>
      <w:divBdr>
        <w:top w:val="none" w:sz="0" w:space="0" w:color="auto"/>
        <w:left w:val="none" w:sz="0" w:space="0" w:color="auto"/>
        <w:bottom w:val="none" w:sz="0" w:space="0" w:color="auto"/>
        <w:right w:val="none" w:sz="0" w:space="0" w:color="auto"/>
      </w:divBdr>
    </w:div>
    <w:div w:id="1291742592">
      <w:bodyDiv w:val="1"/>
      <w:marLeft w:val="0"/>
      <w:marRight w:val="0"/>
      <w:marTop w:val="0"/>
      <w:marBottom w:val="0"/>
      <w:divBdr>
        <w:top w:val="none" w:sz="0" w:space="0" w:color="auto"/>
        <w:left w:val="none" w:sz="0" w:space="0" w:color="auto"/>
        <w:bottom w:val="none" w:sz="0" w:space="0" w:color="auto"/>
        <w:right w:val="none" w:sz="0" w:space="0" w:color="auto"/>
      </w:divBdr>
    </w:div>
    <w:div w:id="1306008474">
      <w:bodyDiv w:val="1"/>
      <w:marLeft w:val="0"/>
      <w:marRight w:val="0"/>
      <w:marTop w:val="0"/>
      <w:marBottom w:val="0"/>
      <w:divBdr>
        <w:top w:val="none" w:sz="0" w:space="0" w:color="auto"/>
        <w:left w:val="none" w:sz="0" w:space="0" w:color="auto"/>
        <w:bottom w:val="none" w:sz="0" w:space="0" w:color="auto"/>
        <w:right w:val="none" w:sz="0" w:space="0" w:color="auto"/>
      </w:divBdr>
    </w:div>
    <w:div w:id="1317874831">
      <w:bodyDiv w:val="1"/>
      <w:marLeft w:val="0"/>
      <w:marRight w:val="0"/>
      <w:marTop w:val="0"/>
      <w:marBottom w:val="0"/>
      <w:divBdr>
        <w:top w:val="none" w:sz="0" w:space="0" w:color="auto"/>
        <w:left w:val="none" w:sz="0" w:space="0" w:color="auto"/>
        <w:bottom w:val="none" w:sz="0" w:space="0" w:color="auto"/>
        <w:right w:val="none" w:sz="0" w:space="0" w:color="auto"/>
      </w:divBdr>
    </w:div>
    <w:div w:id="1342926221">
      <w:bodyDiv w:val="1"/>
      <w:marLeft w:val="0"/>
      <w:marRight w:val="0"/>
      <w:marTop w:val="0"/>
      <w:marBottom w:val="0"/>
      <w:divBdr>
        <w:top w:val="none" w:sz="0" w:space="0" w:color="auto"/>
        <w:left w:val="none" w:sz="0" w:space="0" w:color="auto"/>
        <w:bottom w:val="none" w:sz="0" w:space="0" w:color="auto"/>
        <w:right w:val="none" w:sz="0" w:space="0" w:color="auto"/>
      </w:divBdr>
    </w:div>
    <w:div w:id="1453935763">
      <w:bodyDiv w:val="1"/>
      <w:marLeft w:val="0"/>
      <w:marRight w:val="0"/>
      <w:marTop w:val="0"/>
      <w:marBottom w:val="0"/>
      <w:divBdr>
        <w:top w:val="none" w:sz="0" w:space="0" w:color="auto"/>
        <w:left w:val="none" w:sz="0" w:space="0" w:color="auto"/>
        <w:bottom w:val="none" w:sz="0" w:space="0" w:color="auto"/>
        <w:right w:val="none" w:sz="0" w:space="0" w:color="auto"/>
      </w:divBdr>
    </w:div>
    <w:div w:id="1476726264">
      <w:bodyDiv w:val="1"/>
      <w:marLeft w:val="0"/>
      <w:marRight w:val="0"/>
      <w:marTop w:val="0"/>
      <w:marBottom w:val="0"/>
      <w:divBdr>
        <w:top w:val="none" w:sz="0" w:space="0" w:color="auto"/>
        <w:left w:val="none" w:sz="0" w:space="0" w:color="auto"/>
        <w:bottom w:val="none" w:sz="0" w:space="0" w:color="auto"/>
        <w:right w:val="none" w:sz="0" w:space="0" w:color="auto"/>
      </w:divBdr>
    </w:div>
    <w:div w:id="1511796244">
      <w:bodyDiv w:val="1"/>
      <w:marLeft w:val="0"/>
      <w:marRight w:val="0"/>
      <w:marTop w:val="0"/>
      <w:marBottom w:val="0"/>
      <w:divBdr>
        <w:top w:val="none" w:sz="0" w:space="0" w:color="auto"/>
        <w:left w:val="none" w:sz="0" w:space="0" w:color="auto"/>
        <w:bottom w:val="none" w:sz="0" w:space="0" w:color="auto"/>
        <w:right w:val="none" w:sz="0" w:space="0" w:color="auto"/>
      </w:divBdr>
    </w:div>
    <w:div w:id="1573006564">
      <w:bodyDiv w:val="1"/>
      <w:marLeft w:val="0"/>
      <w:marRight w:val="0"/>
      <w:marTop w:val="0"/>
      <w:marBottom w:val="0"/>
      <w:divBdr>
        <w:top w:val="none" w:sz="0" w:space="0" w:color="auto"/>
        <w:left w:val="none" w:sz="0" w:space="0" w:color="auto"/>
        <w:bottom w:val="none" w:sz="0" w:space="0" w:color="auto"/>
        <w:right w:val="none" w:sz="0" w:space="0" w:color="auto"/>
      </w:divBdr>
    </w:div>
    <w:div w:id="1580366629">
      <w:bodyDiv w:val="1"/>
      <w:marLeft w:val="0"/>
      <w:marRight w:val="0"/>
      <w:marTop w:val="0"/>
      <w:marBottom w:val="0"/>
      <w:divBdr>
        <w:top w:val="none" w:sz="0" w:space="0" w:color="auto"/>
        <w:left w:val="none" w:sz="0" w:space="0" w:color="auto"/>
        <w:bottom w:val="none" w:sz="0" w:space="0" w:color="auto"/>
        <w:right w:val="none" w:sz="0" w:space="0" w:color="auto"/>
      </w:divBdr>
    </w:div>
    <w:div w:id="1615014053">
      <w:bodyDiv w:val="1"/>
      <w:marLeft w:val="0"/>
      <w:marRight w:val="0"/>
      <w:marTop w:val="0"/>
      <w:marBottom w:val="0"/>
      <w:divBdr>
        <w:top w:val="none" w:sz="0" w:space="0" w:color="auto"/>
        <w:left w:val="none" w:sz="0" w:space="0" w:color="auto"/>
        <w:bottom w:val="none" w:sz="0" w:space="0" w:color="auto"/>
        <w:right w:val="none" w:sz="0" w:space="0" w:color="auto"/>
      </w:divBdr>
    </w:div>
    <w:div w:id="1620914134">
      <w:bodyDiv w:val="1"/>
      <w:marLeft w:val="0"/>
      <w:marRight w:val="0"/>
      <w:marTop w:val="0"/>
      <w:marBottom w:val="0"/>
      <w:divBdr>
        <w:top w:val="none" w:sz="0" w:space="0" w:color="auto"/>
        <w:left w:val="none" w:sz="0" w:space="0" w:color="auto"/>
        <w:bottom w:val="none" w:sz="0" w:space="0" w:color="auto"/>
        <w:right w:val="none" w:sz="0" w:space="0" w:color="auto"/>
      </w:divBdr>
    </w:div>
    <w:div w:id="1744908861">
      <w:bodyDiv w:val="1"/>
      <w:marLeft w:val="0"/>
      <w:marRight w:val="0"/>
      <w:marTop w:val="0"/>
      <w:marBottom w:val="0"/>
      <w:divBdr>
        <w:top w:val="none" w:sz="0" w:space="0" w:color="auto"/>
        <w:left w:val="none" w:sz="0" w:space="0" w:color="auto"/>
        <w:bottom w:val="none" w:sz="0" w:space="0" w:color="auto"/>
        <w:right w:val="none" w:sz="0" w:space="0" w:color="auto"/>
      </w:divBdr>
    </w:div>
    <w:div w:id="1748960737">
      <w:bodyDiv w:val="1"/>
      <w:marLeft w:val="0"/>
      <w:marRight w:val="0"/>
      <w:marTop w:val="0"/>
      <w:marBottom w:val="0"/>
      <w:divBdr>
        <w:top w:val="none" w:sz="0" w:space="0" w:color="auto"/>
        <w:left w:val="none" w:sz="0" w:space="0" w:color="auto"/>
        <w:bottom w:val="none" w:sz="0" w:space="0" w:color="auto"/>
        <w:right w:val="none" w:sz="0" w:space="0" w:color="auto"/>
      </w:divBdr>
    </w:div>
    <w:div w:id="1796094633">
      <w:bodyDiv w:val="1"/>
      <w:marLeft w:val="0"/>
      <w:marRight w:val="0"/>
      <w:marTop w:val="0"/>
      <w:marBottom w:val="0"/>
      <w:divBdr>
        <w:top w:val="none" w:sz="0" w:space="0" w:color="auto"/>
        <w:left w:val="none" w:sz="0" w:space="0" w:color="auto"/>
        <w:bottom w:val="none" w:sz="0" w:space="0" w:color="auto"/>
        <w:right w:val="none" w:sz="0" w:space="0" w:color="auto"/>
      </w:divBdr>
    </w:div>
    <w:div w:id="1877892852">
      <w:bodyDiv w:val="1"/>
      <w:marLeft w:val="0"/>
      <w:marRight w:val="0"/>
      <w:marTop w:val="0"/>
      <w:marBottom w:val="0"/>
      <w:divBdr>
        <w:top w:val="none" w:sz="0" w:space="0" w:color="auto"/>
        <w:left w:val="none" w:sz="0" w:space="0" w:color="auto"/>
        <w:bottom w:val="none" w:sz="0" w:space="0" w:color="auto"/>
        <w:right w:val="none" w:sz="0" w:space="0" w:color="auto"/>
      </w:divBdr>
    </w:div>
    <w:div w:id="1878734397">
      <w:bodyDiv w:val="1"/>
      <w:marLeft w:val="0"/>
      <w:marRight w:val="0"/>
      <w:marTop w:val="0"/>
      <w:marBottom w:val="0"/>
      <w:divBdr>
        <w:top w:val="none" w:sz="0" w:space="0" w:color="auto"/>
        <w:left w:val="none" w:sz="0" w:space="0" w:color="auto"/>
        <w:bottom w:val="none" w:sz="0" w:space="0" w:color="auto"/>
        <w:right w:val="none" w:sz="0" w:space="0" w:color="auto"/>
      </w:divBdr>
    </w:div>
    <w:div w:id="1945451980">
      <w:bodyDiv w:val="1"/>
      <w:marLeft w:val="0"/>
      <w:marRight w:val="0"/>
      <w:marTop w:val="0"/>
      <w:marBottom w:val="0"/>
      <w:divBdr>
        <w:top w:val="none" w:sz="0" w:space="0" w:color="auto"/>
        <w:left w:val="none" w:sz="0" w:space="0" w:color="auto"/>
        <w:bottom w:val="none" w:sz="0" w:space="0" w:color="auto"/>
        <w:right w:val="none" w:sz="0" w:space="0" w:color="auto"/>
      </w:divBdr>
    </w:div>
    <w:div w:id="2000769376">
      <w:bodyDiv w:val="1"/>
      <w:marLeft w:val="0"/>
      <w:marRight w:val="0"/>
      <w:marTop w:val="0"/>
      <w:marBottom w:val="0"/>
      <w:divBdr>
        <w:top w:val="none" w:sz="0" w:space="0" w:color="auto"/>
        <w:left w:val="none" w:sz="0" w:space="0" w:color="auto"/>
        <w:bottom w:val="none" w:sz="0" w:space="0" w:color="auto"/>
        <w:right w:val="none" w:sz="0" w:space="0" w:color="auto"/>
      </w:divBdr>
    </w:div>
    <w:div w:id="2038383749">
      <w:bodyDiv w:val="1"/>
      <w:marLeft w:val="0"/>
      <w:marRight w:val="0"/>
      <w:marTop w:val="0"/>
      <w:marBottom w:val="0"/>
      <w:divBdr>
        <w:top w:val="none" w:sz="0" w:space="0" w:color="auto"/>
        <w:left w:val="none" w:sz="0" w:space="0" w:color="auto"/>
        <w:bottom w:val="none" w:sz="0" w:space="0" w:color="auto"/>
        <w:right w:val="none" w:sz="0" w:space="0" w:color="auto"/>
      </w:divBdr>
    </w:div>
    <w:div w:id="20862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5CAA5-A7B7-4F1F-83C3-68A26100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2421</Words>
  <Characters>13803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Julvit Shazivari</dc:creator>
  <cp:lastModifiedBy>julvit shazivari</cp:lastModifiedBy>
  <cp:revision>4</cp:revision>
  <cp:lastPrinted>2022-07-22T10:39:00Z</cp:lastPrinted>
  <dcterms:created xsi:type="dcterms:W3CDTF">2022-09-12T13:15:00Z</dcterms:created>
  <dcterms:modified xsi:type="dcterms:W3CDTF">2022-09-16T11:46:00Z</dcterms:modified>
</cp:coreProperties>
</file>