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21E2" w:rsidRPr="009E467E" w:rsidRDefault="008D21E2" w:rsidP="00CE0EFE">
      <w:pPr>
        <w:widowControl w:val="0"/>
        <w:tabs>
          <w:tab w:val="left" w:pos="2730"/>
        </w:tabs>
        <w:spacing w:line="276" w:lineRule="auto"/>
        <w:jc w:val="center"/>
        <w:rPr>
          <w:rFonts w:eastAsia="SimSun"/>
          <w:b/>
          <w:noProof/>
          <w:sz w:val="20"/>
          <w:lang w:eastAsia="zh-CN"/>
        </w:rPr>
      </w:pPr>
      <w:r w:rsidRPr="009E467E">
        <w:rPr>
          <w:noProof/>
          <w:sz w:val="20"/>
          <w:lang w:eastAsia="sq-A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-428625</wp:posOffset>
            </wp:positionH>
            <wp:positionV relativeFrom="page">
              <wp:posOffset>682411</wp:posOffset>
            </wp:positionV>
            <wp:extent cx="7160260" cy="952500"/>
            <wp:effectExtent l="0" t="0" r="0" b="0"/>
            <wp:wrapTopAndBottom/>
            <wp:docPr id="4" name="Picture 4" descr="Description: 5-ministria-financave-Grey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5-ministria-financave-Grey-0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" t="15433" r="5" b="141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026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E467E">
        <w:rPr>
          <w:rFonts w:eastAsia="SimSun"/>
          <w:b/>
          <w:noProof/>
          <w:sz w:val="20"/>
          <w:lang w:eastAsia="zh-CN"/>
        </w:rPr>
        <w:t>MINISTRIA E FINANCAVE DHE EKONOMISË</w:t>
      </w:r>
    </w:p>
    <w:p w:rsidR="009E467E" w:rsidRPr="00D34A7B" w:rsidRDefault="008D21E2" w:rsidP="00CE0EFE">
      <w:pPr>
        <w:widowControl w:val="0"/>
        <w:spacing w:line="276" w:lineRule="auto"/>
        <w:jc w:val="center"/>
        <w:rPr>
          <w:rFonts w:eastAsia="SimSun"/>
          <w:b/>
          <w:caps/>
          <w:noProof/>
          <w:sz w:val="20"/>
          <w:lang w:eastAsia="zh-CN"/>
        </w:rPr>
      </w:pPr>
      <w:r w:rsidRPr="009E467E">
        <w:rPr>
          <w:rFonts w:eastAsia="SimSun"/>
          <w:b/>
          <w:caps/>
          <w:noProof/>
          <w:sz w:val="20"/>
          <w:lang w:eastAsia="zh-CN"/>
        </w:rPr>
        <w:t>DREJTORIA E APELIMIT TATIMOR</w:t>
      </w:r>
    </w:p>
    <w:p w:rsidR="004D2292" w:rsidRDefault="004D2292" w:rsidP="00CE0EFE">
      <w:pPr>
        <w:widowControl w:val="0"/>
        <w:spacing w:line="276" w:lineRule="auto"/>
        <w:jc w:val="both"/>
        <w:rPr>
          <w:rFonts w:eastAsia="MS Mincho"/>
        </w:rPr>
      </w:pPr>
    </w:p>
    <w:p w:rsidR="00086717" w:rsidRPr="009E467E" w:rsidRDefault="00086717" w:rsidP="00CE0EFE">
      <w:pPr>
        <w:widowControl w:val="0"/>
        <w:spacing w:line="276" w:lineRule="auto"/>
        <w:jc w:val="both"/>
        <w:rPr>
          <w:rFonts w:eastAsia="MS Mincho"/>
        </w:rPr>
      </w:pPr>
      <w:r w:rsidRPr="009E467E">
        <w:rPr>
          <w:rFonts w:eastAsia="MS Mincho"/>
        </w:rPr>
        <w:t>Nr.</w:t>
      </w:r>
      <w:r w:rsidR="00CE0EFE">
        <w:rPr>
          <w:rFonts w:eastAsia="MS Mincho"/>
        </w:rPr>
        <w:t xml:space="preserve"> ______ </w:t>
      </w:r>
      <w:r w:rsidR="00B0193B" w:rsidRPr="009E467E">
        <w:rPr>
          <w:rFonts w:eastAsia="MS Mincho"/>
        </w:rPr>
        <w:t>/       Prot.</w:t>
      </w:r>
      <w:r w:rsidR="00B0193B" w:rsidRPr="009E467E">
        <w:rPr>
          <w:rFonts w:eastAsia="MS Mincho"/>
        </w:rPr>
        <w:tab/>
      </w:r>
      <w:r w:rsidR="00B0193B" w:rsidRPr="009E467E">
        <w:rPr>
          <w:rFonts w:eastAsia="MS Mincho"/>
        </w:rPr>
        <w:tab/>
      </w:r>
      <w:r w:rsidR="00CF6870">
        <w:rPr>
          <w:rFonts w:eastAsia="MS Mincho"/>
        </w:rPr>
        <w:t xml:space="preserve">                        </w:t>
      </w:r>
      <w:r w:rsidR="00B0193B" w:rsidRPr="009E467E">
        <w:rPr>
          <w:rFonts w:eastAsia="MS Mincho"/>
        </w:rPr>
        <w:tab/>
      </w:r>
      <w:r w:rsidR="00B0193B" w:rsidRPr="009E467E">
        <w:rPr>
          <w:rFonts w:eastAsia="MS Mincho"/>
        </w:rPr>
        <w:tab/>
      </w:r>
      <w:r w:rsidR="00B0193B" w:rsidRPr="009E467E">
        <w:rPr>
          <w:rFonts w:eastAsia="MS Mincho"/>
        </w:rPr>
        <w:tab/>
      </w:r>
      <w:r w:rsidR="004D2292">
        <w:rPr>
          <w:rFonts w:eastAsia="MS Mincho"/>
        </w:rPr>
        <w:t xml:space="preserve">  </w:t>
      </w:r>
      <w:r w:rsidR="00CF6870">
        <w:rPr>
          <w:rFonts w:eastAsia="MS Mincho"/>
        </w:rPr>
        <w:t xml:space="preserve">      </w:t>
      </w:r>
      <w:r w:rsidRPr="009E467E">
        <w:rPr>
          <w:rFonts w:eastAsia="MS Mincho"/>
        </w:rPr>
        <w:t>Tiranë, më___.___.20</w:t>
      </w:r>
      <w:r w:rsidR="009C02F2" w:rsidRPr="009E467E">
        <w:rPr>
          <w:rFonts w:eastAsia="MS Mincho"/>
        </w:rPr>
        <w:t>2</w:t>
      </w:r>
      <w:r w:rsidR="00F60583" w:rsidRPr="009E467E">
        <w:rPr>
          <w:rFonts w:eastAsia="MS Mincho"/>
        </w:rPr>
        <w:t>2</w:t>
      </w:r>
    </w:p>
    <w:p w:rsidR="00DC738A" w:rsidRDefault="00DC738A" w:rsidP="00CE0EFE">
      <w:pPr>
        <w:widowControl w:val="0"/>
        <w:spacing w:line="276" w:lineRule="auto"/>
        <w:jc w:val="center"/>
        <w:rPr>
          <w:color w:val="000000"/>
        </w:rPr>
      </w:pPr>
    </w:p>
    <w:p w:rsidR="00CE0EFE" w:rsidRDefault="00CE0EFE" w:rsidP="00CE0EFE">
      <w:pPr>
        <w:widowControl w:val="0"/>
        <w:spacing w:line="276" w:lineRule="auto"/>
        <w:jc w:val="center"/>
        <w:rPr>
          <w:rFonts w:eastAsia="MS Mincho"/>
          <w:b/>
        </w:rPr>
      </w:pPr>
    </w:p>
    <w:p w:rsidR="00086717" w:rsidRPr="009E467E" w:rsidRDefault="00086717" w:rsidP="00CE0EFE">
      <w:pPr>
        <w:widowControl w:val="0"/>
        <w:spacing w:line="276" w:lineRule="auto"/>
        <w:jc w:val="center"/>
        <w:rPr>
          <w:rFonts w:eastAsia="MS Mincho"/>
          <w:b/>
        </w:rPr>
      </w:pPr>
      <w:r w:rsidRPr="009E467E">
        <w:rPr>
          <w:rFonts w:eastAsia="MS Mincho"/>
          <w:b/>
        </w:rPr>
        <w:t>V E N D I M</w:t>
      </w:r>
    </w:p>
    <w:p w:rsidR="00086717" w:rsidRPr="009E467E" w:rsidRDefault="00086717" w:rsidP="00CE0EFE">
      <w:pPr>
        <w:widowControl w:val="0"/>
        <w:spacing w:line="276" w:lineRule="auto"/>
        <w:jc w:val="both"/>
        <w:outlineLvl w:val="0"/>
        <w:rPr>
          <w:rFonts w:eastAsia="Times New Roman"/>
          <w:b/>
          <w:bCs/>
        </w:rPr>
      </w:pPr>
    </w:p>
    <w:p w:rsidR="000F15E9" w:rsidRPr="009E467E" w:rsidRDefault="000F15E9" w:rsidP="00CE0EFE">
      <w:pPr>
        <w:widowControl w:val="0"/>
        <w:spacing w:line="276" w:lineRule="auto"/>
        <w:jc w:val="both"/>
      </w:pPr>
      <w:r w:rsidRPr="009E467E">
        <w:t>Në zbatim të Ligjit Nr.9920 datë 19.05.2008 “Për Proçedurat Tatimore në Republikën e Shqiperisë”, të ndryshuar, (Ligji Nr.9920/2008) Kreu XIII, nenet 106, 107, 108, 109 dhe Udhëzimit të Ministrit të Financave Nr.24, datë 02.09.2008, të ndryshuar (Udhëzimi Nr.24/2008), në zbatim të tij është depozituar kërkesa për apelim, që i përket:</w:t>
      </w:r>
    </w:p>
    <w:p w:rsidR="00547431" w:rsidRPr="009E467E" w:rsidRDefault="00547431" w:rsidP="00CE0EFE">
      <w:pPr>
        <w:widowControl w:val="0"/>
        <w:spacing w:line="276" w:lineRule="auto"/>
        <w:jc w:val="both"/>
      </w:pPr>
    </w:p>
    <w:p w:rsidR="00D34A7B" w:rsidRDefault="00547431" w:rsidP="00CE0EFE">
      <w:pPr>
        <w:widowControl w:val="0"/>
        <w:spacing w:line="276" w:lineRule="auto"/>
      </w:pPr>
      <w:r w:rsidRPr="009E467E">
        <w:rPr>
          <w:color w:val="000000"/>
        </w:rPr>
        <w:t xml:space="preserve">KËRKUES: </w:t>
      </w:r>
      <w:r w:rsidRPr="009E467E">
        <w:rPr>
          <w:color w:val="000000"/>
        </w:rPr>
        <w:tab/>
      </w:r>
      <w:r w:rsidR="00CE0EFE">
        <w:rPr>
          <w:rFonts w:eastAsia="MS Mincho"/>
        </w:rPr>
        <w:t>___________</w:t>
      </w:r>
      <w:r w:rsidR="00D34A7B">
        <w:rPr>
          <w:color w:val="000000"/>
        </w:rPr>
        <w:t xml:space="preserve"> </w:t>
      </w:r>
    </w:p>
    <w:p w:rsidR="00C27F2E" w:rsidRPr="009E467E" w:rsidRDefault="00007D61" w:rsidP="00CE0EFE">
      <w:pPr>
        <w:widowControl w:val="0"/>
        <w:spacing w:line="276" w:lineRule="auto"/>
        <w:ind w:left="1440" w:hanging="1440"/>
        <w:jc w:val="both"/>
        <w:rPr>
          <w:color w:val="000000"/>
        </w:rPr>
      </w:pPr>
      <w:r w:rsidRPr="009E467E">
        <w:t xml:space="preserve">OBJEKTI: </w:t>
      </w:r>
      <w:r w:rsidRPr="009E467E">
        <w:tab/>
        <w:t>Ankim ndaj</w:t>
      </w:r>
      <w:r w:rsidR="00DC738A">
        <w:t xml:space="preserve"> </w:t>
      </w:r>
      <w:r w:rsidRPr="009E467E">
        <w:rPr>
          <w:color w:val="000000"/>
        </w:rPr>
        <w:t>Njoftim Vlerësimit</w:t>
      </w:r>
      <w:r w:rsidR="00F60583" w:rsidRPr="009E467E">
        <w:rPr>
          <w:color w:val="000000"/>
        </w:rPr>
        <w:t xml:space="preserve"> për detyrime</w:t>
      </w:r>
      <w:r w:rsidR="000F15E9" w:rsidRPr="009E467E">
        <w:rPr>
          <w:color w:val="000000"/>
        </w:rPr>
        <w:t>, ku jan</w:t>
      </w:r>
      <w:r w:rsidR="004C473D" w:rsidRPr="009E467E">
        <w:rPr>
          <w:color w:val="000000"/>
        </w:rPr>
        <w:t>ë</w:t>
      </w:r>
      <w:r w:rsidR="000F15E9" w:rsidRPr="009E467E">
        <w:rPr>
          <w:color w:val="000000"/>
        </w:rPr>
        <w:t xml:space="preserve"> p</w:t>
      </w:r>
      <w:r w:rsidR="004C473D" w:rsidRPr="009E467E">
        <w:rPr>
          <w:color w:val="000000"/>
        </w:rPr>
        <w:t>ë</w:t>
      </w:r>
      <w:r w:rsidR="000F15E9" w:rsidRPr="009E467E">
        <w:rPr>
          <w:color w:val="000000"/>
        </w:rPr>
        <w:t>rcaktuar detyrimet tatimore si m</w:t>
      </w:r>
      <w:r w:rsidR="004C473D" w:rsidRPr="009E467E">
        <w:rPr>
          <w:color w:val="000000"/>
        </w:rPr>
        <w:t>ë</w:t>
      </w:r>
      <w:r w:rsidR="000F15E9" w:rsidRPr="009E467E">
        <w:rPr>
          <w:color w:val="000000"/>
        </w:rPr>
        <w:t>posht</w:t>
      </w:r>
      <w:r w:rsidR="004C473D" w:rsidRPr="009E467E">
        <w:rPr>
          <w:color w:val="000000"/>
        </w:rPr>
        <w:t>ë</w:t>
      </w:r>
      <w:r w:rsidR="000F15E9" w:rsidRPr="009E467E">
        <w:rPr>
          <w:color w:val="000000"/>
        </w:rPr>
        <w:t>:</w:t>
      </w:r>
    </w:p>
    <w:p w:rsidR="00CC67FF" w:rsidRPr="009E467E" w:rsidRDefault="00CC67FF" w:rsidP="00CE0EFE">
      <w:pPr>
        <w:widowControl w:val="0"/>
        <w:spacing w:line="276" w:lineRule="auto"/>
        <w:jc w:val="both"/>
        <w:rPr>
          <w:bCs/>
        </w:rPr>
      </w:pPr>
    </w:p>
    <w:tbl>
      <w:tblPr>
        <w:tblW w:w="9730" w:type="dxa"/>
        <w:tblInd w:w="98" w:type="dxa"/>
        <w:tblLook w:val="04A0" w:firstRow="1" w:lastRow="0" w:firstColumn="1" w:lastColumn="0" w:noHBand="0" w:noVBand="1"/>
      </w:tblPr>
      <w:tblGrid>
        <w:gridCol w:w="540"/>
        <w:gridCol w:w="1360"/>
        <w:gridCol w:w="1106"/>
        <w:gridCol w:w="2535"/>
        <w:gridCol w:w="1536"/>
        <w:gridCol w:w="2653"/>
      </w:tblGrid>
      <w:tr w:rsidR="00D34A7B" w:rsidRPr="00D34A7B" w:rsidTr="00D34A7B">
        <w:trPr>
          <w:trHeight w:val="6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A7B" w:rsidRPr="00D34A7B" w:rsidRDefault="00D34A7B" w:rsidP="00CE0EFE">
            <w:pPr>
              <w:widowControl w:val="0"/>
              <w:spacing w:line="276" w:lineRule="auto"/>
              <w:jc w:val="center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D34A7B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Nr.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A7B" w:rsidRPr="00D34A7B" w:rsidRDefault="00D34A7B" w:rsidP="00CE0EFE">
            <w:pPr>
              <w:widowControl w:val="0"/>
              <w:spacing w:line="276" w:lineRule="auto"/>
              <w:jc w:val="center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D34A7B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Tatimi ose Kontributi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4A7B" w:rsidRPr="00D34A7B" w:rsidRDefault="00D34A7B" w:rsidP="00CE0EFE">
            <w:pPr>
              <w:widowControl w:val="0"/>
              <w:spacing w:line="276" w:lineRule="auto"/>
              <w:jc w:val="center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D34A7B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Periudha</w:t>
            </w: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4A7B" w:rsidRPr="00D34A7B" w:rsidRDefault="00D34A7B" w:rsidP="00CE0EFE">
            <w:pPr>
              <w:widowControl w:val="0"/>
              <w:spacing w:line="276" w:lineRule="auto"/>
              <w:jc w:val="center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D34A7B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Detyrimi p</w:t>
            </w:r>
            <w:r w:rsidR="00197610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ë</w:t>
            </w:r>
            <w:r w:rsidRPr="00D34A7B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r tu paguar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4A7B" w:rsidRPr="00D34A7B" w:rsidRDefault="00D34A7B" w:rsidP="00CE0EFE">
            <w:pPr>
              <w:widowControl w:val="0"/>
              <w:spacing w:line="276" w:lineRule="auto"/>
              <w:jc w:val="center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D34A7B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Lekë</w:t>
            </w:r>
          </w:p>
        </w:tc>
        <w:tc>
          <w:tcPr>
            <w:tcW w:w="2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4A7B" w:rsidRPr="00D34A7B" w:rsidRDefault="00D34A7B" w:rsidP="00CE0EFE">
            <w:pPr>
              <w:widowControl w:val="0"/>
              <w:spacing w:line="276" w:lineRule="auto"/>
              <w:jc w:val="center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D34A7B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Arsyet e detyrimit</w:t>
            </w:r>
          </w:p>
        </w:tc>
      </w:tr>
      <w:tr w:rsidR="00D34A7B" w:rsidRPr="00D34A7B" w:rsidTr="00D34A7B">
        <w:trPr>
          <w:cantSplit/>
          <w:trHeight w:hRule="exact" w:val="300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4A7B" w:rsidRPr="00D34A7B" w:rsidRDefault="00D34A7B" w:rsidP="00CE0EFE">
            <w:pPr>
              <w:widowControl w:val="0"/>
              <w:spacing w:line="276" w:lineRule="auto"/>
              <w:jc w:val="center"/>
              <w:rPr>
                <w:rFonts w:eastAsia="Times New Roman"/>
                <w:color w:val="000000"/>
                <w:lang w:val="en-US"/>
              </w:rPr>
            </w:pPr>
            <w:r w:rsidRPr="00D34A7B">
              <w:rPr>
                <w:rFonts w:eastAsia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A7B" w:rsidRPr="00D34A7B" w:rsidRDefault="00D34A7B" w:rsidP="00CE0EFE">
            <w:pPr>
              <w:widowControl w:val="0"/>
              <w:spacing w:line="276" w:lineRule="auto"/>
              <w:jc w:val="center"/>
              <w:rPr>
                <w:rFonts w:eastAsia="Times New Roman"/>
                <w:color w:val="000000"/>
                <w:lang w:val="en-US"/>
              </w:rPr>
            </w:pPr>
            <w:r w:rsidRPr="00D34A7B">
              <w:rPr>
                <w:rFonts w:eastAsia="Times New Roman"/>
                <w:color w:val="000000"/>
                <w:sz w:val="22"/>
                <w:szCs w:val="22"/>
              </w:rPr>
              <w:t>Ulje gjendjes kreditore t</w:t>
            </w:r>
            <w:r w:rsidR="00197610">
              <w:rPr>
                <w:rFonts w:eastAsia="Times New Roman"/>
                <w:color w:val="000000"/>
                <w:sz w:val="22"/>
                <w:szCs w:val="22"/>
              </w:rPr>
              <w:t>ë</w:t>
            </w:r>
            <w:r w:rsidRPr="00D34A7B">
              <w:rPr>
                <w:rFonts w:eastAsia="Times New Roman"/>
                <w:color w:val="000000"/>
                <w:sz w:val="22"/>
                <w:szCs w:val="22"/>
              </w:rPr>
              <w:t xml:space="preserve"> TVSh-s</w:t>
            </w:r>
            <w:r w:rsidR="00197610">
              <w:rPr>
                <w:rFonts w:eastAsia="Times New Roman"/>
                <w:color w:val="000000"/>
                <w:sz w:val="22"/>
                <w:szCs w:val="22"/>
              </w:rPr>
              <w:t>ë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A7B" w:rsidRPr="00D34A7B" w:rsidRDefault="00D34A7B" w:rsidP="00CE0EFE">
            <w:pPr>
              <w:widowControl w:val="0"/>
              <w:spacing w:line="276" w:lineRule="auto"/>
              <w:jc w:val="center"/>
              <w:rPr>
                <w:rFonts w:eastAsia="Times New Roman"/>
                <w:color w:val="000000"/>
                <w:lang w:val="en-US"/>
              </w:rPr>
            </w:pPr>
            <w:proofErr w:type="spellStart"/>
            <w:r w:rsidRPr="00D34A7B">
              <w:rPr>
                <w:rFonts w:eastAsia="Times New Roman"/>
                <w:color w:val="000000"/>
                <w:sz w:val="22"/>
                <w:szCs w:val="22"/>
                <w:lang w:val="en-US"/>
              </w:rPr>
              <w:t>Viti</w:t>
            </w:r>
            <w:proofErr w:type="spellEnd"/>
            <w:r w:rsidRPr="00D34A7B">
              <w:rPr>
                <w:rFonts w:eastAsia="Times New Roman"/>
                <w:color w:val="000000"/>
                <w:sz w:val="22"/>
                <w:szCs w:val="22"/>
                <w:lang w:val="en-US"/>
              </w:rPr>
              <w:t xml:space="preserve"> 2021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A7B" w:rsidRPr="00D34A7B" w:rsidRDefault="00D34A7B" w:rsidP="00CE0EFE">
            <w:pPr>
              <w:widowControl w:val="0"/>
              <w:spacing w:line="276" w:lineRule="auto"/>
              <w:jc w:val="center"/>
              <w:rPr>
                <w:rFonts w:eastAsia="Times New Roman"/>
                <w:color w:val="000000"/>
                <w:lang w:val="en-US"/>
              </w:rPr>
            </w:pPr>
            <w:r w:rsidRPr="00D34A7B">
              <w:rPr>
                <w:rFonts w:eastAsia="Times New Roman"/>
                <w:color w:val="000000"/>
                <w:sz w:val="22"/>
                <w:szCs w:val="22"/>
              </w:rPr>
              <w:t>Tatim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A7B" w:rsidRPr="00D34A7B" w:rsidRDefault="00D34A7B" w:rsidP="00CE0EFE">
            <w:pPr>
              <w:widowControl w:val="0"/>
              <w:spacing w:line="276" w:lineRule="auto"/>
              <w:rPr>
                <w:rFonts w:eastAsia="Times New Roman"/>
                <w:color w:val="000000"/>
                <w:lang w:val="en-US"/>
              </w:rPr>
            </w:pPr>
            <w:r w:rsidRPr="00D34A7B">
              <w:rPr>
                <w:rFonts w:eastAsia="Times New Roman"/>
                <w:color w:val="000000"/>
                <w:sz w:val="22"/>
                <w:szCs w:val="22"/>
                <w:lang w:val="en-US"/>
              </w:rPr>
              <w:t xml:space="preserve">865,577 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A7B" w:rsidRPr="00D34A7B" w:rsidRDefault="00D34A7B" w:rsidP="00CE0EFE">
            <w:pPr>
              <w:widowControl w:val="0"/>
              <w:spacing w:line="276" w:lineRule="auto"/>
              <w:rPr>
                <w:rFonts w:eastAsia="Times New Roman"/>
                <w:color w:val="000000"/>
                <w:lang w:val="en-US"/>
              </w:rPr>
            </w:pPr>
            <w:proofErr w:type="spellStart"/>
            <w:r w:rsidRPr="00D34A7B">
              <w:rPr>
                <w:rFonts w:eastAsia="Times New Roman"/>
                <w:color w:val="000000"/>
                <w:sz w:val="22"/>
                <w:szCs w:val="22"/>
                <w:lang w:val="en-US"/>
              </w:rPr>
              <w:t>Sipas</w:t>
            </w:r>
            <w:proofErr w:type="spellEnd"/>
            <w:r w:rsidRPr="00D34A7B">
              <w:rPr>
                <w:rFonts w:eastAsia="Times New Roman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34A7B">
              <w:rPr>
                <w:rFonts w:eastAsia="Times New Roman"/>
                <w:color w:val="000000"/>
                <w:sz w:val="22"/>
                <w:szCs w:val="22"/>
                <w:lang w:val="en-US"/>
              </w:rPr>
              <w:t>Raport</w:t>
            </w:r>
            <w:proofErr w:type="spellEnd"/>
            <w:r w:rsidRPr="00D34A7B">
              <w:rPr>
                <w:rFonts w:eastAsia="Times New Roman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34A7B">
              <w:rPr>
                <w:rFonts w:eastAsia="Times New Roman"/>
                <w:color w:val="000000"/>
                <w:sz w:val="22"/>
                <w:szCs w:val="22"/>
                <w:lang w:val="en-US"/>
              </w:rPr>
              <w:t>Kontrollit</w:t>
            </w:r>
            <w:proofErr w:type="spellEnd"/>
          </w:p>
        </w:tc>
      </w:tr>
      <w:tr w:rsidR="00D34A7B" w:rsidRPr="00D34A7B" w:rsidTr="00D34A7B">
        <w:trPr>
          <w:trHeight w:val="468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A7B" w:rsidRPr="00D34A7B" w:rsidRDefault="00D34A7B" w:rsidP="00CE0EFE">
            <w:pPr>
              <w:widowControl w:val="0"/>
              <w:spacing w:line="276" w:lineRule="auto"/>
              <w:rPr>
                <w:rFonts w:eastAsia="Times New Roman"/>
                <w:color w:val="000000"/>
                <w:lang w:val="en-US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A7B" w:rsidRPr="00D34A7B" w:rsidRDefault="00D34A7B" w:rsidP="00CE0EFE">
            <w:pPr>
              <w:widowControl w:val="0"/>
              <w:spacing w:line="276" w:lineRule="auto"/>
              <w:rPr>
                <w:rFonts w:eastAsia="Times New Roman"/>
                <w:color w:val="000000"/>
                <w:lang w:val="en-US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A7B" w:rsidRPr="00D34A7B" w:rsidRDefault="00D34A7B" w:rsidP="00CE0EFE">
            <w:pPr>
              <w:widowControl w:val="0"/>
              <w:spacing w:line="276" w:lineRule="auto"/>
              <w:rPr>
                <w:rFonts w:eastAsia="Times New Roman"/>
                <w:color w:val="000000"/>
                <w:lang w:val="en-US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A7B" w:rsidRPr="00D34A7B" w:rsidRDefault="00D34A7B" w:rsidP="00CE0EFE">
            <w:pPr>
              <w:widowControl w:val="0"/>
              <w:spacing w:line="276" w:lineRule="auto"/>
              <w:jc w:val="center"/>
              <w:rPr>
                <w:rFonts w:eastAsia="Times New Roman"/>
                <w:color w:val="000000"/>
                <w:lang w:val="en-US"/>
              </w:rPr>
            </w:pPr>
            <w:r w:rsidRPr="00D34A7B">
              <w:rPr>
                <w:rFonts w:eastAsia="Times New Roman"/>
                <w:color w:val="000000"/>
                <w:sz w:val="22"/>
                <w:szCs w:val="22"/>
              </w:rPr>
              <w:t>Gjobë Inspektori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A7B" w:rsidRPr="00D34A7B" w:rsidRDefault="00D34A7B" w:rsidP="00CE0EFE">
            <w:pPr>
              <w:widowControl w:val="0"/>
              <w:spacing w:line="276" w:lineRule="auto"/>
              <w:rPr>
                <w:rFonts w:eastAsia="Times New Roman"/>
                <w:color w:val="000000"/>
                <w:lang w:val="en-US"/>
              </w:rPr>
            </w:pPr>
            <w:r w:rsidRPr="00D34A7B">
              <w:rPr>
                <w:rFonts w:eastAsia="Times New Roman"/>
                <w:color w:val="000000"/>
                <w:sz w:val="22"/>
                <w:szCs w:val="22"/>
                <w:lang w:val="en-US"/>
              </w:rPr>
              <w:t xml:space="preserve">173,115 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4A7B" w:rsidRPr="00D34A7B" w:rsidRDefault="00D34A7B" w:rsidP="00CE0EFE">
            <w:pPr>
              <w:widowControl w:val="0"/>
              <w:spacing w:line="276" w:lineRule="auto"/>
              <w:rPr>
                <w:rFonts w:eastAsia="Times New Roman"/>
                <w:color w:val="000000"/>
                <w:lang w:val="en-US"/>
              </w:rPr>
            </w:pPr>
            <w:proofErr w:type="spellStart"/>
            <w:r w:rsidRPr="00D34A7B">
              <w:rPr>
                <w:rFonts w:eastAsia="Times New Roman"/>
                <w:color w:val="000000"/>
                <w:sz w:val="22"/>
                <w:szCs w:val="22"/>
                <w:lang w:val="en-US"/>
              </w:rPr>
              <w:t>Sipas</w:t>
            </w:r>
            <w:proofErr w:type="spellEnd"/>
            <w:r w:rsidRPr="00D34A7B">
              <w:rPr>
                <w:rFonts w:eastAsia="Times New Roman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34A7B">
              <w:rPr>
                <w:rFonts w:eastAsia="Times New Roman"/>
                <w:color w:val="000000"/>
                <w:sz w:val="22"/>
                <w:szCs w:val="22"/>
                <w:lang w:val="en-US"/>
              </w:rPr>
              <w:t>Raport</w:t>
            </w:r>
            <w:proofErr w:type="spellEnd"/>
            <w:r w:rsidRPr="00D34A7B">
              <w:rPr>
                <w:rFonts w:eastAsia="Times New Roman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34A7B">
              <w:rPr>
                <w:rFonts w:eastAsia="Times New Roman"/>
                <w:color w:val="000000"/>
                <w:sz w:val="22"/>
                <w:szCs w:val="22"/>
                <w:lang w:val="en-US"/>
              </w:rPr>
              <w:t>Kontrollit</w:t>
            </w:r>
            <w:proofErr w:type="spellEnd"/>
          </w:p>
        </w:tc>
      </w:tr>
      <w:tr w:rsidR="00D34A7B" w:rsidRPr="00D34A7B" w:rsidTr="00D34A7B">
        <w:trPr>
          <w:trHeight w:val="31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A7B" w:rsidRPr="00D34A7B" w:rsidRDefault="00D34A7B" w:rsidP="00CE0EFE">
            <w:pPr>
              <w:widowControl w:val="0"/>
              <w:spacing w:line="276" w:lineRule="auto"/>
              <w:rPr>
                <w:rFonts w:eastAsia="Times New Roman"/>
                <w:color w:val="000000"/>
                <w:lang w:val="en-US"/>
              </w:rPr>
            </w:pPr>
            <w:r w:rsidRPr="00D34A7B">
              <w:rPr>
                <w:rFonts w:eastAsia="Times New Roman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A7B" w:rsidRPr="00D34A7B" w:rsidRDefault="00D34A7B" w:rsidP="00CE0EFE">
            <w:pPr>
              <w:widowControl w:val="0"/>
              <w:spacing w:line="276" w:lineRule="auto"/>
              <w:rPr>
                <w:rFonts w:eastAsia="Times New Roman"/>
                <w:color w:val="000000"/>
                <w:lang w:val="en-US"/>
              </w:rPr>
            </w:pPr>
            <w:r w:rsidRPr="00D34A7B">
              <w:rPr>
                <w:rFonts w:eastAsia="Times New Roman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A7B" w:rsidRPr="00D34A7B" w:rsidRDefault="00D34A7B" w:rsidP="00CE0EFE">
            <w:pPr>
              <w:widowControl w:val="0"/>
              <w:spacing w:line="276" w:lineRule="auto"/>
              <w:rPr>
                <w:rFonts w:eastAsia="Times New Roman"/>
                <w:color w:val="000000"/>
                <w:lang w:val="en-US"/>
              </w:rPr>
            </w:pPr>
            <w:r w:rsidRPr="00D34A7B">
              <w:rPr>
                <w:rFonts w:eastAsia="Times New Roman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A7B" w:rsidRPr="00D34A7B" w:rsidRDefault="00D34A7B" w:rsidP="00CE0EFE">
            <w:pPr>
              <w:widowControl w:val="0"/>
              <w:spacing w:line="276" w:lineRule="auto"/>
              <w:jc w:val="center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D34A7B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A7B" w:rsidRPr="00D34A7B" w:rsidRDefault="00D34A7B" w:rsidP="00CE0EFE">
            <w:pPr>
              <w:widowControl w:val="0"/>
              <w:spacing w:line="276" w:lineRule="auto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D34A7B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 xml:space="preserve">1,038,692 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A7B" w:rsidRPr="00D34A7B" w:rsidRDefault="00D34A7B" w:rsidP="00CE0EFE">
            <w:pPr>
              <w:widowControl w:val="0"/>
              <w:spacing w:line="276" w:lineRule="auto"/>
              <w:rPr>
                <w:rFonts w:eastAsia="Times New Roman"/>
                <w:color w:val="000000"/>
                <w:lang w:val="en-US"/>
              </w:rPr>
            </w:pPr>
            <w:r w:rsidRPr="00D34A7B">
              <w:rPr>
                <w:rFonts w:eastAsia="Times New Roman"/>
                <w:color w:val="000000"/>
                <w:sz w:val="22"/>
                <w:szCs w:val="22"/>
                <w:lang w:val="en-US"/>
              </w:rPr>
              <w:t> </w:t>
            </w:r>
          </w:p>
        </w:tc>
      </w:tr>
    </w:tbl>
    <w:p w:rsidR="00DC738A" w:rsidRPr="00B92705" w:rsidRDefault="00DC738A" w:rsidP="00CE0EFE">
      <w:pPr>
        <w:widowControl w:val="0"/>
        <w:spacing w:line="276" w:lineRule="auto"/>
        <w:jc w:val="both"/>
      </w:pPr>
    </w:p>
    <w:p w:rsidR="00C716C2" w:rsidRPr="00B92705" w:rsidRDefault="00C716C2" w:rsidP="00CE0EFE">
      <w:pPr>
        <w:widowControl w:val="0"/>
        <w:spacing w:line="276" w:lineRule="auto"/>
        <w:jc w:val="both"/>
      </w:pPr>
      <w:r w:rsidRPr="00B92705">
        <w:t>Drejtoria e Apelimit Tatimor nga shqyrtimi paraprak i kërkesës për apelim, konstaton se janë plotësuar kërkesat ligjore për marrjen në shqyrtim, kërkesa këto, të përcaktuara në Ligjin Nr.9920</w:t>
      </w:r>
      <w:r w:rsidR="002B53D2" w:rsidRPr="00B92705">
        <w:t>/2008 neni 106, 107 dhe U</w:t>
      </w:r>
      <w:r w:rsidRPr="00B92705">
        <w:t>dhëzimin e Ministrit të Financave Nr.24, datë 02.09.2008, në zbatim të tij, pika 106 e në vijim:</w:t>
      </w:r>
    </w:p>
    <w:p w:rsidR="00E81596" w:rsidRPr="00B92705" w:rsidRDefault="00C716C2" w:rsidP="00CE0EFE">
      <w:pPr>
        <w:pStyle w:val="ListParagraph"/>
        <w:widowControl w:val="0"/>
        <w:numPr>
          <w:ilvl w:val="0"/>
          <w:numId w:val="2"/>
        </w:numPr>
        <w:spacing w:line="276" w:lineRule="auto"/>
        <w:jc w:val="both"/>
      </w:pPr>
      <w:r w:rsidRPr="00B92705">
        <w:t xml:space="preserve">Akti administrativ i ankimuar është </w:t>
      </w:r>
      <w:r w:rsidRPr="00B92705">
        <w:rPr>
          <w:u w:val="single"/>
        </w:rPr>
        <w:t>objekt apelimi</w:t>
      </w:r>
      <w:r w:rsidRPr="00B92705">
        <w:t xml:space="preserve"> (neni 106 pika 1).</w:t>
      </w:r>
    </w:p>
    <w:p w:rsidR="00E81596" w:rsidRPr="00265D72" w:rsidRDefault="00C716C2" w:rsidP="00CE0EFE">
      <w:pPr>
        <w:pStyle w:val="ListParagraph"/>
        <w:widowControl w:val="0"/>
        <w:numPr>
          <w:ilvl w:val="0"/>
          <w:numId w:val="2"/>
        </w:numPr>
        <w:spacing w:line="276" w:lineRule="auto"/>
        <w:jc w:val="both"/>
      </w:pPr>
      <w:r w:rsidRPr="00B92705">
        <w:t xml:space="preserve">Kërkesa për apelim është paraqitur </w:t>
      </w:r>
      <w:r w:rsidRPr="00B92705">
        <w:rPr>
          <w:u w:val="single"/>
        </w:rPr>
        <w:t>brenda afatit ligjor</w:t>
      </w:r>
      <w:r w:rsidRPr="00B92705">
        <w:t xml:space="preserve"> </w:t>
      </w:r>
      <w:r w:rsidR="00E81596" w:rsidRPr="00B92705">
        <w:t>(referuar kopjes s</w:t>
      </w:r>
      <w:r w:rsidR="00DD49D9" w:rsidRPr="00B92705">
        <w:t>ë</w:t>
      </w:r>
      <w:r w:rsidR="00E81596" w:rsidRPr="00B92705">
        <w:t xml:space="preserve"> zarfit postar v</w:t>
      </w:r>
      <w:r w:rsidR="00DD49D9" w:rsidRPr="00B92705">
        <w:t>ë</w:t>
      </w:r>
      <w:r w:rsidR="00E81596" w:rsidRPr="00B92705">
        <w:t>n</w:t>
      </w:r>
      <w:r w:rsidR="00DD49D9" w:rsidRPr="00B92705">
        <w:t>ë</w:t>
      </w:r>
      <w:r w:rsidR="00E81596" w:rsidRPr="00B92705">
        <w:t xml:space="preserve"> n</w:t>
      </w:r>
      <w:r w:rsidR="00DD49D9" w:rsidRPr="00B92705">
        <w:t>ë</w:t>
      </w:r>
      <w:r w:rsidR="00E81596" w:rsidRPr="00B92705">
        <w:t xml:space="preserve"> dispozicion nga tatimpaguesi, sipas gjurmimit t</w:t>
      </w:r>
      <w:r w:rsidR="00DD49D9" w:rsidRPr="00B92705">
        <w:t>ë</w:t>
      </w:r>
      <w:r w:rsidR="00E81596" w:rsidRPr="00B92705">
        <w:t xml:space="preserve"> kodit postar, p</w:t>
      </w:r>
      <w:r w:rsidR="00DD49D9" w:rsidRPr="00B92705">
        <w:t>ë</w:t>
      </w:r>
      <w:r w:rsidR="00E81596" w:rsidRPr="00B92705">
        <w:t>r Njoftim Vler</w:t>
      </w:r>
      <w:r w:rsidR="00DD49D9" w:rsidRPr="00B92705">
        <w:t>ë</w:t>
      </w:r>
      <w:r w:rsidR="00E81596" w:rsidRPr="00B92705">
        <w:t xml:space="preserve">simi </w:t>
      </w:r>
      <w:r w:rsidR="00E81596" w:rsidRPr="00B92705">
        <w:rPr>
          <w:color w:val="000000"/>
        </w:rPr>
        <w:t>objekt ankimi nisur me sh</w:t>
      </w:r>
      <w:r w:rsidR="00DD49D9" w:rsidRPr="00B92705">
        <w:rPr>
          <w:color w:val="000000"/>
        </w:rPr>
        <w:t>ë</w:t>
      </w:r>
      <w:r w:rsidR="00E81596" w:rsidRPr="00B92705">
        <w:rPr>
          <w:color w:val="000000"/>
        </w:rPr>
        <w:t>rbim postar, tatimpaguesi ka marr</w:t>
      </w:r>
      <w:r w:rsidR="00DD49D9" w:rsidRPr="00B92705">
        <w:rPr>
          <w:color w:val="000000"/>
        </w:rPr>
        <w:t>ë</w:t>
      </w:r>
      <w:r w:rsidR="00E81596" w:rsidRPr="00B92705">
        <w:rPr>
          <w:color w:val="000000"/>
        </w:rPr>
        <w:t xml:space="preserve"> dijeni nisur dat</w:t>
      </w:r>
      <w:r w:rsidR="00DD49D9" w:rsidRPr="00B92705">
        <w:rPr>
          <w:color w:val="000000"/>
        </w:rPr>
        <w:t>ë</w:t>
      </w:r>
      <w:r w:rsidR="00E81596" w:rsidRPr="00B92705">
        <w:rPr>
          <w:color w:val="000000"/>
        </w:rPr>
        <w:t xml:space="preserve">n 29.04.2022. afati i fundit i ankimit </w:t>
      </w:r>
      <w:r w:rsidR="00DD49D9" w:rsidRPr="00B92705">
        <w:rPr>
          <w:color w:val="000000"/>
        </w:rPr>
        <w:t>ë</w:t>
      </w:r>
      <w:r w:rsidR="00E81596" w:rsidRPr="00B92705">
        <w:rPr>
          <w:color w:val="000000"/>
        </w:rPr>
        <w:t>sht</w:t>
      </w:r>
      <w:r w:rsidR="00DD49D9" w:rsidRPr="00B92705">
        <w:rPr>
          <w:color w:val="000000"/>
        </w:rPr>
        <w:t>ë</w:t>
      </w:r>
      <w:r w:rsidR="00E81596" w:rsidRPr="00B92705">
        <w:rPr>
          <w:color w:val="000000"/>
        </w:rPr>
        <w:t xml:space="preserve"> data 29.05.2022 (Afati i fundit i ankimit shtyhet më datë 30.05.2022, duke qënë se datat 29.05.2022 ka q</w:t>
      </w:r>
      <w:r w:rsidR="00DD49D9" w:rsidRPr="00B92705">
        <w:rPr>
          <w:color w:val="000000"/>
        </w:rPr>
        <w:t>ë</w:t>
      </w:r>
      <w:r w:rsidR="00E81596" w:rsidRPr="00B92705">
        <w:rPr>
          <w:color w:val="000000"/>
        </w:rPr>
        <w:t>n</w:t>
      </w:r>
      <w:r w:rsidR="00DD49D9" w:rsidRPr="00B92705">
        <w:rPr>
          <w:color w:val="000000"/>
        </w:rPr>
        <w:t>ë</w:t>
      </w:r>
      <w:r w:rsidR="00E81596" w:rsidRPr="00B92705">
        <w:rPr>
          <w:color w:val="000000"/>
        </w:rPr>
        <w:t xml:space="preserve"> ditë pushimi, referuar </w:t>
      </w:r>
      <w:r w:rsidR="00E81596" w:rsidRPr="00B92705">
        <w:rPr>
          <w:bCs/>
        </w:rPr>
        <w:t xml:space="preserve">pikës 106.3.1 Udhëzimit Nr.24, datë 02.09.2008 ku përcaktohet se </w:t>
      </w:r>
      <w:r w:rsidR="00E81596" w:rsidRPr="00B92705">
        <w:rPr>
          <w:bCs/>
          <w:i/>
        </w:rPr>
        <w:t xml:space="preserve">“Ankimi duhet të bëhet brenda 30 ditëve kalendarike nga data kur akti administrativ është marrë ose konsiderohet të jetë marrë; afati shtyhet </w:t>
      </w:r>
      <w:r w:rsidR="00E81596" w:rsidRPr="00265D72">
        <w:rPr>
          <w:bCs/>
          <w:i/>
        </w:rPr>
        <w:t xml:space="preserve">në ditën pasardhëse të punës nëqoftëse dita e </w:t>
      </w:r>
      <w:r w:rsidR="00E81596" w:rsidRPr="00265D72">
        <w:rPr>
          <w:bCs/>
          <w:i/>
        </w:rPr>
        <w:lastRenderedPageBreak/>
        <w:t>fundit e afatit bie në ditë pushimi apo feste zyrtare...”</w:t>
      </w:r>
      <w:r w:rsidR="00E81596" w:rsidRPr="00265D72">
        <w:rPr>
          <w:bCs/>
        </w:rPr>
        <w:t xml:space="preserve">. </w:t>
      </w:r>
      <w:r w:rsidR="00E81596" w:rsidRPr="00265D72">
        <w:rPr>
          <w:bCs/>
          <w:lang w:val="it-IT" w:eastAsia="ja-JP"/>
        </w:rPr>
        <w:t xml:space="preserve">Ndërkohë që ankimi është </w:t>
      </w:r>
      <w:r w:rsidR="00E81596" w:rsidRPr="00265D72">
        <w:t xml:space="preserve">dërguar në shërbimin postar </w:t>
      </w:r>
      <w:r w:rsidR="00E81596" w:rsidRPr="00265D72">
        <w:rPr>
          <w:bCs/>
          <w:lang w:val="it-IT" w:eastAsia="ja-JP"/>
        </w:rPr>
        <w:t xml:space="preserve">në datën </w:t>
      </w:r>
      <w:r w:rsidR="00197610" w:rsidRPr="00265D72">
        <w:rPr>
          <w:bCs/>
          <w:lang w:val="it-IT" w:eastAsia="ja-JP"/>
        </w:rPr>
        <w:t>26</w:t>
      </w:r>
      <w:r w:rsidR="00E81596" w:rsidRPr="00265D72">
        <w:rPr>
          <w:bCs/>
          <w:lang w:val="it-IT" w:eastAsia="ja-JP"/>
        </w:rPr>
        <w:t>.05.2022, brenda afatit ligjor 30 dit</w:t>
      </w:r>
      <w:r w:rsidR="00DD49D9" w:rsidRPr="00265D72">
        <w:rPr>
          <w:bCs/>
          <w:lang w:val="it-IT" w:eastAsia="ja-JP"/>
        </w:rPr>
        <w:t>ë</w:t>
      </w:r>
      <w:r w:rsidR="00E81596" w:rsidRPr="00265D72">
        <w:rPr>
          <w:bCs/>
          <w:lang w:val="it-IT" w:eastAsia="ja-JP"/>
        </w:rPr>
        <w:t xml:space="preserve"> kalendarike).</w:t>
      </w:r>
    </w:p>
    <w:p w:rsidR="000274B5" w:rsidRPr="00265D72" w:rsidRDefault="00C716C2" w:rsidP="00CE0EFE">
      <w:pPr>
        <w:pStyle w:val="ListParagraph"/>
        <w:widowControl w:val="0"/>
        <w:numPr>
          <w:ilvl w:val="0"/>
          <w:numId w:val="2"/>
        </w:numPr>
        <w:spacing w:line="276" w:lineRule="auto"/>
        <w:jc w:val="both"/>
      </w:pPr>
      <w:r w:rsidRPr="00265D72">
        <w:t xml:space="preserve">Lidhur me kërkesën për </w:t>
      </w:r>
      <w:r w:rsidRPr="00265D72">
        <w:rPr>
          <w:u w:val="single"/>
        </w:rPr>
        <w:t>pagimin e detyrimit tatimor</w:t>
      </w:r>
      <w:r w:rsidRPr="00265D72">
        <w:t>, objekt ankimi, konstatojmë se detyrim</w:t>
      </w:r>
      <w:r w:rsidR="00E81596" w:rsidRPr="00265D72">
        <w:t>i</w:t>
      </w:r>
      <w:r w:rsidRPr="00265D72">
        <w:t xml:space="preserve"> </w:t>
      </w:r>
      <w:r w:rsidR="00E81596" w:rsidRPr="00265D72">
        <w:t>i</w:t>
      </w:r>
      <w:r w:rsidRPr="00265D72">
        <w:t xml:space="preserve"> njoftu</w:t>
      </w:r>
      <w:r w:rsidR="00E81596" w:rsidRPr="00265D72">
        <w:t>ar</w:t>
      </w:r>
      <w:r w:rsidR="00A32A90" w:rsidRPr="00265D72">
        <w:t xml:space="preserve"> me Njoftim Vlerësimin e sip</w:t>
      </w:r>
      <w:r w:rsidR="000D6733" w:rsidRPr="00265D72">
        <w:t>ë</w:t>
      </w:r>
      <w:r w:rsidR="00A32A90" w:rsidRPr="00265D72">
        <w:t>rcituar</w:t>
      </w:r>
      <w:r w:rsidR="00B06284" w:rsidRPr="00265D72">
        <w:t xml:space="preserve">, TVSH </w:t>
      </w:r>
      <w:r w:rsidR="00DD49D9" w:rsidRPr="00265D72">
        <w:t xml:space="preserve">në </w:t>
      </w:r>
      <w:r w:rsidR="00B06284" w:rsidRPr="00265D72">
        <w:t>shum</w:t>
      </w:r>
      <w:r w:rsidR="00DD49D9" w:rsidRPr="00265D72">
        <w:t>ën</w:t>
      </w:r>
      <w:r w:rsidR="00B06284" w:rsidRPr="00265D72">
        <w:t xml:space="preserve"> </w:t>
      </w:r>
      <w:r w:rsidR="00197610" w:rsidRPr="00265D72">
        <w:t>865,577</w:t>
      </w:r>
      <w:r w:rsidR="00B06284" w:rsidRPr="00265D72">
        <w:t xml:space="preserve"> lekë</w:t>
      </w:r>
      <w:r w:rsidR="002D4367" w:rsidRPr="00265D72">
        <w:t xml:space="preserve"> </w:t>
      </w:r>
      <w:r w:rsidR="00B06284" w:rsidRPr="00265D72">
        <w:t>është</w:t>
      </w:r>
      <w:r w:rsidR="00A32A90" w:rsidRPr="00265D72">
        <w:t xml:space="preserve"> rikonsiluar</w:t>
      </w:r>
      <w:r w:rsidR="00B06284" w:rsidRPr="00265D72">
        <w:t>/kompen</w:t>
      </w:r>
      <w:r w:rsidR="004C473D" w:rsidRPr="00265D72">
        <w:t xml:space="preserve">suar automatikisht nga sistemi tatimor në datën </w:t>
      </w:r>
      <w:r w:rsidR="00DD49D9" w:rsidRPr="00265D72">
        <w:t xml:space="preserve">30.04.2022, </w:t>
      </w:r>
      <w:r w:rsidR="00A32A90" w:rsidRPr="00265D72">
        <w:t xml:space="preserve">brenda afatit ligjor </w:t>
      </w:r>
      <w:r w:rsidRPr="00265D72">
        <w:t>(neni 107, pika 2 e ligjit të sipërcituar).</w:t>
      </w:r>
    </w:p>
    <w:p w:rsidR="00CF6870" w:rsidRPr="00265D72" w:rsidRDefault="00CF6870" w:rsidP="00CE0EFE">
      <w:pPr>
        <w:widowControl w:val="0"/>
        <w:spacing w:line="276" w:lineRule="auto"/>
      </w:pPr>
    </w:p>
    <w:p w:rsidR="009E467E" w:rsidRDefault="00722F2A" w:rsidP="00CE0EFE">
      <w:pPr>
        <w:widowControl w:val="0"/>
        <w:spacing w:line="276" w:lineRule="auto"/>
        <w:jc w:val="center"/>
      </w:pPr>
      <w:r w:rsidRPr="00265D72">
        <w:t>***</w:t>
      </w:r>
    </w:p>
    <w:p w:rsidR="00CE0EFE" w:rsidRPr="00265D72" w:rsidRDefault="00CE0EFE" w:rsidP="00CE0EFE">
      <w:pPr>
        <w:widowControl w:val="0"/>
        <w:spacing w:line="276" w:lineRule="auto"/>
        <w:jc w:val="center"/>
      </w:pPr>
    </w:p>
    <w:p w:rsidR="00C716C2" w:rsidRPr="00265D72" w:rsidRDefault="00C716C2" w:rsidP="00CE0EFE">
      <w:pPr>
        <w:widowControl w:val="0"/>
        <w:spacing w:line="276" w:lineRule="auto"/>
        <w:jc w:val="both"/>
      </w:pPr>
      <w:r w:rsidRPr="00265D72">
        <w:t>Drejtoria e Apelimit Tatimor pasi shqyrtoi me hollësi dhe objektivitet kërkesen për apelim të subjektit dhe argumentat e parashtruara në të, dokumentacionin e të gjithë procedurave dhe praktikës së kontrollit të ushtruar në subjekt deri në nxjerrjen e aktit zyrtar për detyrimet, në respektim të kërkesave të Nenit 108 “Kompetencat për shqyrtimi</w:t>
      </w:r>
      <w:r w:rsidR="00404CF9" w:rsidRPr="00265D72">
        <w:t>n e Ankimit Tatimor” të Ligjit Nr.</w:t>
      </w:r>
      <w:r w:rsidRPr="00265D72">
        <w:t>9920</w:t>
      </w:r>
      <w:r w:rsidR="00404CF9" w:rsidRPr="00265D72">
        <w:t>/2008</w:t>
      </w:r>
      <w:r w:rsidRPr="00265D72">
        <w:t xml:space="preserve"> konstaton se:</w:t>
      </w:r>
    </w:p>
    <w:p w:rsidR="00F33513" w:rsidRPr="00265D72" w:rsidRDefault="00F33513" w:rsidP="00CE0EFE">
      <w:pPr>
        <w:widowControl w:val="0"/>
        <w:spacing w:line="276" w:lineRule="auto"/>
        <w:jc w:val="both"/>
      </w:pPr>
    </w:p>
    <w:p w:rsidR="00197610" w:rsidRPr="00265D72" w:rsidRDefault="00197610" w:rsidP="00CE0EFE">
      <w:pPr>
        <w:widowControl w:val="0"/>
        <w:spacing w:line="276" w:lineRule="auto"/>
        <w:jc w:val="both"/>
      </w:pPr>
      <w:r w:rsidRPr="00265D72">
        <w:t>Shoqëria është kontrolluar në zbatim të Njoftim Kontrollit në vijim të shkresës për rimbursim TVSh.</w:t>
      </w:r>
      <w:r w:rsidR="00CE0EFE">
        <w:t xml:space="preserve"> </w:t>
      </w:r>
      <w:r w:rsidRPr="00265D72">
        <w:t>Në përfundim të kontrollit, është hartuar raporti ku janë përshkruar shkeljet e konstatuara dhe vlerësimet e kryera.</w:t>
      </w:r>
    </w:p>
    <w:p w:rsidR="009E467E" w:rsidRPr="00265D72" w:rsidRDefault="009E467E" w:rsidP="00CE0EFE">
      <w:pPr>
        <w:widowControl w:val="0"/>
        <w:spacing w:line="276" w:lineRule="auto"/>
        <w:jc w:val="center"/>
      </w:pPr>
    </w:p>
    <w:p w:rsidR="00522FA9" w:rsidRPr="00265D72" w:rsidRDefault="00936C24" w:rsidP="00CE0EFE">
      <w:pPr>
        <w:widowControl w:val="0"/>
        <w:spacing w:line="276" w:lineRule="auto"/>
        <w:jc w:val="both"/>
      </w:pPr>
      <w:r w:rsidRPr="00265D72">
        <w:t xml:space="preserve">Nga </w:t>
      </w:r>
      <w:r w:rsidR="00F33513" w:rsidRPr="00265D72">
        <w:t xml:space="preserve">kontrolli i kryer </w:t>
      </w:r>
      <w:r w:rsidR="00197610" w:rsidRPr="00265D72">
        <w:t>p</w:t>
      </w:r>
      <w:r w:rsidR="00522FA9" w:rsidRPr="00265D72">
        <w:t>ë</w:t>
      </w:r>
      <w:r w:rsidR="00197610" w:rsidRPr="00265D72">
        <w:t>r shitjet e periudh</w:t>
      </w:r>
      <w:r w:rsidR="00522FA9" w:rsidRPr="00265D72">
        <w:t>ë</w:t>
      </w:r>
      <w:r w:rsidR="00197610" w:rsidRPr="00265D72">
        <w:t>s Janar-Tetor 2021</w:t>
      </w:r>
      <w:r w:rsidR="00522FA9" w:rsidRPr="00265D72">
        <w:t xml:space="preserve"> (faqe 13-14 të raport Kontrollit) është konstatuar se për këtë periudhë shitjet janë si mëposhtë:</w:t>
      </w:r>
    </w:p>
    <w:tbl>
      <w:tblPr>
        <w:tblW w:w="7210" w:type="dxa"/>
        <w:tblInd w:w="98" w:type="dxa"/>
        <w:tblLook w:val="04A0" w:firstRow="1" w:lastRow="0" w:firstColumn="1" w:lastColumn="0" w:noHBand="0" w:noVBand="1"/>
      </w:tblPr>
      <w:tblGrid>
        <w:gridCol w:w="620"/>
        <w:gridCol w:w="4430"/>
        <w:gridCol w:w="2160"/>
      </w:tblGrid>
      <w:tr w:rsidR="00522FA9" w:rsidRPr="00265D72" w:rsidTr="00522FA9">
        <w:trPr>
          <w:trHeight w:val="288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FA9" w:rsidRPr="00265D72" w:rsidRDefault="00522FA9" w:rsidP="00CE0EFE">
            <w:pPr>
              <w:widowControl w:val="0"/>
              <w:spacing w:line="276" w:lineRule="auto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265D72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  <w:t>Nr.</w:t>
            </w:r>
          </w:p>
        </w:tc>
        <w:tc>
          <w:tcPr>
            <w:tcW w:w="4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FA9" w:rsidRPr="00265D72" w:rsidRDefault="00522FA9" w:rsidP="00CE0EFE">
            <w:pPr>
              <w:widowControl w:val="0"/>
              <w:spacing w:line="276" w:lineRule="auto"/>
              <w:rPr>
                <w:rFonts w:eastAsia="Times New Roman"/>
                <w:b/>
                <w:bCs/>
                <w:color w:val="000000"/>
                <w:lang w:val="en-US"/>
              </w:rPr>
            </w:pPr>
            <w:proofErr w:type="spellStart"/>
            <w:r w:rsidRPr="00265D72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  <w:t>Lloji</w:t>
            </w:r>
            <w:proofErr w:type="spellEnd"/>
            <w:r w:rsidRPr="00265D72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65D72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  <w:t>i</w:t>
            </w:r>
            <w:proofErr w:type="spellEnd"/>
            <w:r w:rsidRPr="00265D72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65D72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  <w:t>shitjeve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FA9" w:rsidRPr="00265D72" w:rsidRDefault="00522FA9" w:rsidP="00CE0EFE">
            <w:pPr>
              <w:widowControl w:val="0"/>
              <w:spacing w:line="276" w:lineRule="auto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265D72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65D72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  <w:t>Vlera</w:t>
            </w:r>
            <w:proofErr w:type="spellEnd"/>
            <w:r w:rsidRPr="00265D72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</w:p>
        </w:tc>
      </w:tr>
      <w:tr w:rsidR="00522FA9" w:rsidRPr="00265D72" w:rsidTr="00522FA9">
        <w:trPr>
          <w:trHeight w:val="28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FA9" w:rsidRPr="00265D72" w:rsidRDefault="00522FA9" w:rsidP="00CE0EFE">
            <w:pPr>
              <w:widowControl w:val="0"/>
              <w:spacing w:line="276" w:lineRule="auto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265D72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  <w:t>I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FA9" w:rsidRPr="00265D72" w:rsidRDefault="00522FA9" w:rsidP="00CE0EFE">
            <w:pPr>
              <w:widowControl w:val="0"/>
              <w:spacing w:line="276" w:lineRule="auto"/>
              <w:rPr>
                <w:rFonts w:eastAsia="Times New Roman"/>
                <w:b/>
                <w:bCs/>
                <w:color w:val="000000"/>
                <w:lang w:val="en-US"/>
              </w:rPr>
            </w:pPr>
            <w:proofErr w:type="spellStart"/>
            <w:r w:rsidRPr="00265D72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  <w:t>Shitje</w:t>
            </w:r>
            <w:proofErr w:type="spellEnd"/>
            <w:r w:rsidRPr="00265D72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65D72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  <w:t>të</w:t>
            </w:r>
            <w:proofErr w:type="spellEnd"/>
            <w:r w:rsidRPr="00265D72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65D72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  <w:t>tatueshme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FA9" w:rsidRPr="00265D72" w:rsidRDefault="00522FA9" w:rsidP="00CE0EFE">
            <w:pPr>
              <w:widowControl w:val="0"/>
              <w:spacing w:line="276" w:lineRule="auto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265D72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  <w:t xml:space="preserve">       258,229,403 </w:t>
            </w:r>
          </w:p>
        </w:tc>
      </w:tr>
      <w:tr w:rsidR="00522FA9" w:rsidRPr="00265D72" w:rsidTr="00522FA9">
        <w:trPr>
          <w:trHeight w:val="28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FA9" w:rsidRPr="00265D72" w:rsidRDefault="00522FA9" w:rsidP="00CE0EFE">
            <w:pPr>
              <w:widowControl w:val="0"/>
              <w:spacing w:line="276" w:lineRule="auto"/>
              <w:rPr>
                <w:rFonts w:eastAsia="Times New Roman"/>
                <w:color w:val="000000"/>
                <w:lang w:val="en-US"/>
              </w:rPr>
            </w:pPr>
            <w:r w:rsidRPr="00265D72">
              <w:rPr>
                <w:rFonts w:eastAsia="Times New Roman"/>
                <w:color w:val="000000"/>
                <w:sz w:val="22"/>
                <w:szCs w:val="22"/>
                <w:lang w:val="en-US"/>
              </w:rPr>
              <w:t>a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FA9" w:rsidRPr="00265D72" w:rsidRDefault="00522FA9" w:rsidP="00CE0EFE">
            <w:pPr>
              <w:widowControl w:val="0"/>
              <w:spacing w:line="276" w:lineRule="auto"/>
              <w:rPr>
                <w:rFonts w:eastAsia="Times New Roman"/>
                <w:color w:val="000000"/>
                <w:lang w:val="en-US"/>
              </w:rPr>
            </w:pPr>
            <w:proofErr w:type="spellStart"/>
            <w:r w:rsidRPr="00265D72">
              <w:rPr>
                <w:rFonts w:eastAsia="Times New Roman"/>
                <w:color w:val="000000"/>
                <w:sz w:val="22"/>
                <w:szCs w:val="22"/>
                <w:lang w:val="en-US"/>
              </w:rPr>
              <w:t>Eksporte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FA9" w:rsidRPr="00265D72" w:rsidRDefault="00522FA9" w:rsidP="00CE0EFE">
            <w:pPr>
              <w:widowControl w:val="0"/>
              <w:spacing w:line="276" w:lineRule="auto"/>
              <w:rPr>
                <w:rFonts w:eastAsia="Times New Roman"/>
                <w:color w:val="000000"/>
                <w:lang w:val="en-US"/>
              </w:rPr>
            </w:pPr>
            <w:r w:rsidRPr="00265D72">
              <w:rPr>
                <w:rFonts w:eastAsia="Times New Roman"/>
                <w:color w:val="000000"/>
                <w:sz w:val="22"/>
                <w:szCs w:val="22"/>
                <w:lang w:val="en-US"/>
              </w:rPr>
              <w:t xml:space="preserve">        241,891,214 </w:t>
            </w:r>
          </w:p>
        </w:tc>
      </w:tr>
      <w:tr w:rsidR="00522FA9" w:rsidRPr="00265D72" w:rsidTr="00522FA9">
        <w:trPr>
          <w:trHeight w:val="28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FA9" w:rsidRPr="00265D72" w:rsidRDefault="00522FA9" w:rsidP="00CE0EFE">
            <w:pPr>
              <w:widowControl w:val="0"/>
              <w:spacing w:line="276" w:lineRule="auto"/>
              <w:rPr>
                <w:rFonts w:eastAsia="Times New Roman"/>
                <w:color w:val="000000"/>
                <w:lang w:val="en-US"/>
              </w:rPr>
            </w:pPr>
            <w:r w:rsidRPr="00265D72">
              <w:rPr>
                <w:rFonts w:eastAsia="Times New Roman"/>
                <w:color w:val="000000"/>
                <w:sz w:val="22"/>
                <w:szCs w:val="22"/>
                <w:lang w:val="en-US"/>
              </w:rPr>
              <w:t>b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FA9" w:rsidRPr="00265D72" w:rsidRDefault="00522FA9" w:rsidP="00CE0EFE">
            <w:pPr>
              <w:widowControl w:val="0"/>
              <w:spacing w:line="276" w:lineRule="auto"/>
              <w:rPr>
                <w:rFonts w:eastAsia="Times New Roman"/>
                <w:color w:val="000000"/>
                <w:lang w:val="en-US"/>
              </w:rPr>
            </w:pPr>
            <w:proofErr w:type="spellStart"/>
            <w:r w:rsidRPr="00265D72">
              <w:rPr>
                <w:rFonts w:eastAsia="Times New Roman"/>
                <w:color w:val="000000"/>
                <w:sz w:val="22"/>
                <w:szCs w:val="22"/>
                <w:lang w:val="en-US"/>
              </w:rPr>
              <w:t>Shitje</w:t>
            </w:r>
            <w:proofErr w:type="spellEnd"/>
            <w:r w:rsidRPr="00265D72">
              <w:rPr>
                <w:rFonts w:eastAsia="Times New Roman"/>
                <w:color w:val="000000"/>
                <w:sz w:val="22"/>
                <w:szCs w:val="22"/>
                <w:lang w:val="en-US"/>
              </w:rPr>
              <w:t xml:space="preserve"> me </w:t>
            </w:r>
            <w:proofErr w:type="spellStart"/>
            <w:r w:rsidRPr="00265D72">
              <w:rPr>
                <w:rFonts w:eastAsia="Times New Roman"/>
                <w:color w:val="000000"/>
                <w:sz w:val="22"/>
                <w:szCs w:val="22"/>
                <w:lang w:val="en-US"/>
              </w:rPr>
              <w:t>TVSh</w:t>
            </w:r>
            <w:proofErr w:type="spellEnd"/>
            <w:r w:rsidRPr="00265D72">
              <w:rPr>
                <w:rFonts w:eastAsia="Times New Roman"/>
                <w:color w:val="000000"/>
                <w:sz w:val="22"/>
                <w:szCs w:val="22"/>
                <w:lang w:val="en-US"/>
              </w:rPr>
              <w:t xml:space="preserve"> 20%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FA9" w:rsidRPr="00265D72" w:rsidRDefault="00522FA9" w:rsidP="00CE0EFE">
            <w:pPr>
              <w:widowControl w:val="0"/>
              <w:spacing w:line="276" w:lineRule="auto"/>
              <w:rPr>
                <w:rFonts w:eastAsia="Times New Roman"/>
                <w:color w:val="000000"/>
                <w:lang w:val="en-US"/>
              </w:rPr>
            </w:pPr>
            <w:r w:rsidRPr="00265D72">
              <w:rPr>
                <w:rFonts w:eastAsia="Times New Roman"/>
                <w:color w:val="000000"/>
                <w:sz w:val="22"/>
                <w:szCs w:val="22"/>
                <w:lang w:val="en-US"/>
              </w:rPr>
              <w:t xml:space="preserve">          16,338,189 </w:t>
            </w:r>
          </w:p>
        </w:tc>
      </w:tr>
      <w:tr w:rsidR="00522FA9" w:rsidRPr="00265D72" w:rsidTr="00522FA9">
        <w:trPr>
          <w:trHeight w:val="28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FA9" w:rsidRPr="00265D72" w:rsidRDefault="00522FA9" w:rsidP="00CE0EFE">
            <w:pPr>
              <w:widowControl w:val="0"/>
              <w:spacing w:line="276" w:lineRule="auto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265D72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  <w:t>II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FA9" w:rsidRPr="00265D72" w:rsidRDefault="00522FA9" w:rsidP="00CE0EFE">
            <w:pPr>
              <w:widowControl w:val="0"/>
              <w:spacing w:line="276" w:lineRule="auto"/>
              <w:rPr>
                <w:rFonts w:eastAsia="Times New Roman"/>
                <w:b/>
                <w:bCs/>
                <w:color w:val="000000"/>
                <w:lang w:val="en-US"/>
              </w:rPr>
            </w:pPr>
            <w:proofErr w:type="spellStart"/>
            <w:r w:rsidRPr="00265D72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  <w:t>Shitje</w:t>
            </w:r>
            <w:proofErr w:type="spellEnd"/>
            <w:r w:rsidRPr="00265D72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65D72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  <w:t>të</w:t>
            </w:r>
            <w:proofErr w:type="spellEnd"/>
            <w:r w:rsidRPr="00265D72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65D72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  <w:t>përjashtuara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FA9" w:rsidRPr="00265D72" w:rsidRDefault="00522FA9" w:rsidP="00CE0EFE">
            <w:pPr>
              <w:widowControl w:val="0"/>
              <w:spacing w:line="276" w:lineRule="auto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265D72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  <w:t xml:space="preserve">            4,800,000 </w:t>
            </w:r>
          </w:p>
        </w:tc>
      </w:tr>
      <w:tr w:rsidR="00522FA9" w:rsidRPr="00265D72" w:rsidTr="00522FA9">
        <w:trPr>
          <w:trHeight w:val="28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FA9" w:rsidRPr="00265D72" w:rsidRDefault="00522FA9" w:rsidP="00CE0EFE">
            <w:pPr>
              <w:widowControl w:val="0"/>
              <w:spacing w:line="276" w:lineRule="auto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265D72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  <w:t>III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FA9" w:rsidRPr="00265D72" w:rsidRDefault="00522FA9" w:rsidP="00CE0EFE">
            <w:pPr>
              <w:widowControl w:val="0"/>
              <w:spacing w:line="276" w:lineRule="auto"/>
              <w:rPr>
                <w:rFonts w:eastAsia="Times New Roman"/>
                <w:b/>
                <w:bCs/>
                <w:color w:val="000000"/>
                <w:lang w:val="en-US"/>
              </w:rPr>
            </w:pPr>
            <w:proofErr w:type="spellStart"/>
            <w:r w:rsidRPr="00265D72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  <w:t>Totali</w:t>
            </w:r>
            <w:proofErr w:type="spellEnd"/>
            <w:r w:rsidRPr="00265D72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65D72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  <w:t>i</w:t>
            </w:r>
            <w:proofErr w:type="spellEnd"/>
            <w:r w:rsidRPr="00265D72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65D72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  <w:t>shitjeve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FA9" w:rsidRPr="00265D72" w:rsidRDefault="00522FA9" w:rsidP="00CE0EFE">
            <w:pPr>
              <w:widowControl w:val="0"/>
              <w:spacing w:line="276" w:lineRule="auto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265D72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  <w:t xml:space="preserve">       263,029,403 </w:t>
            </w:r>
          </w:p>
        </w:tc>
      </w:tr>
      <w:tr w:rsidR="00522FA9" w:rsidRPr="00265D72" w:rsidTr="00522FA9">
        <w:trPr>
          <w:trHeight w:val="28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FA9" w:rsidRPr="00265D72" w:rsidRDefault="00522FA9" w:rsidP="00CE0EFE">
            <w:pPr>
              <w:widowControl w:val="0"/>
              <w:spacing w:line="276" w:lineRule="auto"/>
              <w:rPr>
                <w:rFonts w:eastAsia="Times New Roman"/>
                <w:color w:val="000000"/>
                <w:lang w:val="en-US"/>
              </w:rPr>
            </w:pPr>
            <w:r w:rsidRPr="00265D72">
              <w:rPr>
                <w:rFonts w:eastAsia="Times New Roman"/>
                <w:color w:val="000000"/>
                <w:sz w:val="22"/>
                <w:szCs w:val="22"/>
                <w:lang w:val="en-US"/>
              </w:rPr>
              <w:t>IV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FA9" w:rsidRPr="00265D72" w:rsidRDefault="00522FA9" w:rsidP="00CE0EFE">
            <w:pPr>
              <w:widowControl w:val="0"/>
              <w:spacing w:line="276" w:lineRule="auto"/>
              <w:rPr>
                <w:rFonts w:eastAsia="Times New Roman"/>
                <w:color w:val="000000"/>
                <w:lang w:val="en-US"/>
              </w:rPr>
            </w:pPr>
            <w:proofErr w:type="spellStart"/>
            <w:r w:rsidRPr="00265D72">
              <w:rPr>
                <w:rFonts w:eastAsia="Times New Roman"/>
                <w:color w:val="000000"/>
                <w:sz w:val="22"/>
                <w:szCs w:val="22"/>
                <w:lang w:val="en-US"/>
              </w:rPr>
              <w:t>Koeficienti</w:t>
            </w:r>
            <w:proofErr w:type="spellEnd"/>
            <w:r w:rsidRPr="00265D72">
              <w:rPr>
                <w:rFonts w:eastAsia="Times New Roman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65D72">
              <w:rPr>
                <w:rFonts w:eastAsia="Times New Roman"/>
                <w:color w:val="000000"/>
                <w:sz w:val="22"/>
                <w:szCs w:val="22"/>
                <w:lang w:val="en-US"/>
              </w:rPr>
              <w:t>i</w:t>
            </w:r>
            <w:proofErr w:type="spellEnd"/>
            <w:r w:rsidRPr="00265D72">
              <w:rPr>
                <w:rFonts w:eastAsia="Times New Roman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65D72">
              <w:rPr>
                <w:rFonts w:eastAsia="Times New Roman"/>
                <w:color w:val="000000"/>
                <w:sz w:val="22"/>
                <w:szCs w:val="22"/>
                <w:lang w:val="en-US"/>
              </w:rPr>
              <w:t>zbritjes</w:t>
            </w:r>
            <w:proofErr w:type="spellEnd"/>
            <w:r w:rsidRPr="00265D72">
              <w:rPr>
                <w:rFonts w:eastAsia="Times New Roman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65D72">
              <w:rPr>
                <w:rFonts w:eastAsia="Times New Roman"/>
                <w:color w:val="000000"/>
                <w:sz w:val="22"/>
                <w:szCs w:val="22"/>
                <w:lang w:val="en-US"/>
              </w:rPr>
              <w:t>së</w:t>
            </w:r>
            <w:proofErr w:type="spellEnd"/>
            <w:r w:rsidRPr="00265D72">
              <w:rPr>
                <w:rFonts w:eastAsia="Times New Roman"/>
                <w:color w:val="000000"/>
                <w:sz w:val="22"/>
                <w:szCs w:val="22"/>
                <w:lang w:val="en-US"/>
              </w:rPr>
              <w:t xml:space="preserve"> TVSH-</w:t>
            </w:r>
            <w:proofErr w:type="spellStart"/>
            <w:r w:rsidRPr="00265D72">
              <w:rPr>
                <w:rFonts w:eastAsia="Times New Roman"/>
                <w:color w:val="000000"/>
                <w:sz w:val="22"/>
                <w:szCs w:val="22"/>
                <w:lang w:val="en-US"/>
              </w:rPr>
              <w:t>së</w:t>
            </w:r>
            <w:proofErr w:type="spellEnd"/>
            <w:r w:rsidRPr="00265D72">
              <w:rPr>
                <w:rFonts w:eastAsia="Times New Roman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65D72">
              <w:rPr>
                <w:rFonts w:eastAsia="Times New Roman"/>
                <w:color w:val="000000"/>
                <w:sz w:val="22"/>
                <w:szCs w:val="22"/>
                <w:lang w:val="en-US"/>
              </w:rPr>
              <w:t>në</w:t>
            </w:r>
            <w:proofErr w:type="spellEnd"/>
            <w:r w:rsidRPr="00265D72">
              <w:rPr>
                <w:rFonts w:eastAsia="Times New Roman"/>
                <w:color w:val="000000"/>
                <w:sz w:val="22"/>
                <w:szCs w:val="22"/>
                <w:lang w:val="en-US"/>
              </w:rPr>
              <w:t xml:space="preserve"> %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FA9" w:rsidRPr="00265D72" w:rsidRDefault="00522FA9" w:rsidP="00CE0EFE">
            <w:pPr>
              <w:widowControl w:val="0"/>
              <w:spacing w:line="276" w:lineRule="auto"/>
              <w:jc w:val="right"/>
              <w:rPr>
                <w:rFonts w:eastAsia="Times New Roman"/>
                <w:color w:val="000000"/>
                <w:lang w:val="en-US"/>
              </w:rPr>
            </w:pPr>
            <w:r w:rsidRPr="00265D72">
              <w:rPr>
                <w:rFonts w:eastAsia="Times New Roman"/>
                <w:color w:val="000000"/>
                <w:sz w:val="22"/>
                <w:szCs w:val="22"/>
                <w:lang w:val="en-US"/>
              </w:rPr>
              <w:t>98.18%</w:t>
            </w:r>
          </w:p>
        </w:tc>
      </w:tr>
      <w:tr w:rsidR="00522FA9" w:rsidRPr="00265D72" w:rsidTr="00522FA9">
        <w:trPr>
          <w:trHeight w:val="28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FA9" w:rsidRPr="00265D72" w:rsidRDefault="00522FA9" w:rsidP="00CE0EFE">
            <w:pPr>
              <w:widowControl w:val="0"/>
              <w:spacing w:line="276" w:lineRule="auto"/>
              <w:rPr>
                <w:rFonts w:eastAsia="Times New Roman"/>
                <w:color w:val="000000"/>
                <w:lang w:val="en-US"/>
              </w:rPr>
            </w:pPr>
            <w:r w:rsidRPr="00265D72">
              <w:rPr>
                <w:rFonts w:eastAsia="Times New Roman"/>
                <w:color w:val="000000"/>
                <w:sz w:val="22"/>
                <w:szCs w:val="22"/>
                <w:lang w:val="en-US"/>
              </w:rPr>
              <w:t>V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FA9" w:rsidRPr="00265D72" w:rsidRDefault="00522FA9" w:rsidP="00CE0EFE">
            <w:pPr>
              <w:widowControl w:val="0"/>
              <w:spacing w:line="276" w:lineRule="auto"/>
              <w:rPr>
                <w:rFonts w:eastAsia="Times New Roman"/>
                <w:color w:val="000000"/>
                <w:lang w:val="en-US"/>
              </w:rPr>
            </w:pPr>
            <w:proofErr w:type="spellStart"/>
            <w:r w:rsidRPr="00265D72">
              <w:rPr>
                <w:rFonts w:eastAsia="Times New Roman"/>
                <w:color w:val="000000"/>
                <w:sz w:val="22"/>
                <w:szCs w:val="22"/>
                <w:lang w:val="en-US"/>
              </w:rPr>
              <w:t>Koeficienti</w:t>
            </w:r>
            <w:proofErr w:type="spellEnd"/>
            <w:r w:rsidRPr="00265D72">
              <w:rPr>
                <w:rFonts w:eastAsia="Times New Roman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65D72">
              <w:rPr>
                <w:rFonts w:eastAsia="Times New Roman"/>
                <w:color w:val="000000"/>
                <w:sz w:val="22"/>
                <w:szCs w:val="22"/>
                <w:lang w:val="en-US"/>
              </w:rPr>
              <w:t>i</w:t>
            </w:r>
            <w:proofErr w:type="spellEnd"/>
            <w:r w:rsidRPr="00265D72">
              <w:rPr>
                <w:rFonts w:eastAsia="Times New Roman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65D72">
              <w:rPr>
                <w:rFonts w:eastAsia="Times New Roman"/>
                <w:color w:val="000000"/>
                <w:sz w:val="22"/>
                <w:szCs w:val="22"/>
                <w:lang w:val="en-US"/>
              </w:rPr>
              <w:t>rregullimit</w:t>
            </w:r>
            <w:proofErr w:type="spellEnd"/>
            <w:r w:rsidRPr="00265D72">
              <w:rPr>
                <w:rFonts w:eastAsia="Times New Roman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65D72">
              <w:rPr>
                <w:rFonts w:eastAsia="Times New Roman"/>
                <w:color w:val="000000"/>
                <w:sz w:val="22"/>
                <w:szCs w:val="22"/>
                <w:lang w:val="en-US"/>
              </w:rPr>
              <w:t>të</w:t>
            </w:r>
            <w:proofErr w:type="spellEnd"/>
            <w:r w:rsidRPr="00265D72">
              <w:rPr>
                <w:rFonts w:eastAsia="Times New Roman"/>
                <w:color w:val="000000"/>
                <w:sz w:val="22"/>
                <w:szCs w:val="22"/>
                <w:lang w:val="en-US"/>
              </w:rPr>
              <w:t xml:space="preserve"> TVSH-</w:t>
            </w:r>
            <w:proofErr w:type="spellStart"/>
            <w:r w:rsidRPr="00265D72">
              <w:rPr>
                <w:rFonts w:eastAsia="Times New Roman"/>
                <w:color w:val="000000"/>
                <w:sz w:val="22"/>
                <w:szCs w:val="22"/>
                <w:lang w:val="en-US"/>
              </w:rPr>
              <w:t>së</w:t>
            </w:r>
            <w:proofErr w:type="spellEnd"/>
            <w:r w:rsidRPr="00265D72">
              <w:rPr>
                <w:rFonts w:eastAsia="Times New Roman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65D72">
              <w:rPr>
                <w:rFonts w:eastAsia="Times New Roman"/>
                <w:color w:val="000000"/>
                <w:sz w:val="22"/>
                <w:szCs w:val="22"/>
                <w:lang w:val="en-US"/>
              </w:rPr>
              <w:t>në</w:t>
            </w:r>
            <w:proofErr w:type="spellEnd"/>
            <w:r w:rsidRPr="00265D72">
              <w:rPr>
                <w:rFonts w:eastAsia="Times New Roman"/>
                <w:color w:val="000000"/>
                <w:sz w:val="22"/>
                <w:szCs w:val="22"/>
                <w:lang w:val="en-US"/>
              </w:rPr>
              <w:t xml:space="preserve"> %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FA9" w:rsidRPr="00265D72" w:rsidRDefault="00522FA9" w:rsidP="00CE0EFE">
            <w:pPr>
              <w:widowControl w:val="0"/>
              <w:spacing w:line="276" w:lineRule="auto"/>
              <w:jc w:val="right"/>
              <w:rPr>
                <w:rFonts w:eastAsia="Times New Roman"/>
                <w:color w:val="000000"/>
                <w:lang w:val="en-US"/>
              </w:rPr>
            </w:pPr>
            <w:r w:rsidRPr="00265D7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1.82%</w:t>
            </w:r>
          </w:p>
        </w:tc>
      </w:tr>
    </w:tbl>
    <w:p w:rsidR="00CE0EFE" w:rsidRDefault="00CE0EFE" w:rsidP="00CE0EFE">
      <w:pPr>
        <w:widowControl w:val="0"/>
        <w:spacing w:line="276" w:lineRule="auto"/>
        <w:jc w:val="both"/>
      </w:pPr>
    </w:p>
    <w:p w:rsidR="005942AF" w:rsidRPr="00CE0EFE" w:rsidRDefault="00522FA9" w:rsidP="00CE0EFE">
      <w:pPr>
        <w:widowControl w:val="0"/>
        <w:spacing w:line="276" w:lineRule="auto"/>
        <w:jc w:val="both"/>
        <w:rPr>
          <w:i/>
          <w:color w:val="000000"/>
        </w:rPr>
      </w:pPr>
      <w:r w:rsidRPr="00CE0EFE">
        <w:t>Duke analizuar pasqyr</w:t>
      </w:r>
      <w:r w:rsidR="005942AF" w:rsidRPr="00CE0EFE">
        <w:t>ë</w:t>
      </w:r>
      <w:r w:rsidRPr="00CE0EFE">
        <w:t>n e m</w:t>
      </w:r>
      <w:r w:rsidR="005942AF" w:rsidRPr="00CE0EFE">
        <w:t>ë</w:t>
      </w:r>
      <w:r w:rsidRPr="00CE0EFE">
        <w:t>sip</w:t>
      </w:r>
      <w:r w:rsidR="005942AF" w:rsidRPr="00CE0EFE">
        <w:t>ë</w:t>
      </w:r>
      <w:r w:rsidRPr="00CE0EFE">
        <w:t>rme rezulton se shoq</w:t>
      </w:r>
      <w:r w:rsidR="005942AF" w:rsidRPr="00CE0EFE">
        <w:t>ë</w:t>
      </w:r>
      <w:r w:rsidRPr="00CE0EFE">
        <w:t>ria duhet t</w:t>
      </w:r>
      <w:r w:rsidR="005942AF" w:rsidRPr="00CE0EFE">
        <w:t>ë</w:t>
      </w:r>
      <w:r w:rsidRPr="00CE0EFE">
        <w:t xml:space="preserve"> kreditonte TVSH-n</w:t>
      </w:r>
      <w:r w:rsidR="005942AF" w:rsidRPr="00CE0EFE">
        <w:t>ë</w:t>
      </w:r>
      <w:r w:rsidRPr="00CE0EFE">
        <w:t xml:space="preserve"> p</w:t>
      </w:r>
      <w:r w:rsidR="005942AF" w:rsidRPr="00CE0EFE">
        <w:t>ë</w:t>
      </w:r>
      <w:r w:rsidRPr="00CE0EFE">
        <w:t>r vitin 2021 p</w:t>
      </w:r>
      <w:r w:rsidR="005942AF" w:rsidRPr="00CE0EFE">
        <w:t>ë</w:t>
      </w:r>
      <w:r w:rsidRPr="00CE0EFE">
        <w:t>r 98.18% t</w:t>
      </w:r>
      <w:r w:rsidR="005942AF" w:rsidRPr="00CE0EFE">
        <w:t>ë</w:t>
      </w:r>
      <w:r w:rsidR="00CE0EFE" w:rsidRPr="00CE0EFE">
        <w:t xml:space="preserve"> blerj</w:t>
      </w:r>
      <w:r w:rsidRPr="00CE0EFE">
        <w:t>eve t</w:t>
      </w:r>
      <w:r w:rsidR="005942AF" w:rsidRPr="00CE0EFE">
        <w:t>ë</w:t>
      </w:r>
      <w:r w:rsidRPr="00CE0EFE">
        <w:t xml:space="preserve"> tatueshme, sipas pik</w:t>
      </w:r>
      <w:r w:rsidR="005942AF" w:rsidRPr="00CE0EFE">
        <w:t>ë</w:t>
      </w:r>
      <w:r w:rsidRPr="00CE0EFE">
        <w:t>s 1/a dhe b) t</w:t>
      </w:r>
      <w:r w:rsidR="005942AF" w:rsidRPr="00CE0EFE">
        <w:t>ë</w:t>
      </w:r>
      <w:r w:rsidRPr="00CE0EFE">
        <w:t xml:space="preserve"> nenit 72 t</w:t>
      </w:r>
      <w:r w:rsidR="005942AF" w:rsidRPr="00CE0EFE">
        <w:t>ë</w:t>
      </w:r>
      <w:r w:rsidRPr="00CE0EFE">
        <w:t xml:space="preserve"> Ligjit Nr.92/2014 ‘P</w:t>
      </w:r>
      <w:r w:rsidR="005942AF" w:rsidRPr="00CE0EFE">
        <w:t>ë</w:t>
      </w:r>
      <w:r w:rsidRPr="00CE0EFE">
        <w:t>r TVSh-n</w:t>
      </w:r>
      <w:r w:rsidR="005942AF" w:rsidRPr="00CE0EFE">
        <w:t>ë</w:t>
      </w:r>
      <w:r w:rsidRPr="00CE0EFE">
        <w:t xml:space="preserve"> n</w:t>
      </w:r>
      <w:r w:rsidR="005942AF" w:rsidRPr="00CE0EFE">
        <w:t>ë</w:t>
      </w:r>
      <w:r w:rsidRPr="00CE0EFE">
        <w:t xml:space="preserve"> RSH”</w:t>
      </w:r>
      <w:r w:rsidR="005942AF" w:rsidRPr="00CE0EFE">
        <w:t xml:space="preserve">, ku në nenin 72 përcaktohet se </w:t>
      </w:r>
      <w:r w:rsidR="005942AF" w:rsidRPr="00CE0EFE">
        <w:rPr>
          <w:i/>
        </w:rPr>
        <w:t>“</w:t>
      </w:r>
      <w:r w:rsidR="005942AF" w:rsidRPr="00CE0EFE">
        <w:rPr>
          <w:i/>
          <w:color w:val="000000"/>
        </w:rPr>
        <w:t xml:space="preserve">1. Koeficienti i zbritjes së TVSH-së llogaritet nga raporti i mëposhtëm: </w:t>
      </w:r>
    </w:p>
    <w:p w:rsidR="005942AF" w:rsidRPr="00CE0EFE" w:rsidRDefault="005942AF" w:rsidP="00CE0EFE">
      <w:pPr>
        <w:widowControl w:val="0"/>
        <w:spacing w:line="276" w:lineRule="auto"/>
        <w:jc w:val="both"/>
        <w:rPr>
          <w:i/>
          <w:color w:val="000000"/>
        </w:rPr>
      </w:pPr>
      <w:r w:rsidRPr="00CE0EFE">
        <w:rPr>
          <w:i/>
          <w:color w:val="000000"/>
        </w:rPr>
        <w:t xml:space="preserve">a) në numërues, shumën totale të vëllimit të xhiros vjetore, pa TVSH-në, lidhur me transaksionet që sjellin të drejtën e zbritjes, sipas neneve 69 dhe 70, të këtij ligji. </w:t>
      </w:r>
    </w:p>
    <w:p w:rsidR="00197610" w:rsidRPr="00CE0EFE" w:rsidRDefault="005942AF" w:rsidP="00CE0EFE">
      <w:pPr>
        <w:widowControl w:val="0"/>
        <w:spacing w:line="276" w:lineRule="auto"/>
        <w:jc w:val="both"/>
        <w:rPr>
          <w:i/>
        </w:rPr>
      </w:pPr>
      <w:r w:rsidRPr="00CE0EFE">
        <w:rPr>
          <w:i/>
          <w:color w:val="000000"/>
        </w:rPr>
        <w:t>b) në emërues, shumën totale të vëllimit të xhiros vjetore, pa TVSH-në, lidhur me transaksionet e përfshira në numërues dhe me transaksionet që nuk sjellin të drejtën e zbritjes”.</w:t>
      </w:r>
    </w:p>
    <w:p w:rsidR="00197610" w:rsidRPr="00265D72" w:rsidRDefault="00197610" w:rsidP="00CE0EFE">
      <w:pPr>
        <w:widowControl w:val="0"/>
        <w:spacing w:line="276" w:lineRule="auto"/>
        <w:jc w:val="both"/>
      </w:pPr>
    </w:p>
    <w:p w:rsidR="005942AF" w:rsidRPr="00265D72" w:rsidRDefault="005942AF" w:rsidP="00CE0EFE">
      <w:pPr>
        <w:widowControl w:val="0"/>
        <w:spacing w:line="276" w:lineRule="auto"/>
        <w:jc w:val="both"/>
      </w:pPr>
      <w:r w:rsidRPr="00265D72">
        <w:t>Shoqëria ka kredituar TVSH-në gjatë vitit 2021 në masën 100% të blerjeve të tatueshme, dhe për periudhën e kontrolluar, është si mëposhtë vijon:</w:t>
      </w:r>
    </w:p>
    <w:tbl>
      <w:tblPr>
        <w:tblW w:w="7710" w:type="dxa"/>
        <w:tblInd w:w="98" w:type="dxa"/>
        <w:tblLook w:val="04A0" w:firstRow="1" w:lastRow="0" w:firstColumn="1" w:lastColumn="0" w:noHBand="0" w:noVBand="1"/>
      </w:tblPr>
      <w:tblGrid>
        <w:gridCol w:w="6130"/>
        <w:gridCol w:w="1580"/>
      </w:tblGrid>
      <w:tr w:rsidR="005942AF" w:rsidRPr="00265D72" w:rsidTr="005942AF">
        <w:trPr>
          <w:trHeight w:val="288"/>
        </w:trPr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2AF" w:rsidRPr="00265D72" w:rsidRDefault="005942AF" w:rsidP="00CE0EFE">
            <w:pPr>
              <w:widowControl w:val="0"/>
              <w:spacing w:line="276" w:lineRule="auto"/>
              <w:rPr>
                <w:rFonts w:eastAsia="Times New Roman"/>
                <w:b/>
                <w:bCs/>
                <w:color w:val="000000"/>
                <w:lang w:val="en-US"/>
              </w:rPr>
            </w:pPr>
            <w:proofErr w:type="spellStart"/>
            <w:r w:rsidRPr="00265D72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  <w:t>Përshkrimi</w:t>
            </w:r>
            <w:proofErr w:type="spellEnd"/>
            <w:r w:rsidRPr="00265D72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65D72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  <w:t>i</w:t>
            </w:r>
            <w:proofErr w:type="spellEnd"/>
            <w:r w:rsidRPr="00265D72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65D72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  <w:t>rubrikës</w:t>
            </w:r>
            <w:proofErr w:type="spellEnd"/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2AF" w:rsidRPr="00265D72" w:rsidRDefault="005942AF" w:rsidP="00CE0EFE">
            <w:pPr>
              <w:widowControl w:val="0"/>
              <w:spacing w:line="276" w:lineRule="auto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265D72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65D72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  <w:t>Shuma</w:t>
            </w:r>
            <w:proofErr w:type="spellEnd"/>
            <w:r w:rsidRPr="00265D72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</w:p>
        </w:tc>
      </w:tr>
      <w:tr w:rsidR="005942AF" w:rsidRPr="00265D72" w:rsidTr="005942AF">
        <w:trPr>
          <w:trHeight w:val="288"/>
        </w:trPr>
        <w:tc>
          <w:tcPr>
            <w:tcW w:w="6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2AF" w:rsidRPr="00265D72" w:rsidRDefault="005942AF" w:rsidP="00CE0EFE">
            <w:pPr>
              <w:widowControl w:val="0"/>
              <w:spacing w:line="276" w:lineRule="auto"/>
              <w:rPr>
                <w:rFonts w:eastAsia="Times New Roman"/>
                <w:b/>
                <w:bCs/>
                <w:color w:val="000000"/>
                <w:lang w:val="en-US"/>
              </w:rPr>
            </w:pPr>
            <w:proofErr w:type="spellStart"/>
            <w:r w:rsidRPr="00265D72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  <w:t>Blerjet</w:t>
            </w:r>
            <w:proofErr w:type="spellEnd"/>
            <w:r w:rsidRPr="00265D72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  <w:t xml:space="preserve"> (TVSH e </w:t>
            </w:r>
            <w:proofErr w:type="spellStart"/>
            <w:r w:rsidRPr="00265D72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  <w:t>zbritshme</w:t>
            </w:r>
            <w:proofErr w:type="spellEnd"/>
            <w:r w:rsidRPr="00265D72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  <w:t>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2AF" w:rsidRPr="00265D72" w:rsidRDefault="005942AF" w:rsidP="00CE0EFE">
            <w:pPr>
              <w:widowControl w:val="0"/>
              <w:spacing w:line="276" w:lineRule="auto"/>
              <w:rPr>
                <w:rFonts w:eastAsia="Times New Roman"/>
                <w:color w:val="000000"/>
                <w:lang w:val="en-US"/>
              </w:rPr>
            </w:pPr>
            <w:r w:rsidRPr="00265D72">
              <w:rPr>
                <w:rFonts w:eastAsia="Times New Roman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5942AF" w:rsidRPr="00265D72" w:rsidTr="005942AF">
        <w:trPr>
          <w:trHeight w:val="288"/>
        </w:trPr>
        <w:tc>
          <w:tcPr>
            <w:tcW w:w="6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2AF" w:rsidRPr="00265D72" w:rsidRDefault="005942AF" w:rsidP="00CE0EFE">
            <w:pPr>
              <w:widowControl w:val="0"/>
              <w:spacing w:line="276" w:lineRule="auto"/>
              <w:rPr>
                <w:rFonts w:eastAsia="Times New Roman"/>
                <w:color w:val="000000"/>
                <w:lang w:val="en-US"/>
              </w:rPr>
            </w:pPr>
            <w:proofErr w:type="spellStart"/>
            <w:r w:rsidRPr="00265D72">
              <w:rPr>
                <w:rFonts w:eastAsia="Times New Roman"/>
                <w:color w:val="000000"/>
                <w:sz w:val="22"/>
                <w:szCs w:val="22"/>
                <w:lang w:val="en-US"/>
              </w:rPr>
              <w:lastRenderedPageBreak/>
              <w:t>Blerje</w:t>
            </w:r>
            <w:proofErr w:type="spellEnd"/>
            <w:r w:rsidRPr="00265D72">
              <w:rPr>
                <w:rFonts w:eastAsia="Times New Roman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65D72">
              <w:rPr>
                <w:rFonts w:eastAsia="Times New Roman"/>
                <w:color w:val="000000"/>
                <w:sz w:val="22"/>
                <w:szCs w:val="22"/>
                <w:lang w:val="en-US"/>
              </w:rPr>
              <w:t>të</w:t>
            </w:r>
            <w:proofErr w:type="spellEnd"/>
            <w:r w:rsidRPr="00265D72">
              <w:rPr>
                <w:rFonts w:eastAsia="Times New Roman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65D72">
              <w:rPr>
                <w:rFonts w:eastAsia="Times New Roman"/>
                <w:color w:val="000000"/>
                <w:sz w:val="22"/>
                <w:szCs w:val="22"/>
                <w:lang w:val="en-US"/>
              </w:rPr>
              <w:t>përjashtuara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2AF" w:rsidRPr="00265D72" w:rsidRDefault="005942AF" w:rsidP="00CE0EFE">
            <w:pPr>
              <w:widowControl w:val="0"/>
              <w:spacing w:line="276" w:lineRule="auto"/>
              <w:rPr>
                <w:rFonts w:eastAsia="Times New Roman"/>
                <w:color w:val="000000"/>
                <w:lang w:val="en-US"/>
              </w:rPr>
            </w:pPr>
            <w:r w:rsidRPr="00265D72">
              <w:rPr>
                <w:rFonts w:eastAsia="Times New Roman"/>
                <w:color w:val="000000"/>
                <w:sz w:val="22"/>
                <w:szCs w:val="22"/>
                <w:lang w:val="en-US"/>
              </w:rPr>
              <w:t xml:space="preserve">2,154,241 </w:t>
            </w:r>
          </w:p>
        </w:tc>
      </w:tr>
      <w:tr w:rsidR="005942AF" w:rsidRPr="00265D72" w:rsidTr="005942AF">
        <w:trPr>
          <w:trHeight w:val="288"/>
        </w:trPr>
        <w:tc>
          <w:tcPr>
            <w:tcW w:w="6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2AF" w:rsidRPr="00265D72" w:rsidRDefault="005942AF" w:rsidP="00CE0EFE">
            <w:pPr>
              <w:widowControl w:val="0"/>
              <w:spacing w:line="276" w:lineRule="auto"/>
              <w:ind w:right="-605"/>
              <w:rPr>
                <w:rFonts w:eastAsia="Times New Roman"/>
                <w:color w:val="000000"/>
                <w:lang w:val="en-US"/>
              </w:rPr>
            </w:pPr>
            <w:proofErr w:type="spellStart"/>
            <w:r w:rsidRPr="00265D72">
              <w:rPr>
                <w:rFonts w:eastAsia="Times New Roman"/>
                <w:color w:val="000000"/>
                <w:sz w:val="22"/>
                <w:szCs w:val="22"/>
                <w:lang w:val="en-US"/>
              </w:rPr>
              <w:t>Importe</w:t>
            </w:r>
            <w:proofErr w:type="spellEnd"/>
            <w:r w:rsidRPr="00265D72">
              <w:rPr>
                <w:rFonts w:eastAsia="Times New Roman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65D72">
              <w:rPr>
                <w:rFonts w:eastAsia="Times New Roman"/>
                <w:color w:val="000000"/>
                <w:sz w:val="22"/>
                <w:szCs w:val="22"/>
                <w:lang w:val="en-US"/>
              </w:rPr>
              <w:t>mallrash</w:t>
            </w:r>
            <w:proofErr w:type="spellEnd"/>
            <w:r w:rsidRPr="00265D72">
              <w:rPr>
                <w:rFonts w:eastAsia="Times New Roman"/>
                <w:color w:val="000000"/>
                <w:sz w:val="22"/>
                <w:szCs w:val="22"/>
                <w:lang w:val="en-US"/>
              </w:rPr>
              <w:t xml:space="preserve"> me </w:t>
            </w:r>
            <w:proofErr w:type="spellStart"/>
            <w:r w:rsidRPr="00265D72">
              <w:rPr>
                <w:rFonts w:eastAsia="Times New Roman"/>
                <w:color w:val="000000"/>
                <w:sz w:val="22"/>
                <w:szCs w:val="22"/>
                <w:lang w:val="en-US"/>
              </w:rPr>
              <w:t>shkallë</w:t>
            </w:r>
            <w:proofErr w:type="spellEnd"/>
            <w:r w:rsidRPr="00265D72">
              <w:rPr>
                <w:rFonts w:eastAsia="Times New Roman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65D72">
              <w:rPr>
                <w:rFonts w:eastAsia="Times New Roman"/>
                <w:color w:val="000000"/>
                <w:sz w:val="22"/>
                <w:szCs w:val="22"/>
                <w:lang w:val="en-US"/>
              </w:rPr>
              <w:t>tatimore</w:t>
            </w:r>
            <w:proofErr w:type="spellEnd"/>
            <w:r w:rsidRPr="00265D72">
              <w:rPr>
                <w:rFonts w:eastAsia="Times New Roman"/>
                <w:color w:val="000000"/>
                <w:sz w:val="22"/>
                <w:szCs w:val="22"/>
                <w:lang w:val="en-US"/>
              </w:rPr>
              <w:t xml:space="preserve"> 20%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2AF" w:rsidRPr="00265D72" w:rsidRDefault="005942AF" w:rsidP="00CE0EFE">
            <w:pPr>
              <w:widowControl w:val="0"/>
              <w:spacing w:line="276" w:lineRule="auto"/>
              <w:rPr>
                <w:rFonts w:eastAsia="Times New Roman"/>
                <w:color w:val="000000"/>
                <w:lang w:val="en-US"/>
              </w:rPr>
            </w:pPr>
            <w:r w:rsidRPr="00265D72">
              <w:rPr>
                <w:rFonts w:eastAsia="Times New Roman"/>
                <w:color w:val="000000"/>
                <w:sz w:val="22"/>
                <w:szCs w:val="22"/>
                <w:lang w:val="en-US"/>
              </w:rPr>
              <w:t xml:space="preserve">13,516,407 </w:t>
            </w:r>
          </w:p>
        </w:tc>
      </w:tr>
      <w:tr w:rsidR="005942AF" w:rsidRPr="00265D72" w:rsidTr="005942AF">
        <w:trPr>
          <w:trHeight w:val="288"/>
        </w:trPr>
        <w:tc>
          <w:tcPr>
            <w:tcW w:w="6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2AF" w:rsidRPr="00265D72" w:rsidRDefault="005942AF" w:rsidP="00CE0EFE">
            <w:pPr>
              <w:widowControl w:val="0"/>
              <w:spacing w:line="276" w:lineRule="auto"/>
              <w:rPr>
                <w:rFonts w:eastAsia="Times New Roman"/>
                <w:color w:val="000000"/>
                <w:lang w:val="en-US"/>
              </w:rPr>
            </w:pPr>
            <w:proofErr w:type="spellStart"/>
            <w:r w:rsidRPr="00265D72">
              <w:rPr>
                <w:rFonts w:eastAsia="Times New Roman"/>
                <w:color w:val="000000"/>
                <w:sz w:val="22"/>
                <w:szCs w:val="22"/>
                <w:lang w:val="en-US"/>
              </w:rPr>
              <w:t>Blerje</w:t>
            </w:r>
            <w:proofErr w:type="spellEnd"/>
            <w:r w:rsidRPr="00265D72">
              <w:rPr>
                <w:rFonts w:eastAsia="Times New Roman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65D72">
              <w:rPr>
                <w:rFonts w:eastAsia="Times New Roman"/>
                <w:color w:val="000000"/>
                <w:sz w:val="22"/>
                <w:szCs w:val="22"/>
                <w:lang w:val="en-US"/>
              </w:rPr>
              <w:t>nga</w:t>
            </w:r>
            <w:proofErr w:type="spellEnd"/>
            <w:r w:rsidRPr="00265D72">
              <w:rPr>
                <w:rFonts w:eastAsia="Times New Roman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65D72">
              <w:rPr>
                <w:rFonts w:eastAsia="Times New Roman"/>
                <w:color w:val="000000"/>
                <w:sz w:val="22"/>
                <w:szCs w:val="22"/>
                <w:lang w:val="en-US"/>
              </w:rPr>
              <w:t>furnitorë</w:t>
            </w:r>
            <w:proofErr w:type="spellEnd"/>
            <w:r w:rsidRPr="00265D72">
              <w:rPr>
                <w:rFonts w:eastAsia="Times New Roman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65D72">
              <w:rPr>
                <w:rFonts w:eastAsia="Times New Roman"/>
                <w:color w:val="000000"/>
                <w:sz w:val="22"/>
                <w:szCs w:val="22"/>
                <w:lang w:val="en-US"/>
              </w:rPr>
              <w:t>vendas</w:t>
            </w:r>
            <w:proofErr w:type="spellEnd"/>
            <w:r w:rsidRPr="00265D72">
              <w:rPr>
                <w:rFonts w:eastAsia="Times New Roman"/>
                <w:color w:val="000000"/>
                <w:sz w:val="22"/>
                <w:szCs w:val="22"/>
                <w:lang w:val="en-US"/>
              </w:rPr>
              <w:t xml:space="preserve"> me </w:t>
            </w:r>
            <w:proofErr w:type="spellStart"/>
            <w:r w:rsidRPr="00265D72">
              <w:rPr>
                <w:rFonts w:eastAsia="Times New Roman"/>
                <w:color w:val="000000"/>
                <w:sz w:val="22"/>
                <w:szCs w:val="22"/>
                <w:lang w:val="en-US"/>
              </w:rPr>
              <w:t>shkallë</w:t>
            </w:r>
            <w:proofErr w:type="spellEnd"/>
            <w:r w:rsidRPr="00265D72">
              <w:rPr>
                <w:rFonts w:eastAsia="Times New Roman"/>
                <w:color w:val="000000"/>
                <w:sz w:val="22"/>
                <w:szCs w:val="22"/>
                <w:lang w:val="en-US"/>
              </w:rPr>
              <w:t xml:space="preserve"> 20%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2AF" w:rsidRPr="00265D72" w:rsidRDefault="005942AF" w:rsidP="00CE0EFE">
            <w:pPr>
              <w:widowControl w:val="0"/>
              <w:spacing w:line="276" w:lineRule="auto"/>
              <w:rPr>
                <w:rFonts w:eastAsia="Times New Roman"/>
                <w:color w:val="000000"/>
                <w:lang w:val="en-US"/>
              </w:rPr>
            </w:pPr>
            <w:r w:rsidRPr="00265D72">
              <w:rPr>
                <w:rFonts w:eastAsia="Times New Roman"/>
                <w:color w:val="000000"/>
                <w:sz w:val="22"/>
                <w:szCs w:val="22"/>
                <w:lang w:val="en-US"/>
              </w:rPr>
              <w:t xml:space="preserve">224,279,519 </w:t>
            </w:r>
          </w:p>
        </w:tc>
      </w:tr>
      <w:tr w:rsidR="005942AF" w:rsidRPr="00265D72" w:rsidTr="005942AF">
        <w:trPr>
          <w:trHeight w:val="288"/>
        </w:trPr>
        <w:tc>
          <w:tcPr>
            <w:tcW w:w="6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2AF" w:rsidRPr="00265D72" w:rsidRDefault="005942AF" w:rsidP="00CE0EFE">
            <w:pPr>
              <w:widowControl w:val="0"/>
              <w:spacing w:line="276" w:lineRule="auto"/>
              <w:rPr>
                <w:rFonts w:eastAsia="Times New Roman"/>
                <w:b/>
                <w:bCs/>
                <w:color w:val="000000"/>
                <w:lang w:val="en-US"/>
              </w:rPr>
            </w:pPr>
            <w:proofErr w:type="spellStart"/>
            <w:r w:rsidRPr="00265D72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  <w:t>Totali</w:t>
            </w:r>
            <w:proofErr w:type="spellEnd"/>
            <w:r w:rsidRPr="00265D72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65D72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  <w:t>i</w:t>
            </w:r>
            <w:proofErr w:type="spellEnd"/>
            <w:r w:rsidRPr="00265D72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65D72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  <w:t>blerjeve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2AF" w:rsidRPr="00265D72" w:rsidRDefault="005942AF" w:rsidP="00CE0EFE">
            <w:pPr>
              <w:widowControl w:val="0"/>
              <w:spacing w:line="276" w:lineRule="auto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265D72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  <w:t xml:space="preserve">239,950,167 </w:t>
            </w:r>
          </w:p>
        </w:tc>
      </w:tr>
      <w:tr w:rsidR="005942AF" w:rsidRPr="00265D72" w:rsidTr="005942AF">
        <w:trPr>
          <w:trHeight w:val="288"/>
        </w:trPr>
        <w:tc>
          <w:tcPr>
            <w:tcW w:w="6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2AF" w:rsidRPr="00265D72" w:rsidRDefault="005942AF" w:rsidP="00CE0EFE">
            <w:pPr>
              <w:widowControl w:val="0"/>
              <w:spacing w:line="276" w:lineRule="auto"/>
              <w:rPr>
                <w:rFonts w:eastAsia="Times New Roman"/>
                <w:color w:val="000000"/>
                <w:lang w:val="en-US"/>
              </w:rPr>
            </w:pPr>
            <w:r w:rsidRPr="00265D72">
              <w:rPr>
                <w:rFonts w:eastAsia="Times New Roman"/>
                <w:color w:val="000000"/>
                <w:sz w:val="22"/>
                <w:szCs w:val="22"/>
                <w:lang w:val="en-US"/>
              </w:rPr>
              <w:t xml:space="preserve">TVSH e </w:t>
            </w:r>
            <w:proofErr w:type="spellStart"/>
            <w:r w:rsidRPr="00265D72">
              <w:rPr>
                <w:rFonts w:eastAsia="Times New Roman"/>
                <w:color w:val="000000"/>
                <w:sz w:val="22"/>
                <w:szCs w:val="22"/>
                <w:lang w:val="en-US"/>
              </w:rPr>
              <w:t>zbritshme</w:t>
            </w:r>
            <w:proofErr w:type="spellEnd"/>
            <w:r w:rsidRPr="00265D72">
              <w:rPr>
                <w:rFonts w:eastAsia="Times New Roman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65D72">
              <w:rPr>
                <w:rFonts w:eastAsia="Times New Roman"/>
                <w:color w:val="000000"/>
                <w:sz w:val="22"/>
                <w:szCs w:val="22"/>
                <w:lang w:val="en-US"/>
              </w:rPr>
              <w:t>për</w:t>
            </w:r>
            <w:proofErr w:type="spellEnd"/>
            <w:r w:rsidRPr="00265D72">
              <w:rPr>
                <w:rFonts w:eastAsia="Times New Roman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65D72">
              <w:rPr>
                <w:rFonts w:eastAsia="Times New Roman"/>
                <w:color w:val="000000"/>
                <w:sz w:val="22"/>
                <w:szCs w:val="22"/>
                <w:lang w:val="en-US"/>
              </w:rPr>
              <w:t>importet</w:t>
            </w:r>
            <w:proofErr w:type="spellEnd"/>
            <w:r w:rsidRPr="00265D72">
              <w:rPr>
                <w:rFonts w:eastAsia="Times New Roman"/>
                <w:color w:val="000000"/>
                <w:sz w:val="22"/>
                <w:szCs w:val="22"/>
                <w:lang w:val="en-US"/>
              </w:rPr>
              <w:t xml:space="preserve"> me </w:t>
            </w:r>
            <w:proofErr w:type="spellStart"/>
            <w:r w:rsidRPr="00265D72">
              <w:rPr>
                <w:rFonts w:eastAsia="Times New Roman"/>
                <w:color w:val="000000"/>
                <w:sz w:val="22"/>
                <w:szCs w:val="22"/>
                <w:lang w:val="en-US"/>
              </w:rPr>
              <w:t>shkallë</w:t>
            </w:r>
            <w:proofErr w:type="spellEnd"/>
            <w:r w:rsidRPr="00265D72">
              <w:rPr>
                <w:rFonts w:eastAsia="Times New Roman"/>
                <w:color w:val="000000"/>
                <w:sz w:val="22"/>
                <w:szCs w:val="22"/>
                <w:lang w:val="en-US"/>
              </w:rPr>
              <w:t xml:space="preserve"> 20%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2AF" w:rsidRPr="00265D72" w:rsidRDefault="005942AF" w:rsidP="00CE0EFE">
            <w:pPr>
              <w:widowControl w:val="0"/>
              <w:spacing w:line="276" w:lineRule="auto"/>
              <w:rPr>
                <w:rFonts w:eastAsia="Times New Roman"/>
                <w:color w:val="000000"/>
                <w:lang w:val="en-US"/>
              </w:rPr>
            </w:pPr>
            <w:r w:rsidRPr="00265D72">
              <w:rPr>
                <w:rFonts w:eastAsia="Times New Roman"/>
                <w:color w:val="000000"/>
                <w:sz w:val="22"/>
                <w:szCs w:val="22"/>
                <w:lang w:val="en-US"/>
              </w:rPr>
              <w:t xml:space="preserve">2,703,281 </w:t>
            </w:r>
          </w:p>
        </w:tc>
      </w:tr>
      <w:tr w:rsidR="005942AF" w:rsidRPr="00265D72" w:rsidTr="005942AF">
        <w:trPr>
          <w:trHeight w:val="288"/>
        </w:trPr>
        <w:tc>
          <w:tcPr>
            <w:tcW w:w="6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2AF" w:rsidRPr="00265D72" w:rsidRDefault="005942AF" w:rsidP="00CE0EFE">
            <w:pPr>
              <w:widowControl w:val="0"/>
              <w:spacing w:line="276" w:lineRule="auto"/>
              <w:rPr>
                <w:rFonts w:eastAsia="Times New Roman"/>
                <w:color w:val="000000"/>
                <w:lang w:val="en-US"/>
              </w:rPr>
            </w:pPr>
            <w:r w:rsidRPr="00265D72">
              <w:rPr>
                <w:rFonts w:eastAsia="Times New Roman"/>
                <w:color w:val="000000"/>
                <w:sz w:val="22"/>
                <w:szCs w:val="22"/>
                <w:lang w:val="en-US"/>
              </w:rPr>
              <w:t xml:space="preserve">TVSH e </w:t>
            </w:r>
            <w:proofErr w:type="spellStart"/>
            <w:r w:rsidRPr="00265D72">
              <w:rPr>
                <w:rFonts w:eastAsia="Times New Roman"/>
                <w:color w:val="000000"/>
                <w:sz w:val="22"/>
                <w:szCs w:val="22"/>
                <w:lang w:val="en-US"/>
              </w:rPr>
              <w:t>zbritshme</w:t>
            </w:r>
            <w:proofErr w:type="spellEnd"/>
            <w:r w:rsidRPr="00265D72">
              <w:rPr>
                <w:rFonts w:eastAsia="Times New Roman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65D72">
              <w:rPr>
                <w:rFonts w:eastAsia="Times New Roman"/>
                <w:color w:val="000000"/>
                <w:sz w:val="22"/>
                <w:szCs w:val="22"/>
                <w:lang w:val="en-US"/>
              </w:rPr>
              <w:t>për</w:t>
            </w:r>
            <w:proofErr w:type="spellEnd"/>
            <w:r w:rsidRPr="00265D72">
              <w:rPr>
                <w:rFonts w:eastAsia="Times New Roman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65D72">
              <w:rPr>
                <w:rFonts w:eastAsia="Times New Roman"/>
                <w:color w:val="000000"/>
                <w:sz w:val="22"/>
                <w:szCs w:val="22"/>
                <w:lang w:val="en-US"/>
              </w:rPr>
              <w:t>blerjet</w:t>
            </w:r>
            <w:proofErr w:type="spellEnd"/>
            <w:r w:rsidRPr="00265D72">
              <w:rPr>
                <w:rFonts w:eastAsia="Times New Roman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65D72">
              <w:rPr>
                <w:rFonts w:eastAsia="Times New Roman"/>
                <w:color w:val="000000"/>
                <w:sz w:val="22"/>
                <w:szCs w:val="22"/>
                <w:lang w:val="en-US"/>
              </w:rPr>
              <w:t>brenda</w:t>
            </w:r>
            <w:proofErr w:type="spellEnd"/>
            <w:r w:rsidRPr="00265D72">
              <w:rPr>
                <w:rFonts w:eastAsia="Times New Roman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65D72">
              <w:rPr>
                <w:rFonts w:eastAsia="Times New Roman"/>
                <w:color w:val="000000"/>
                <w:sz w:val="22"/>
                <w:szCs w:val="22"/>
                <w:lang w:val="en-US"/>
              </w:rPr>
              <w:t>vendit</w:t>
            </w:r>
            <w:proofErr w:type="spellEnd"/>
            <w:r w:rsidRPr="00265D72">
              <w:rPr>
                <w:rFonts w:eastAsia="Times New Roman"/>
                <w:color w:val="000000"/>
                <w:sz w:val="22"/>
                <w:szCs w:val="22"/>
                <w:lang w:val="en-US"/>
              </w:rPr>
              <w:t xml:space="preserve"> me </w:t>
            </w:r>
            <w:proofErr w:type="spellStart"/>
            <w:r w:rsidRPr="00265D72">
              <w:rPr>
                <w:rFonts w:eastAsia="Times New Roman"/>
                <w:color w:val="000000"/>
                <w:sz w:val="22"/>
                <w:szCs w:val="22"/>
                <w:lang w:val="en-US"/>
              </w:rPr>
              <w:t>shkallë</w:t>
            </w:r>
            <w:proofErr w:type="spellEnd"/>
            <w:r w:rsidRPr="00265D72">
              <w:rPr>
                <w:rFonts w:eastAsia="Times New Roman"/>
                <w:color w:val="000000"/>
                <w:sz w:val="22"/>
                <w:szCs w:val="22"/>
                <w:lang w:val="en-US"/>
              </w:rPr>
              <w:t xml:space="preserve"> 205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2AF" w:rsidRPr="00265D72" w:rsidRDefault="005942AF" w:rsidP="00CE0EFE">
            <w:pPr>
              <w:widowControl w:val="0"/>
              <w:spacing w:line="276" w:lineRule="auto"/>
              <w:rPr>
                <w:rFonts w:eastAsia="Times New Roman"/>
                <w:color w:val="000000"/>
                <w:lang w:val="en-US"/>
              </w:rPr>
            </w:pPr>
            <w:r w:rsidRPr="00265D72">
              <w:rPr>
                <w:rFonts w:eastAsia="Times New Roman"/>
                <w:color w:val="000000"/>
                <w:sz w:val="22"/>
                <w:szCs w:val="22"/>
                <w:lang w:val="en-US"/>
              </w:rPr>
              <w:t xml:space="preserve">44,855,904 </w:t>
            </w:r>
          </w:p>
        </w:tc>
      </w:tr>
      <w:tr w:rsidR="005942AF" w:rsidRPr="00265D72" w:rsidTr="005942AF">
        <w:trPr>
          <w:trHeight w:val="288"/>
        </w:trPr>
        <w:tc>
          <w:tcPr>
            <w:tcW w:w="6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2AF" w:rsidRPr="00265D72" w:rsidRDefault="005942AF" w:rsidP="00CE0EFE">
            <w:pPr>
              <w:widowControl w:val="0"/>
              <w:spacing w:line="276" w:lineRule="auto"/>
              <w:rPr>
                <w:rFonts w:eastAsia="Times New Roman"/>
                <w:b/>
                <w:bCs/>
                <w:color w:val="000000"/>
                <w:lang w:val="en-US"/>
              </w:rPr>
            </w:pPr>
            <w:proofErr w:type="spellStart"/>
            <w:r w:rsidRPr="00265D72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  <w:t>Totali</w:t>
            </w:r>
            <w:proofErr w:type="spellEnd"/>
            <w:r w:rsidRPr="00265D72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65D72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  <w:t>i</w:t>
            </w:r>
            <w:proofErr w:type="spellEnd"/>
            <w:r w:rsidRPr="00265D72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  <w:t xml:space="preserve"> TVSH-</w:t>
            </w:r>
            <w:proofErr w:type="spellStart"/>
            <w:r w:rsidRPr="00265D72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  <w:t>së</w:t>
            </w:r>
            <w:proofErr w:type="spellEnd"/>
            <w:r w:rsidRPr="00265D72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65D72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  <w:t>së</w:t>
            </w:r>
            <w:proofErr w:type="spellEnd"/>
            <w:r w:rsidRPr="00265D72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65D72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  <w:t>zbritshme</w:t>
            </w:r>
            <w:proofErr w:type="spellEnd"/>
            <w:r w:rsidRPr="00265D72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65D72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  <w:t>nga</w:t>
            </w:r>
            <w:proofErr w:type="spellEnd"/>
            <w:r w:rsidRPr="00265D72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65D72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  <w:t>shoqëria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2AF" w:rsidRPr="00265D72" w:rsidRDefault="005942AF" w:rsidP="00CE0EFE">
            <w:pPr>
              <w:widowControl w:val="0"/>
              <w:spacing w:line="276" w:lineRule="auto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265D72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  <w:t xml:space="preserve">47,559,185 </w:t>
            </w:r>
          </w:p>
        </w:tc>
      </w:tr>
      <w:tr w:rsidR="005942AF" w:rsidRPr="00265D72" w:rsidTr="005942AF">
        <w:trPr>
          <w:trHeight w:val="288"/>
        </w:trPr>
        <w:tc>
          <w:tcPr>
            <w:tcW w:w="6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2AF" w:rsidRPr="00265D72" w:rsidRDefault="005942AF" w:rsidP="00CE0EFE">
            <w:pPr>
              <w:widowControl w:val="0"/>
              <w:spacing w:line="276" w:lineRule="auto"/>
              <w:rPr>
                <w:rFonts w:eastAsia="Times New Roman"/>
                <w:color w:val="000000"/>
                <w:lang w:val="en-US"/>
              </w:rPr>
            </w:pPr>
            <w:proofErr w:type="spellStart"/>
            <w:r w:rsidRPr="00265D72">
              <w:rPr>
                <w:rFonts w:eastAsia="Times New Roman"/>
                <w:color w:val="000000"/>
                <w:sz w:val="22"/>
                <w:szCs w:val="22"/>
                <w:lang w:val="en-US"/>
              </w:rPr>
              <w:t>Koeficienti</w:t>
            </w:r>
            <w:proofErr w:type="spellEnd"/>
            <w:r w:rsidRPr="00265D72">
              <w:rPr>
                <w:rFonts w:eastAsia="Times New Roman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65D72">
              <w:rPr>
                <w:rFonts w:eastAsia="Times New Roman"/>
                <w:color w:val="000000"/>
                <w:sz w:val="22"/>
                <w:szCs w:val="22"/>
                <w:lang w:val="en-US"/>
              </w:rPr>
              <w:t>i</w:t>
            </w:r>
            <w:proofErr w:type="spellEnd"/>
            <w:r w:rsidRPr="00265D72">
              <w:rPr>
                <w:rFonts w:eastAsia="Times New Roman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65D72">
              <w:rPr>
                <w:rFonts w:eastAsia="Times New Roman"/>
                <w:color w:val="000000"/>
                <w:sz w:val="22"/>
                <w:szCs w:val="22"/>
                <w:lang w:val="en-US"/>
              </w:rPr>
              <w:t>zbritjes</w:t>
            </w:r>
            <w:proofErr w:type="spellEnd"/>
            <w:r w:rsidRPr="00265D72">
              <w:rPr>
                <w:rFonts w:eastAsia="Times New Roman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65D72">
              <w:rPr>
                <w:rFonts w:eastAsia="Times New Roman"/>
                <w:color w:val="000000"/>
                <w:sz w:val="22"/>
                <w:szCs w:val="22"/>
                <w:lang w:val="en-US"/>
              </w:rPr>
              <w:t>së</w:t>
            </w:r>
            <w:proofErr w:type="spellEnd"/>
            <w:r w:rsidRPr="00265D72">
              <w:rPr>
                <w:rFonts w:eastAsia="Times New Roman"/>
                <w:color w:val="000000"/>
                <w:sz w:val="22"/>
                <w:szCs w:val="22"/>
                <w:lang w:val="en-US"/>
              </w:rPr>
              <w:t xml:space="preserve"> TVSH </w:t>
            </w:r>
            <w:proofErr w:type="spellStart"/>
            <w:r w:rsidRPr="00265D72">
              <w:rPr>
                <w:rFonts w:eastAsia="Times New Roman"/>
                <w:color w:val="000000"/>
                <w:sz w:val="22"/>
                <w:szCs w:val="22"/>
                <w:lang w:val="en-US"/>
              </w:rPr>
              <w:t>në</w:t>
            </w:r>
            <w:proofErr w:type="spellEnd"/>
            <w:r w:rsidRPr="00265D72">
              <w:rPr>
                <w:rFonts w:eastAsia="Times New Roman"/>
                <w:color w:val="000000"/>
                <w:sz w:val="22"/>
                <w:szCs w:val="22"/>
                <w:lang w:val="en-US"/>
              </w:rPr>
              <w:t xml:space="preserve"> %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2AF" w:rsidRPr="00265D72" w:rsidRDefault="005942AF" w:rsidP="00CE0EFE">
            <w:pPr>
              <w:widowControl w:val="0"/>
              <w:spacing w:line="276" w:lineRule="auto"/>
              <w:rPr>
                <w:rFonts w:eastAsia="Times New Roman"/>
                <w:color w:val="000000"/>
                <w:lang w:val="en-US"/>
              </w:rPr>
            </w:pPr>
            <w:r w:rsidRPr="00265D72">
              <w:rPr>
                <w:rFonts w:eastAsia="Times New Roman"/>
                <w:color w:val="000000"/>
                <w:sz w:val="22"/>
                <w:szCs w:val="22"/>
                <w:lang w:val="en-US"/>
              </w:rPr>
              <w:t>98.18%</w:t>
            </w:r>
          </w:p>
        </w:tc>
      </w:tr>
      <w:tr w:rsidR="005942AF" w:rsidRPr="00265D72" w:rsidTr="005942AF">
        <w:trPr>
          <w:trHeight w:val="288"/>
        </w:trPr>
        <w:tc>
          <w:tcPr>
            <w:tcW w:w="6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2AF" w:rsidRPr="00265D72" w:rsidRDefault="005942AF" w:rsidP="00CE0EFE">
            <w:pPr>
              <w:widowControl w:val="0"/>
              <w:spacing w:line="276" w:lineRule="auto"/>
              <w:rPr>
                <w:rFonts w:eastAsia="Times New Roman"/>
                <w:color w:val="000000"/>
                <w:lang w:val="en-US"/>
              </w:rPr>
            </w:pPr>
            <w:r w:rsidRPr="00265D72">
              <w:rPr>
                <w:rFonts w:eastAsia="Times New Roman"/>
                <w:color w:val="000000"/>
                <w:sz w:val="22"/>
                <w:szCs w:val="22"/>
                <w:lang w:val="en-US"/>
              </w:rPr>
              <w:t>TVSH-</w:t>
            </w:r>
            <w:proofErr w:type="spellStart"/>
            <w:r w:rsidRPr="00265D72">
              <w:rPr>
                <w:rFonts w:eastAsia="Times New Roman"/>
                <w:color w:val="000000"/>
                <w:sz w:val="22"/>
                <w:szCs w:val="22"/>
                <w:lang w:val="en-US"/>
              </w:rPr>
              <w:t>ja</w:t>
            </w:r>
            <w:proofErr w:type="spellEnd"/>
            <w:r w:rsidRPr="00265D72">
              <w:rPr>
                <w:rFonts w:eastAsia="Times New Roman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65D72">
              <w:rPr>
                <w:rFonts w:eastAsia="Times New Roman"/>
                <w:color w:val="000000"/>
                <w:sz w:val="22"/>
                <w:szCs w:val="22"/>
                <w:lang w:val="en-US"/>
              </w:rPr>
              <w:t>që</w:t>
            </w:r>
            <w:proofErr w:type="spellEnd"/>
            <w:r w:rsidRPr="00265D72">
              <w:rPr>
                <w:rFonts w:eastAsia="Times New Roman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65D72">
              <w:rPr>
                <w:rFonts w:eastAsia="Times New Roman"/>
                <w:color w:val="000000"/>
                <w:sz w:val="22"/>
                <w:szCs w:val="22"/>
                <w:lang w:val="en-US"/>
              </w:rPr>
              <w:t>duhej</w:t>
            </w:r>
            <w:proofErr w:type="spellEnd"/>
            <w:r w:rsidRPr="00265D72">
              <w:rPr>
                <w:rFonts w:eastAsia="Times New Roman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65D72">
              <w:rPr>
                <w:rFonts w:eastAsia="Times New Roman"/>
                <w:color w:val="000000"/>
                <w:sz w:val="22"/>
                <w:szCs w:val="22"/>
                <w:lang w:val="en-US"/>
              </w:rPr>
              <w:t>të</w:t>
            </w:r>
            <w:proofErr w:type="spellEnd"/>
            <w:r w:rsidRPr="00265D72">
              <w:rPr>
                <w:rFonts w:eastAsia="Times New Roman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65D72">
              <w:rPr>
                <w:rFonts w:eastAsia="Times New Roman"/>
                <w:color w:val="000000"/>
                <w:sz w:val="22"/>
                <w:szCs w:val="22"/>
                <w:lang w:val="en-US"/>
              </w:rPr>
              <w:t>zbritet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2AF" w:rsidRPr="00265D72" w:rsidRDefault="005942AF" w:rsidP="00CE0EFE">
            <w:pPr>
              <w:widowControl w:val="0"/>
              <w:spacing w:line="276" w:lineRule="auto"/>
              <w:rPr>
                <w:rFonts w:eastAsia="Times New Roman"/>
                <w:color w:val="000000"/>
                <w:lang w:val="en-US"/>
              </w:rPr>
            </w:pPr>
            <w:r w:rsidRPr="00265D72">
              <w:rPr>
                <w:rFonts w:eastAsia="Times New Roman"/>
                <w:color w:val="000000"/>
                <w:sz w:val="22"/>
                <w:szCs w:val="22"/>
                <w:lang w:val="en-US"/>
              </w:rPr>
              <w:t xml:space="preserve">46,693,608 </w:t>
            </w:r>
          </w:p>
        </w:tc>
      </w:tr>
      <w:tr w:rsidR="005942AF" w:rsidRPr="00265D72" w:rsidTr="005942AF">
        <w:trPr>
          <w:trHeight w:val="288"/>
        </w:trPr>
        <w:tc>
          <w:tcPr>
            <w:tcW w:w="6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2AF" w:rsidRPr="00265D72" w:rsidRDefault="005942AF" w:rsidP="00CE0EFE">
            <w:pPr>
              <w:widowControl w:val="0"/>
              <w:spacing w:line="276" w:lineRule="auto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265D72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  <w:t>TVSH-</w:t>
            </w:r>
            <w:proofErr w:type="spellStart"/>
            <w:r w:rsidRPr="00265D72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  <w:t>ja</w:t>
            </w:r>
            <w:proofErr w:type="spellEnd"/>
            <w:r w:rsidRPr="00265D72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  <w:t xml:space="preserve"> e </w:t>
            </w:r>
            <w:proofErr w:type="spellStart"/>
            <w:r w:rsidRPr="00265D72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  <w:t>kredituar</w:t>
            </w:r>
            <w:proofErr w:type="spellEnd"/>
            <w:r w:rsidRPr="00265D72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65D72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  <w:t>më</w:t>
            </w:r>
            <w:proofErr w:type="spellEnd"/>
            <w:r w:rsidRPr="00265D72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65D72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  <w:t>tepër</w:t>
            </w:r>
            <w:proofErr w:type="spellEnd"/>
            <w:r w:rsidRPr="00265D72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65D72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  <w:t>për</w:t>
            </w:r>
            <w:proofErr w:type="spellEnd"/>
            <w:r w:rsidRPr="00265D72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65D72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  <w:t>periudhën</w:t>
            </w:r>
            <w:proofErr w:type="spellEnd"/>
            <w:r w:rsidRPr="00265D72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  <w:t xml:space="preserve"> e </w:t>
            </w:r>
            <w:proofErr w:type="spellStart"/>
            <w:r w:rsidRPr="00265D72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  <w:t>kontrollit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2AF" w:rsidRPr="00265D72" w:rsidRDefault="005942AF" w:rsidP="00CE0EFE">
            <w:pPr>
              <w:widowControl w:val="0"/>
              <w:spacing w:line="276" w:lineRule="auto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265D72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  <w:t xml:space="preserve">865,577 </w:t>
            </w:r>
          </w:p>
        </w:tc>
      </w:tr>
    </w:tbl>
    <w:p w:rsidR="005942AF" w:rsidRPr="00265D72" w:rsidRDefault="005942AF" w:rsidP="00CE0EFE">
      <w:pPr>
        <w:widowControl w:val="0"/>
        <w:spacing w:line="276" w:lineRule="auto"/>
        <w:jc w:val="both"/>
      </w:pPr>
    </w:p>
    <w:p w:rsidR="005942AF" w:rsidRPr="00265D72" w:rsidRDefault="008F20C3" w:rsidP="00CE0EFE">
      <w:pPr>
        <w:widowControl w:val="0"/>
        <w:spacing w:line="276" w:lineRule="auto"/>
        <w:jc w:val="both"/>
      </w:pPr>
      <w:r w:rsidRPr="00265D72">
        <w:t>Sa m</w:t>
      </w:r>
      <w:r w:rsidR="00D04564" w:rsidRPr="00265D72">
        <w:t>ë</w:t>
      </w:r>
      <w:r w:rsidRPr="00265D72">
        <w:t xml:space="preserve"> sip</w:t>
      </w:r>
      <w:r w:rsidR="00D04564" w:rsidRPr="00265D72">
        <w:t>ë</w:t>
      </w:r>
      <w:r w:rsidRPr="00265D72">
        <w:t>r, shoq</w:t>
      </w:r>
      <w:r w:rsidR="00D04564" w:rsidRPr="00265D72">
        <w:t>ë</w:t>
      </w:r>
      <w:r w:rsidRPr="00265D72">
        <w:t>ria duhet t</w:t>
      </w:r>
      <w:r w:rsidR="00D04564" w:rsidRPr="00265D72">
        <w:t>ë</w:t>
      </w:r>
      <w:r w:rsidRPr="00265D72">
        <w:t xml:space="preserve"> korrigjonte TVSH-n</w:t>
      </w:r>
      <w:r w:rsidR="00D04564" w:rsidRPr="00265D72">
        <w:t>ë</w:t>
      </w:r>
      <w:r w:rsidRPr="00265D72">
        <w:t xml:space="preserve"> p</w:t>
      </w:r>
      <w:r w:rsidR="00D04564" w:rsidRPr="00265D72">
        <w:t>ë</w:t>
      </w:r>
      <w:r w:rsidRPr="00265D72">
        <w:t>r vler</w:t>
      </w:r>
      <w:r w:rsidR="00D04564" w:rsidRPr="00265D72">
        <w:t>ë</w:t>
      </w:r>
      <w:r w:rsidRPr="00265D72">
        <w:t>n 865,577 lek</w:t>
      </w:r>
      <w:r w:rsidR="00D04564" w:rsidRPr="00265D72">
        <w:t>ë</w:t>
      </w:r>
      <w:r w:rsidRPr="00265D72">
        <w:t>, n</w:t>
      </w:r>
      <w:r w:rsidR="00D04564" w:rsidRPr="00265D72">
        <w:t>ë</w:t>
      </w:r>
      <w:r w:rsidRPr="00265D72">
        <w:t xml:space="preserve"> muajin Janar 2022, por sipas paragrafit 9 t</w:t>
      </w:r>
      <w:r w:rsidR="00D04564" w:rsidRPr="00265D72">
        <w:t>ë</w:t>
      </w:r>
      <w:r w:rsidRPr="00265D72">
        <w:t xml:space="preserve"> pik</w:t>
      </w:r>
      <w:r w:rsidR="00D04564" w:rsidRPr="00265D72">
        <w:t>ë</w:t>
      </w:r>
      <w:r w:rsidRPr="00265D72">
        <w:t>s 3 neni 56 t</w:t>
      </w:r>
      <w:r w:rsidR="00D04564" w:rsidRPr="00265D72">
        <w:t>ë</w:t>
      </w:r>
      <w:r w:rsidRPr="00265D72">
        <w:t xml:space="preserve"> Udh</w:t>
      </w:r>
      <w:r w:rsidR="00D04564" w:rsidRPr="00265D72">
        <w:t>ë</w:t>
      </w:r>
      <w:r w:rsidRPr="00265D72">
        <w:t>zimit Nr.6 dat</w:t>
      </w:r>
      <w:r w:rsidR="00D04564" w:rsidRPr="00265D72">
        <w:t>ë</w:t>
      </w:r>
      <w:r w:rsidRPr="00265D72">
        <w:t xml:space="preserve"> 30.01.2015 “P</w:t>
      </w:r>
      <w:r w:rsidR="00D04564" w:rsidRPr="00265D72">
        <w:t>ë</w:t>
      </w:r>
      <w:r w:rsidRPr="00265D72">
        <w:t>r TVSH-n</w:t>
      </w:r>
      <w:r w:rsidR="00D04564" w:rsidRPr="00265D72">
        <w:t>ë</w:t>
      </w:r>
      <w:r w:rsidRPr="00265D72">
        <w:t xml:space="preserve"> n</w:t>
      </w:r>
      <w:r w:rsidR="00D04564" w:rsidRPr="00265D72">
        <w:t>ë</w:t>
      </w:r>
      <w:r w:rsidRPr="00265D72">
        <w:t xml:space="preserve"> RSH” ku p</w:t>
      </w:r>
      <w:r w:rsidR="00D04564" w:rsidRPr="00265D72">
        <w:t>ë</w:t>
      </w:r>
      <w:r w:rsidRPr="00265D72">
        <w:t xml:space="preserve">rcaktohet se </w:t>
      </w:r>
      <w:r w:rsidRPr="00265D72">
        <w:rPr>
          <w:i/>
        </w:rPr>
        <w:t>“</w:t>
      </w:r>
      <w:r w:rsidRPr="00265D72">
        <w:rPr>
          <w:i/>
          <w:color w:val="000000"/>
        </w:rPr>
        <w:t xml:space="preserve">Personi i tatueshëm nuk është i detyruar të korrigjoje zbritjen e TVSH-së sipas koeficientit përfundimtar nëse ndryshimi në TVSH-në e zbritshme është më i vogël se 20.000 (njëzet mijë) lekë”... </w:t>
      </w:r>
      <w:r w:rsidRPr="00265D72">
        <w:rPr>
          <w:color w:val="000000"/>
        </w:rPr>
        <w:t>dhe n</w:t>
      </w:r>
      <w:r w:rsidR="00D04564" w:rsidRPr="00265D72">
        <w:rPr>
          <w:color w:val="000000"/>
        </w:rPr>
        <w:t>ë</w:t>
      </w:r>
      <w:r w:rsidRPr="00265D72">
        <w:rPr>
          <w:color w:val="000000"/>
        </w:rPr>
        <w:t xml:space="preserve"> rastin konkret vlera e TVSH-s</w:t>
      </w:r>
      <w:r w:rsidR="00D04564" w:rsidRPr="00265D72">
        <w:rPr>
          <w:color w:val="000000"/>
        </w:rPr>
        <w:t>ë</w:t>
      </w:r>
      <w:r w:rsidRPr="00265D72">
        <w:rPr>
          <w:color w:val="000000"/>
        </w:rPr>
        <w:t xml:space="preserve"> q</w:t>
      </w:r>
      <w:r w:rsidR="00D04564" w:rsidRPr="00265D72">
        <w:rPr>
          <w:color w:val="000000"/>
        </w:rPr>
        <w:t>ë</w:t>
      </w:r>
      <w:r w:rsidRPr="00265D72">
        <w:rPr>
          <w:color w:val="000000"/>
        </w:rPr>
        <w:t xml:space="preserve"> duhej korrigjuar </w:t>
      </w:r>
      <w:r w:rsidR="00D04564" w:rsidRPr="00265D72">
        <w:rPr>
          <w:color w:val="000000"/>
        </w:rPr>
        <w:t>ë</w:t>
      </w:r>
      <w:r w:rsidRPr="00265D72">
        <w:rPr>
          <w:color w:val="000000"/>
        </w:rPr>
        <w:t>sht</w:t>
      </w:r>
      <w:r w:rsidR="00D04564" w:rsidRPr="00265D72">
        <w:rPr>
          <w:color w:val="000000"/>
        </w:rPr>
        <w:t>ë</w:t>
      </w:r>
      <w:r w:rsidRPr="00265D72">
        <w:rPr>
          <w:color w:val="000000"/>
        </w:rPr>
        <w:t xml:space="preserve"> 865,577 lek</w:t>
      </w:r>
      <w:r w:rsidR="00D04564" w:rsidRPr="00265D72">
        <w:rPr>
          <w:color w:val="000000"/>
        </w:rPr>
        <w:t>ë</w:t>
      </w:r>
      <w:r w:rsidRPr="00265D72">
        <w:rPr>
          <w:color w:val="000000"/>
        </w:rPr>
        <w:t>, meq</w:t>
      </w:r>
      <w:r w:rsidR="00D04564" w:rsidRPr="00265D72">
        <w:rPr>
          <w:color w:val="000000"/>
        </w:rPr>
        <w:t>ë</w:t>
      </w:r>
      <w:r w:rsidRPr="00265D72">
        <w:rPr>
          <w:color w:val="000000"/>
        </w:rPr>
        <w:t>n</w:t>
      </w:r>
      <w:r w:rsidR="00D04564" w:rsidRPr="00265D72">
        <w:rPr>
          <w:color w:val="000000"/>
        </w:rPr>
        <w:t>ë</w:t>
      </w:r>
      <w:r w:rsidRPr="00265D72">
        <w:rPr>
          <w:color w:val="000000"/>
        </w:rPr>
        <w:t xml:space="preserve">se vlera </w:t>
      </w:r>
      <w:r w:rsidR="00D04564" w:rsidRPr="00265D72">
        <w:rPr>
          <w:color w:val="000000"/>
        </w:rPr>
        <w:t>ë</w:t>
      </w:r>
      <w:r w:rsidRPr="00265D72">
        <w:rPr>
          <w:color w:val="000000"/>
        </w:rPr>
        <w:t>sht</w:t>
      </w:r>
      <w:r w:rsidR="00D04564" w:rsidRPr="00265D72">
        <w:rPr>
          <w:color w:val="000000"/>
        </w:rPr>
        <w:t>ë</w:t>
      </w:r>
      <w:r w:rsidRPr="00265D72">
        <w:rPr>
          <w:color w:val="000000"/>
        </w:rPr>
        <w:t xml:space="preserve"> m</w:t>
      </w:r>
      <w:r w:rsidR="00D04564" w:rsidRPr="00265D72">
        <w:rPr>
          <w:color w:val="000000"/>
        </w:rPr>
        <w:t>ë</w:t>
      </w:r>
      <w:r w:rsidRPr="00265D72">
        <w:rPr>
          <w:color w:val="000000"/>
        </w:rPr>
        <w:t xml:space="preserve"> e madhe se 20,000 lek</w:t>
      </w:r>
      <w:r w:rsidR="00D04564" w:rsidRPr="00265D72">
        <w:rPr>
          <w:color w:val="000000"/>
        </w:rPr>
        <w:t>ë</w:t>
      </w:r>
      <w:r w:rsidRPr="00265D72">
        <w:rPr>
          <w:color w:val="000000"/>
        </w:rPr>
        <w:t>, shoq</w:t>
      </w:r>
      <w:r w:rsidR="00D04564" w:rsidRPr="00265D72">
        <w:rPr>
          <w:color w:val="000000"/>
        </w:rPr>
        <w:t>ë</w:t>
      </w:r>
      <w:r w:rsidRPr="00265D72">
        <w:rPr>
          <w:color w:val="000000"/>
        </w:rPr>
        <w:t>ria duhej t</w:t>
      </w:r>
      <w:r w:rsidR="00D04564" w:rsidRPr="00265D72">
        <w:rPr>
          <w:color w:val="000000"/>
        </w:rPr>
        <w:t>ë</w:t>
      </w:r>
      <w:r w:rsidRPr="00265D72">
        <w:rPr>
          <w:color w:val="000000"/>
        </w:rPr>
        <w:t xml:space="preserve"> korrigjinte TVSH-n</w:t>
      </w:r>
      <w:r w:rsidR="00D04564" w:rsidRPr="00265D72">
        <w:rPr>
          <w:color w:val="000000"/>
        </w:rPr>
        <w:t>ë</w:t>
      </w:r>
      <w:r w:rsidRPr="00265D72">
        <w:rPr>
          <w:color w:val="000000"/>
        </w:rPr>
        <w:t>.</w:t>
      </w:r>
    </w:p>
    <w:p w:rsidR="00197610" w:rsidRPr="00265D72" w:rsidRDefault="00197610" w:rsidP="00CE0EFE">
      <w:pPr>
        <w:widowControl w:val="0"/>
        <w:spacing w:line="276" w:lineRule="auto"/>
        <w:jc w:val="both"/>
      </w:pPr>
    </w:p>
    <w:p w:rsidR="00D04564" w:rsidRPr="00265D72" w:rsidRDefault="00D04564" w:rsidP="00CE0EFE">
      <w:pPr>
        <w:widowControl w:val="0"/>
        <w:spacing w:line="276" w:lineRule="auto"/>
        <w:jc w:val="both"/>
      </w:pPr>
      <w:r w:rsidRPr="00265D72">
        <w:t xml:space="preserve">Sa më sipër, shoqërisë i ulet gjendja kreditore për vlerën </w:t>
      </w:r>
      <w:r w:rsidRPr="00265D72">
        <w:rPr>
          <w:color w:val="000000"/>
        </w:rPr>
        <w:t xml:space="preserve">865,577 lekë dhe sipas nenit 115 pika 3 e Ligjit Nr.9920/2008 ku përcaktohet se </w:t>
      </w:r>
      <w:r w:rsidRPr="00265D72">
        <w:rPr>
          <w:i/>
          <w:color w:val="000000"/>
        </w:rPr>
        <w:t>“Deklarim i pasaktë konsiderohet edhe rasti kur, si rezultat i një kontrolli tatimor, bëhet rivlerësim në ulje i tepricës kreditore të tatimpaguesit. Në këtë rast tatimpaguesi penalizohet me gjobë 20 % të diferencës ndërmjet tepricës kreditore të deklaruar me tepricën kreditore që duhej deklaruar</w:t>
      </w:r>
      <w:r w:rsidRPr="00265D72">
        <w:rPr>
          <w:rFonts w:hint="eastAsia"/>
          <w:i/>
          <w:color w:val="000000"/>
        </w:rPr>
        <w:t>”</w:t>
      </w:r>
      <w:r w:rsidRPr="00265D72">
        <w:rPr>
          <w:i/>
          <w:color w:val="000000"/>
        </w:rPr>
        <w:t xml:space="preserve"> </w:t>
      </w:r>
      <w:r w:rsidRPr="00265D72">
        <w:rPr>
          <w:color w:val="000000"/>
        </w:rPr>
        <w:t>tatimpaguesi sanksionohet dhe me gjobë në vlerën 173,115 lekë.</w:t>
      </w:r>
    </w:p>
    <w:p w:rsidR="00DC355A" w:rsidRPr="00265D72" w:rsidRDefault="00DC355A" w:rsidP="00CE0EFE">
      <w:pPr>
        <w:widowControl w:val="0"/>
        <w:spacing w:line="276" w:lineRule="auto"/>
        <w:jc w:val="both"/>
        <w:rPr>
          <w:b/>
        </w:rPr>
      </w:pPr>
    </w:p>
    <w:p w:rsidR="00DC355A" w:rsidRDefault="004222FE" w:rsidP="00CE0EFE">
      <w:pPr>
        <w:widowControl w:val="0"/>
        <w:spacing w:line="276" w:lineRule="auto"/>
        <w:jc w:val="center"/>
      </w:pPr>
      <w:r w:rsidRPr="00265D72">
        <w:t>***</w:t>
      </w:r>
    </w:p>
    <w:p w:rsidR="009D6B1B" w:rsidRPr="00265D72" w:rsidRDefault="009D6B1B" w:rsidP="00CE0EFE">
      <w:pPr>
        <w:widowControl w:val="0"/>
        <w:spacing w:line="276" w:lineRule="auto"/>
        <w:jc w:val="center"/>
      </w:pPr>
      <w:bookmarkStart w:id="0" w:name="_GoBack"/>
      <w:bookmarkEnd w:id="0"/>
    </w:p>
    <w:p w:rsidR="00452B9F" w:rsidRPr="00265D72" w:rsidRDefault="00AC613C" w:rsidP="00CE0EFE">
      <w:pPr>
        <w:widowControl w:val="0"/>
        <w:spacing w:line="276" w:lineRule="auto"/>
        <w:jc w:val="both"/>
      </w:pPr>
      <w:r w:rsidRPr="00265D72">
        <w:t>Tatimpaguesi kundë</w:t>
      </w:r>
      <w:r w:rsidR="00311D67" w:rsidRPr="00265D72">
        <w:t xml:space="preserve">rshton </w:t>
      </w:r>
      <w:r w:rsidR="00F40066" w:rsidRPr="00265D72">
        <w:t>detyrim</w:t>
      </w:r>
      <w:r w:rsidR="00D0693B" w:rsidRPr="00265D72">
        <w:t>in</w:t>
      </w:r>
      <w:r w:rsidR="00F40066" w:rsidRPr="00265D72">
        <w:t xml:space="preserve"> dhe </w:t>
      </w:r>
      <w:r w:rsidR="001A5FA0" w:rsidRPr="00265D72">
        <w:t>gjob</w:t>
      </w:r>
      <w:r w:rsidR="0089454D" w:rsidRPr="00265D72">
        <w:t>ë</w:t>
      </w:r>
      <w:r w:rsidR="00D0693B" w:rsidRPr="00265D72">
        <w:t>n</w:t>
      </w:r>
      <w:r w:rsidR="001A5FA0" w:rsidRPr="00265D72">
        <w:t xml:space="preserve"> </w:t>
      </w:r>
      <w:r w:rsidR="00F40066" w:rsidRPr="00265D72">
        <w:t>p</w:t>
      </w:r>
      <w:r w:rsidR="009C1E6E" w:rsidRPr="00265D72">
        <w:t>ë</w:t>
      </w:r>
      <w:r w:rsidR="00F40066" w:rsidRPr="00265D72">
        <w:t xml:space="preserve">r TVSH </w:t>
      </w:r>
      <w:r w:rsidR="001A5FA0" w:rsidRPr="00265D72">
        <w:t>n</w:t>
      </w:r>
      <w:r w:rsidR="00797D8B" w:rsidRPr="00265D72">
        <w:t>ë</w:t>
      </w:r>
      <w:r w:rsidR="00D0693B" w:rsidRPr="00265D72">
        <w:t xml:space="preserve"> </w:t>
      </w:r>
      <w:r w:rsidR="00F40066" w:rsidRPr="00265D72">
        <w:t>vler</w:t>
      </w:r>
      <w:r w:rsidR="009C1E6E" w:rsidRPr="00265D72">
        <w:t>ë</w:t>
      </w:r>
      <w:r w:rsidR="00F40066" w:rsidRPr="00265D72">
        <w:t xml:space="preserve">n totale </w:t>
      </w:r>
      <w:r w:rsidR="00A23304" w:rsidRPr="00265D72">
        <w:t xml:space="preserve">1,038,692 </w:t>
      </w:r>
      <w:r w:rsidR="00F40066" w:rsidRPr="00265D72">
        <w:t>lek</w:t>
      </w:r>
      <w:r w:rsidR="009C1E6E" w:rsidRPr="00265D72">
        <w:t>ë</w:t>
      </w:r>
      <w:r w:rsidR="004222FE" w:rsidRPr="00265D72">
        <w:t xml:space="preserve">, duke </w:t>
      </w:r>
      <w:r w:rsidR="001A5FA0" w:rsidRPr="00265D72">
        <w:t>parashtruar se</w:t>
      </w:r>
      <w:r w:rsidR="00F40066" w:rsidRPr="00265D72">
        <w:t xml:space="preserve">: </w:t>
      </w:r>
      <w:r w:rsidR="009F7AA6" w:rsidRPr="00265D72">
        <w:t>shoq</w:t>
      </w:r>
      <w:r w:rsidR="00B24FEC" w:rsidRPr="00265D72">
        <w:t>ë</w:t>
      </w:r>
      <w:r w:rsidR="009F7AA6" w:rsidRPr="00265D72">
        <w:t>ria kryen aktivitetin e import-eksportit, tregtimit me shumic</w:t>
      </w:r>
      <w:r w:rsidR="00B24FEC" w:rsidRPr="00265D72">
        <w:t>ë</w:t>
      </w:r>
      <w:r w:rsidR="009F7AA6" w:rsidRPr="00265D72">
        <w:t xml:space="preserve"> dhe pakic</w:t>
      </w:r>
      <w:r w:rsidR="00B24FEC" w:rsidRPr="00265D72">
        <w:t>ë</w:t>
      </w:r>
      <w:r w:rsidR="009F7AA6" w:rsidRPr="00265D72">
        <w:t xml:space="preserve"> t</w:t>
      </w:r>
      <w:r w:rsidR="00B24FEC" w:rsidRPr="00265D72">
        <w:t>ë</w:t>
      </w:r>
      <w:r w:rsidR="009F7AA6" w:rsidRPr="00265D72">
        <w:t xml:space="preserve"> pijeve alkoolike, birra dhe pije freskuese. Kryesisht ajo blen mallra n</w:t>
      </w:r>
      <w:r w:rsidR="00B24FEC" w:rsidRPr="00265D72">
        <w:t>ë</w:t>
      </w:r>
      <w:r w:rsidR="009F7AA6" w:rsidRPr="00265D72">
        <w:t xml:space="preserve"> tregun vendas, p</w:t>
      </w:r>
      <w:r w:rsidR="00B24FEC" w:rsidRPr="00265D72">
        <w:t>ë</w:t>
      </w:r>
      <w:r w:rsidR="009F7AA6" w:rsidRPr="00265D72">
        <w:t>r t</w:t>
      </w:r>
      <w:r w:rsidR="00B24FEC" w:rsidRPr="00265D72">
        <w:t>ë</w:t>
      </w:r>
      <w:r w:rsidR="009F7AA6" w:rsidRPr="00265D72">
        <w:t xml:space="preserve"> cilat g</w:t>
      </w:r>
      <w:r w:rsidR="00B24FEC" w:rsidRPr="00265D72">
        <w:t>ë</w:t>
      </w:r>
      <w:r w:rsidR="009F7AA6" w:rsidRPr="00265D72">
        <w:t>zon t</w:t>
      </w:r>
      <w:r w:rsidR="00B24FEC" w:rsidRPr="00265D72">
        <w:t>ë</w:t>
      </w:r>
      <w:r w:rsidR="009F7AA6" w:rsidRPr="00265D72">
        <w:t xml:space="preserve"> drejt</w:t>
      </w:r>
      <w:r w:rsidR="00B24FEC" w:rsidRPr="00265D72">
        <w:t>ë</w:t>
      </w:r>
      <w:r w:rsidR="009F7AA6" w:rsidRPr="00265D72">
        <w:t>n e zbritjes s</w:t>
      </w:r>
      <w:r w:rsidR="00B24FEC" w:rsidRPr="00265D72">
        <w:t>ë</w:t>
      </w:r>
      <w:r w:rsidR="009F7AA6" w:rsidRPr="00265D72">
        <w:t xml:space="preserve"> TVSH-s</w:t>
      </w:r>
      <w:r w:rsidR="00B24FEC" w:rsidRPr="00265D72">
        <w:t>ë</w:t>
      </w:r>
      <w:r w:rsidR="009F7AA6" w:rsidRPr="00265D72">
        <w:t>, t</w:t>
      </w:r>
      <w:r w:rsidR="00B24FEC" w:rsidRPr="00265D72">
        <w:t>ë</w:t>
      </w:r>
      <w:r w:rsidR="009F7AA6" w:rsidRPr="00265D72">
        <w:t xml:space="preserve"> cilat n</w:t>
      </w:r>
      <w:r w:rsidR="00B24FEC" w:rsidRPr="00265D72">
        <w:t>ë</w:t>
      </w:r>
      <w:r w:rsidR="009F7AA6" w:rsidRPr="00265D72">
        <w:t xml:space="preserve"> pjes</w:t>
      </w:r>
      <w:r w:rsidR="00B24FEC" w:rsidRPr="00265D72">
        <w:t>ë</w:t>
      </w:r>
      <w:r w:rsidR="009F7AA6" w:rsidRPr="00265D72">
        <w:t>n m</w:t>
      </w:r>
      <w:r w:rsidR="00B24FEC" w:rsidRPr="00265D72">
        <w:t>ë</w:t>
      </w:r>
      <w:r w:rsidR="009F7AA6" w:rsidRPr="00265D72">
        <w:t xml:space="preserve"> t</w:t>
      </w:r>
      <w:r w:rsidR="00B24FEC" w:rsidRPr="00265D72">
        <w:t>ë</w:t>
      </w:r>
      <w:r w:rsidR="009F7AA6" w:rsidRPr="00265D72">
        <w:t xml:space="preserve"> madhe i eksporton, shitje t</w:t>
      </w:r>
      <w:r w:rsidR="00B24FEC" w:rsidRPr="00265D72">
        <w:t>ë</w:t>
      </w:r>
      <w:r w:rsidR="009F7AA6" w:rsidRPr="00265D72">
        <w:t xml:space="preserve"> cilat jan</w:t>
      </w:r>
      <w:r w:rsidR="00B24FEC" w:rsidRPr="00265D72">
        <w:t>ë</w:t>
      </w:r>
      <w:r w:rsidR="009F7AA6" w:rsidRPr="00265D72">
        <w:t xml:space="preserve"> t</w:t>
      </w:r>
      <w:r w:rsidR="00B24FEC" w:rsidRPr="00265D72">
        <w:t>ë</w:t>
      </w:r>
      <w:r w:rsidR="009F7AA6" w:rsidRPr="00265D72">
        <w:t xml:space="preserve"> tatueshme me TVSH 0%. Si pjes</w:t>
      </w:r>
      <w:r w:rsidR="00B24FEC" w:rsidRPr="00265D72">
        <w:t>ë</w:t>
      </w:r>
      <w:r w:rsidR="009F7AA6" w:rsidRPr="00265D72">
        <w:t xml:space="preserve"> e aktivitetit t</w:t>
      </w:r>
      <w:r w:rsidR="00B24FEC" w:rsidRPr="00265D72">
        <w:t>ë</w:t>
      </w:r>
      <w:r w:rsidR="009F7AA6" w:rsidRPr="00265D72">
        <w:t xml:space="preserve"> saj, shoq</w:t>
      </w:r>
      <w:r w:rsidR="00B24FEC" w:rsidRPr="00265D72">
        <w:t>ë</w:t>
      </w:r>
      <w:r w:rsidR="009F7AA6" w:rsidRPr="00265D72">
        <w:t>ria realizon dhe t</w:t>
      </w:r>
      <w:r w:rsidR="00B24FEC" w:rsidRPr="00265D72">
        <w:t>ë</w:t>
      </w:r>
      <w:r w:rsidR="009F7AA6" w:rsidRPr="00265D72">
        <w:t xml:space="preserve"> ardhura nga qiradh</w:t>
      </w:r>
      <w:r w:rsidR="00B24FEC" w:rsidRPr="00265D72">
        <w:t>ë</w:t>
      </w:r>
      <w:r w:rsidR="009F7AA6" w:rsidRPr="00265D72">
        <w:t>nia e ambjenteve t</w:t>
      </w:r>
      <w:r w:rsidR="00B24FEC" w:rsidRPr="00265D72">
        <w:t>ë</w:t>
      </w:r>
      <w:r w:rsidR="009F7AA6" w:rsidRPr="00265D72">
        <w:t xml:space="preserve"> cilat konsiderohen si shitje t</w:t>
      </w:r>
      <w:r w:rsidR="00B24FEC" w:rsidRPr="00265D72">
        <w:t>ë</w:t>
      </w:r>
      <w:r w:rsidR="009F7AA6" w:rsidRPr="00265D72">
        <w:t xml:space="preserve"> p</w:t>
      </w:r>
      <w:r w:rsidR="00B24FEC" w:rsidRPr="00265D72">
        <w:t>ë</w:t>
      </w:r>
      <w:r w:rsidR="009F7AA6" w:rsidRPr="00265D72">
        <w:t>rjashtuara nga TVSH-ja. Duke q</w:t>
      </w:r>
      <w:r w:rsidR="00B24FEC" w:rsidRPr="00265D72">
        <w:t>ë</w:t>
      </w:r>
      <w:r w:rsidR="009F7AA6" w:rsidRPr="00265D72">
        <w:t>n</w:t>
      </w:r>
      <w:r w:rsidR="00B24FEC" w:rsidRPr="00265D72">
        <w:t>ë</w:t>
      </w:r>
      <w:r w:rsidR="009F7AA6" w:rsidRPr="00265D72">
        <w:t xml:space="preserve"> se shoq</w:t>
      </w:r>
      <w:r w:rsidR="00B24FEC" w:rsidRPr="00265D72">
        <w:t>ë</w:t>
      </w:r>
      <w:r w:rsidR="009F7AA6" w:rsidRPr="00265D72">
        <w:t>ria ka transaksione si t</w:t>
      </w:r>
      <w:r w:rsidR="00B24FEC" w:rsidRPr="00265D72">
        <w:t>ë</w:t>
      </w:r>
      <w:r w:rsidR="009F7AA6" w:rsidRPr="00265D72">
        <w:t xml:space="preserve"> tatueshme me TVSH ashtu dhe t</w:t>
      </w:r>
      <w:r w:rsidR="00B24FEC" w:rsidRPr="00265D72">
        <w:t>ë</w:t>
      </w:r>
      <w:r w:rsidR="009F7AA6" w:rsidRPr="00265D72">
        <w:t xml:space="preserve"> patatueshme, inspektor</w:t>
      </w:r>
      <w:r w:rsidR="00B24FEC" w:rsidRPr="00265D72">
        <w:t>ë</w:t>
      </w:r>
      <w:r w:rsidR="009F7AA6" w:rsidRPr="00265D72">
        <w:t>t</w:t>
      </w:r>
      <w:r w:rsidR="00174A8F" w:rsidRPr="00265D72">
        <w:t xml:space="preserve"> kan</w:t>
      </w:r>
      <w:r w:rsidR="00B24FEC" w:rsidRPr="00265D72">
        <w:t>ë</w:t>
      </w:r>
      <w:r w:rsidR="00174A8F" w:rsidRPr="00265D72">
        <w:t xml:space="preserve"> kryer nj</w:t>
      </w:r>
      <w:r w:rsidR="00B24FEC" w:rsidRPr="00265D72">
        <w:t>ë</w:t>
      </w:r>
      <w:r w:rsidR="00174A8F" w:rsidRPr="00265D72">
        <w:t xml:space="preserve"> llogaritje t</w:t>
      </w:r>
      <w:r w:rsidR="00B24FEC" w:rsidRPr="00265D72">
        <w:t>ë</w:t>
      </w:r>
      <w:r w:rsidR="00174A8F" w:rsidRPr="00265D72">
        <w:t xml:space="preserve"> asaj q</w:t>
      </w:r>
      <w:r w:rsidR="00B24FEC" w:rsidRPr="00265D72">
        <w:t>ë</w:t>
      </w:r>
      <w:r w:rsidR="00174A8F" w:rsidRPr="00265D72">
        <w:t xml:space="preserve"> supozohet t</w:t>
      </w:r>
      <w:r w:rsidR="00B24FEC" w:rsidRPr="00265D72">
        <w:t>ë</w:t>
      </w:r>
      <w:r w:rsidR="00174A8F" w:rsidRPr="00265D72">
        <w:t xml:space="preserve"> jet</w:t>
      </w:r>
      <w:r w:rsidR="00B24FEC" w:rsidRPr="00265D72">
        <w:t>ë</w:t>
      </w:r>
      <w:r w:rsidR="00174A8F" w:rsidRPr="00265D72">
        <w:t xml:space="preserve"> rregullim i TVSH-s</w:t>
      </w:r>
      <w:r w:rsidR="00B24FEC" w:rsidRPr="00265D72">
        <w:t>ë</w:t>
      </w:r>
      <w:r w:rsidR="00174A8F" w:rsidRPr="00265D72">
        <w:t xml:space="preserve"> s</w:t>
      </w:r>
      <w:r w:rsidR="00B24FEC" w:rsidRPr="00265D72">
        <w:t>ë</w:t>
      </w:r>
      <w:r w:rsidR="00174A8F" w:rsidRPr="00265D72">
        <w:t xml:space="preserve"> zbritshme. Referuar dispozitave, rregullimi i zbritje s</w:t>
      </w:r>
      <w:r w:rsidR="00B24FEC" w:rsidRPr="00265D72">
        <w:t>ë</w:t>
      </w:r>
      <w:r w:rsidR="00174A8F" w:rsidRPr="00265D72">
        <w:t xml:space="preserve"> TVSH-s</w:t>
      </w:r>
      <w:r w:rsidR="00B24FEC" w:rsidRPr="00265D72">
        <w:t>ë</w:t>
      </w:r>
      <w:r w:rsidR="00174A8F" w:rsidRPr="00265D72">
        <w:t xml:space="preserve"> s</w:t>
      </w:r>
      <w:r w:rsidR="00B24FEC" w:rsidRPr="00265D72">
        <w:t>ë</w:t>
      </w:r>
      <w:r w:rsidR="00174A8F" w:rsidRPr="00265D72">
        <w:t xml:space="preserve"> zbritshme b</w:t>
      </w:r>
      <w:r w:rsidR="00B24FEC" w:rsidRPr="00265D72">
        <w:t>ë</w:t>
      </w:r>
      <w:r w:rsidR="00174A8F" w:rsidRPr="00265D72">
        <w:t>het vet</w:t>
      </w:r>
      <w:r w:rsidR="00B24FEC" w:rsidRPr="00265D72">
        <w:t>ë</w:t>
      </w:r>
      <w:r w:rsidR="00174A8F" w:rsidRPr="00265D72">
        <w:t>m p</w:t>
      </w:r>
      <w:r w:rsidR="00B24FEC" w:rsidRPr="00265D72">
        <w:t>ë</w:t>
      </w:r>
      <w:r w:rsidR="00174A8F" w:rsidRPr="00265D72">
        <w:t>r furnizimet (n</w:t>
      </w:r>
      <w:r w:rsidR="00B24FEC" w:rsidRPr="00265D72">
        <w:t>ë</w:t>
      </w:r>
      <w:r w:rsidR="00174A8F" w:rsidRPr="00265D72">
        <w:t xml:space="preserve"> rastin ton</w:t>
      </w:r>
      <w:r w:rsidR="00B24FEC" w:rsidRPr="00265D72">
        <w:t>ë</w:t>
      </w:r>
      <w:r w:rsidR="00174A8F" w:rsidRPr="00265D72">
        <w:t xml:space="preserve"> t</w:t>
      </w:r>
      <w:r w:rsidR="00B24FEC" w:rsidRPr="00265D72">
        <w:t>ë</w:t>
      </w:r>
      <w:r w:rsidR="00174A8F" w:rsidRPr="00265D72">
        <w:t xml:space="preserve"> sh</w:t>
      </w:r>
      <w:r w:rsidR="00B24FEC" w:rsidRPr="00265D72">
        <w:t>ë</w:t>
      </w:r>
      <w:r w:rsidR="00174A8F" w:rsidRPr="00265D72">
        <w:t>rbimeve) t</w:t>
      </w:r>
      <w:r w:rsidR="00B24FEC" w:rsidRPr="00265D72">
        <w:t>ë</w:t>
      </w:r>
      <w:r w:rsidR="00174A8F" w:rsidRPr="00265D72">
        <w:t xml:space="preserve"> cilat i sh</w:t>
      </w:r>
      <w:r w:rsidR="00B24FEC" w:rsidRPr="00265D72">
        <w:t>ë</w:t>
      </w:r>
      <w:r w:rsidR="00174A8F" w:rsidRPr="00265D72">
        <w:t>rbejn</w:t>
      </w:r>
      <w:r w:rsidR="00B24FEC" w:rsidRPr="00265D72">
        <w:t>ë</w:t>
      </w:r>
      <w:r w:rsidR="00174A8F" w:rsidRPr="00265D72">
        <w:t xml:space="preserve"> si transaksioneve t</w:t>
      </w:r>
      <w:r w:rsidR="00B24FEC" w:rsidRPr="00265D72">
        <w:t>ë</w:t>
      </w:r>
      <w:r w:rsidR="00174A8F" w:rsidRPr="00265D72">
        <w:t xml:space="preserve"> tatueshme ashtu edhe atyr</w:t>
      </w:r>
      <w:r w:rsidR="00B24FEC" w:rsidRPr="00265D72">
        <w:t>ë</w:t>
      </w:r>
      <w:r w:rsidR="00174A8F" w:rsidRPr="00265D72">
        <w:t xml:space="preserve"> t</w:t>
      </w:r>
      <w:r w:rsidR="00B24FEC" w:rsidRPr="00265D72">
        <w:t>ë</w:t>
      </w:r>
      <w:r w:rsidR="00174A8F" w:rsidRPr="00265D72">
        <w:t xml:space="preserve"> patatueshme. Konkretisht, shoq</w:t>
      </w:r>
      <w:r w:rsidR="00B24FEC" w:rsidRPr="00265D72">
        <w:t>ë</w:t>
      </w:r>
      <w:r w:rsidR="00174A8F" w:rsidRPr="00265D72">
        <w:t>ria p</w:t>
      </w:r>
      <w:r w:rsidR="00B24FEC" w:rsidRPr="00265D72">
        <w:t>ë</w:t>
      </w:r>
      <w:r w:rsidR="00174A8F" w:rsidRPr="00265D72">
        <w:t>rveç furnizimeve q</w:t>
      </w:r>
      <w:r w:rsidR="00B24FEC" w:rsidRPr="00265D72">
        <w:t>ë</w:t>
      </w:r>
      <w:r w:rsidR="00174A8F" w:rsidRPr="00265D72">
        <w:t xml:space="preserve"> kan</w:t>
      </w:r>
      <w:r w:rsidR="00B24FEC" w:rsidRPr="00265D72">
        <w:t>ë</w:t>
      </w:r>
      <w:r w:rsidR="00174A8F" w:rsidRPr="00265D72">
        <w:t xml:space="preserve"> lidhje t</w:t>
      </w:r>
      <w:r w:rsidR="00B24FEC" w:rsidRPr="00265D72">
        <w:t>ë</w:t>
      </w:r>
      <w:r w:rsidR="00174A8F" w:rsidRPr="00265D72">
        <w:t xml:space="preserve"> drejtp</w:t>
      </w:r>
      <w:r w:rsidR="00B24FEC" w:rsidRPr="00265D72">
        <w:t>ë</w:t>
      </w:r>
      <w:r w:rsidR="00174A8F" w:rsidRPr="00265D72">
        <w:t>rdrejt</w:t>
      </w:r>
      <w:r w:rsidR="00B24FEC" w:rsidRPr="00265D72">
        <w:t>ë</w:t>
      </w:r>
      <w:r w:rsidR="00174A8F" w:rsidRPr="00265D72">
        <w:t xml:space="preserve"> me shitjet e mallrave, furnizohet edhe me sh</w:t>
      </w:r>
      <w:r w:rsidR="00B24FEC" w:rsidRPr="00265D72">
        <w:t>ë</w:t>
      </w:r>
      <w:r w:rsidR="00174A8F" w:rsidRPr="00265D72">
        <w:t>rbime si shpenzime t</w:t>
      </w:r>
      <w:r w:rsidR="00B24FEC" w:rsidRPr="00265D72">
        <w:t>ë</w:t>
      </w:r>
      <w:r w:rsidR="00174A8F" w:rsidRPr="00265D72">
        <w:t xml:space="preserve"> tjera t</w:t>
      </w:r>
      <w:r w:rsidR="00B24FEC" w:rsidRPr="00265D72">
        <w:t>ë</w:t>
      </w:r>
      <w:r w:rsidR="00174A8F" w:rsidRPr="00265D72">
        <w:t xml:space="preserve"> p</w:t>
      </w:r>
      <w:r w:rsidR="00B24FEC" w:rsidRPr="00265D72">
        <w:t>ë</w:t>
      </w:r>
      <w:r w:rsidR="00174A8F" w:rsidRPr="00265D72">
        <w:t>rgjithshme si auditim apo konsulenc</w:t>
      </w:r>
      <w:r w:rsidR="00B24FEC" w:rsidRPr="00265D72">
        <w:t>ë</w:t>
      </w:r>
      <w:r w:rsidR="00174A8F" w:rsidRPr="00265D72">
        <w:t xml:space="preserve"> juridike t</w:t>
      </w:r>
      <w:r w:rsidR="00B24FEC" w:rsidRPr="00265D72">
        <w:t>ë</w:t>
      </w:r>
      <w:r w:rsidR="00174A8F" w:rsidRPr="00265D72">
        <w:t xml:space="preserve"> cilat i kan</w:t>
      </w:r>
      <w:r w:rsidR="00B24FEC" w:rsidRPr="00265D72">
        <w:t>ë</w:t>
      </w:r>
      <w:r w:rsidR="00174A8F" w:rsidRPr="00265D72">
        <w:t xml:space="preserve"> sh</w:t>
      </w:r>
      <w:r w:rsidR="00B24FEC" w:rsidRPr="00265D72">
        <w:t>ë</w:t>
      </w:r>
      <w:r w:rsidR="00174A8F" w:rsidRPr="00265D72">
        <w:t>rbyer si transaksioneve t</w:t>
      </w:r>
      <w:r w:rsidR="00B24FEC" w:rsidRPr="00265D72">
        <w:t>ë</w:t>
      </w:r>
      <w:r w:rsidR="00174A8F" w:rsidRPr="00265D72">
        <w:t xml:space="preserve"> tatueshme (shitjes s</w:t>
      </w:r>
      <w:r w:rsidR="00B24FEC" w:rsidRPr="00265D72">
        <w:t>ë</w:t>
      </w:r>
      <w:r w:rsidR="00174A8F" w:rsidRPr="00265D72">
        <w:t xml:space="preserve"> mallrave) ashtu edhe atyre t</w:t>
      </w:r>
      <w:r w:rsidR="00B24FEC" w:rsidRPr="00265D72">
        <w:t>ë</w:t>
      </w:r>
      <w:r w:rsidR="00174A8F" w:rsidRPr="00265D72">
        <w:t xml:space="preserve"> p</w:t>
      </w:r>
      <w:r w:rsidR="00B24FEC" w:rsidRPr="00265D72">
        <w:t>ë</w:t>
      </w:r>
      <w:r w:rsidR="00174A8F" w:rsidRPr="00265D72">
        <w:t>rjashtuara (qiradh</w:t>
      </w:r>
      <w:r w:rsidR="00B24FEC" w:rsidRPr="00265D72">
        <w:t>ë</w:t>
      </w:r>
      <w:r w:rsidR="00174A8F" w:rsidRPr="00265D72">
        <w:t>nies). Sa m</w:t>
      </w:r>
      <w:r w:rsidR="00B24FEC" w:rsidRPr="00265D72">
        <w:t>ë</w:t>
      </w:r>
      <w:r w:rsidR="00174A8F" w:rsidRPr="00265D72">
        <w:t xml:space="preserve"> sip</w:t>
      </w:r>
      <w:r w:rsidR="00B24FEC" w:rsidRPr="00265D72">
        <w:t>ë</w:t>
      </w:r>
      <w:r w:rsidR="00174A8F" w:rsidRPr="00265D72">
        <w:t>r, duke q</w:t>
      </w:r>
      <w:r w:rsidR="00B24FEC" w:rsidRPr="00265D72">
        <w:t>ë</w:t>
      </w:r>
      <w:r w:rsidR="00174A8F" w:rsidRPr="00265D72">
        <w:t>n</w:t>
      </w:r>
      <w:r w:rsidR="00B24FEC" w:rsidRPr="00265D72">
        <w:t>ë</w:t>
      </w:r>
      <w:r w:rsidR="00174A8F" w:rsidRPr="00265D72">
        <w:t xml:space="preserve"> se shoq</w:t>
      </w:r>
      <w:r w:rsidR="00B24FEC" w:rsidRPr="00265D72">
        <w:t>ë</w:t>
      </w:r>
      <w:r w:rsidR="00174A8F" w:rsidRPr="00265D72">
        <w:t>ria p</w:t>
      </w:r>
      <w:r w:rsidR="00B24FEC" w:rsidRPr="00265D72">
        <w:t>ë</w:t>
      </w:r>
      <w:r w:rsidR="00174A8F" w:rsidRPr="00265D72">
        <w:t xml:space="preserve">rdor </w:t>
      </w:r>
      <w:r w:rsidR="00174A8F" w:rsidRPr="00265D72">
        <w:lastRenderedPageBreak/>
        <w:t>furnizimet e disa sh</w:t>
      </w:r>
      <w:r w:rsidR="00B24FEC" w:rsidRPr="00265D72">
        <w:t>ë</w:t>
      </w:r>
      <w:r w:rsidR="00174A8F" w:rsidRPr="00265D72">
        <w:t>rbimeve si p</w:t>
      </w:r>
      <w:r w:rsidR="00B24FEC" w:rsidRPr="00265D72">
        <w:t>ë</w:t>
      </w:r>
      <w:r w:rsidR="00174A8F" w:rsidRPr="00265D72">
        <w:t>r transaksione t</w:t>
      </w:r>
      <w:r w:rsidR="00B24FEC" w:rsidRPr="00265D72">
        <w:t>ë</w:t>
      </w:r>
      <w:r w:rsidR="00174A8F" w:rsidRPr="00265D72">
        <w:t xml:space="preserve"> tatueshme q</w:t>
      </w:r>
      <w:r w:rsidR="00B24FEC" w:rsidRPr="00265D72">
        <w:t>ë</w:t>
      </w:r>
      <w:r w:rsidR="00174A8F" w:rsidRPr="00265D72">
        <w:t xml:space="preserve"> sjellin t</w:t>
      </w:r>
      <w:r w:rsidR="00B24FEC" w:rsidRPr="00265D72">
        <w:t>ë</w:t>
      </w:r>
      <w:r w:rsidR="00174A8F" w:rsidRPr="00265D72">
        <w:t xml:space="preserve"> drejt</w:t>
      </w:r>
      <w:r w:rsidR="00B24FEC" w:rsidRPr="00265D72">
        <w:t>ë</w:t>
      </w:r>
      <w:r w:rsidR="00174A8F" w:rsidRPr="00265D72">
        <w:t>n e zbritjes s</w:t>
      </w:r>
      <w:r w:rsidR="00B24FEC" w:rsidRPr="00265D72">
        <w:t>ë</w:t>
      </w:r>
      <w:r w:rsidR="00174A8F" w:rsidRPr="00265D72">
        <w:t xml:space="preserve"> TVSH-s</w:t>
      </w:r>
      <w:r w:rsidR="00B24FEC" w:rsidRPr="00265D72">
        <w:t>ë</w:t>
      </w:r>
      <w:r w:rsidR="00174A8F" w:rsidRPr="00265D72">
        <w:t xml:space="preserve"> dhe p</w:t>
      </w:r>
      <w:r w:rsidR="00B24FEC" w:rsidRPr="00265D72">
        <w:t>ë</w:t>
      </w:r>
      <w:r w:rsidR="00174A8F" w:rsidRPr="00265D72">
        <w:t>r transakione t</w:t>
      </w:r>
      <w:r w:rsidR="00B24FEC" w:rsidRPr="00265D72">
        <w:t>ë</w:t>
      </w:r>
      <w:r w:rsidR="00174A8F" w:rsidRPr="00265D72">
        <w:t xml:space="preserve"> patatueshme t</w:t>
      </w:r>
      <w:r w:rsidR="00B24FEC" w:rsidRPr="00265D72">
        <w:t>ë</w:t>
      </w:r>
      <w:r w:rsidR="00174A8F" w:rsidRPr="00265D72">
        <w:t xml:space="preserve"> cilat nuk e sjellin k</w:t>
      </w:r>
      <w:r w:rsidR="00B24FEC" w:rsidRPr="00265D72">
        <w:t>ë</w:t>
      </w:r>
      <w:r w:rsidR="00174A8F" w:rsidRPr="00265D72">
        <w:t>t</w:t>
      </w:r>
      <w:r w:rsidR="00B24FEC" w:rsidRPr="00265D72">
        <w:t>ë</w:t>
      </w:r>
      <w:r w:rsidR="00174A8F" w:rsidRPr="00265D72">
        <w:t xml:space="preserve"> t</w:t>
      </w:r>
      <w:r w:rsidR="00B24FEC" w:rsidRPr="00265D72">
        <w:t>ë</w:t>
      </w:r>
      <w:r w:rsidR="00174A8F" w:rsidRPr="00265D72">
        <w:t xml:space="preserve"> drejt</w:t>
      </w:r>
      <w:r w:rsidR="00B24FEC" w:rsidRPr="00265D72">
        <w:t>ë</w:t>
      </w:r>
      <w:r w:rsidR="00174A8F" w:rsidRPr="00265D72">
        <w:t>, shoq</w:t>
      </w:r>
      <w:r w:rsidR="00B24FEC" w:rsidRPr="00265D72">
        <w:t>ë</w:t>
      </w:r>
      <w:r w:rsidR="00174A8F" w:rsidRPr="00265D72">
        <w:t>ris</w:t>
      </w:r>
      <w:r w:rsidR="00B24FEC" w:rsidRPr="00265D72">
        <w:t>ë</w:t>
      </w:r>
      <w:r w:rsidR="00174A8F" w:rsidRPr="00265D72">
        <w:t xml:space="preserve"> i lind detyrimi p</w:t>
      </w:r>
      <w:r w:rsidR="00B24FEC" w:rsidRPr="00265D72">
        <w:t>ë</w:t>
      </w:r>
      <w:r w:rsidR="00174A8F" w:rsidRPr="00265D72">
        <w:t>r t</w:t>
      </w:r>
      <w:r w:rsidR="00B24FEC" w:rsidRPr="00265D72">
        <w:t>ë</w:t>
      </w:r>
      <w:r w:rsidR="00174A8F" w:rsidRPr="00265D72">
        <w:t xml:space="preserve"> b</w:t>
      </w:r>
      <w:r w:rsidR="00B24FEC" w:rsidRPr="00265D72">
        <w:t>ë</w:t>
      </w:r>
      <w:r w:rsidR="00174A8F" w:rsidRPr="00265D72">
        <w:t>r</w:t>
      </w:r>
      <w:r w:rsidR="00B24FEC" w:rsidRPr="00265D72">
        <w:t>ë</w:t>
      </w:r>
      <w:r w:rsidR="00174A8F" w:rsidRPr="00265D72">
        <w:t xml:space="preserve"> rregullimin e TVSH-s</w:t>
      </w:r>
      <w:r w:rsidR="00B24FEC" w:rsidRPr="00265D72">
        <w:t>ë</w:t>
      </w:r>
      <w:r w:rsidR="00174A8F" w:rsidRPr="00265D72">
        <w:t xml:space="preserve"> n</w:t>
      </w:r>
      <w:r w:rsidR="00B24FEC" w:rsidRPr="00265D72">
        <w:t>ë</w:t>
      </w:r>
      <w:r w:rsidR="00174A8F" w:rsidRPr="00265D72">
        <w:t xml:space="preserve"> zbritje, sipas nenit 71 t</w:t>
      </w:r>
      <w:r w:rsidR="00B24FEC" w:rsidRPr="00265D72">
        <w:t>ë</w:t>
      </w:r>
      <w:r w:rsidR="00174A8F" w:rsidRPr="00265D72">
        <w:t xml:space="preserve"> Ligjit dhe nenit 56 t</w:t>
      </w:r>
      <w:r w:rsidR="00B24FEC" w:rsidRPr="00265D72">
        <w:t>ë</w:t>
      </w:r>
      <w:r w:rsidR="00174A8F" w:rsidRPr="00265D72">
        <w:t xml:space="preserve"> udh</w:t>
      </w:r>
      <w:r w:rsidR="00B24FEC" w:rsidRPr="00265D72">
        <w:t>ë</w:t>
      </w:r>
      <w:r w:rsidR="00174A8F" w:rsidRPr="00265D72">
        <w:t>zimit. Pra, shoq</w:t>
      </w:r>
      <w:r w:rsidR="00B24FEC" w:rsidRPr="00265D72">
        <w:t>ë</w:t>
      </w:r>
      <w:r w:rsidR="00174A8F" w:rsidRPr="00265D72">
        <w:t xml:space="preserve">ria </w:t>
      </w:r>
      <w:r w:rsidR="00AB29A8" w:rsidRPr="00265D72">
        <w:t xml:space="preserve">e </w:t>
      </w:r>
      <w:r w:rsidR="00174A8F" w:rsidRPr="00265D72">
        <w:t>pranon</w:t>
      </w:r>
      <w:r w:rsidR="00AB29A8" w:rsidRPr="00265D72">
        <w:t xml:space="preserve"> q</w:t>
      </w:r>
      <w:r w:rsidR="00B24FEC" w:rsidRPr="00265D72">
        <w:t>ë</w:t>
      </w:r>
      <w:r w:rsidR="00AB29A8" w:rsidRPr="00265D72">
        <w:t xml:space="preserve"> duhet t</w:t>
      </w:r>
      <w:r w:rsidR="00B24FEC" w:rsidRPr="00265D72">
        <w:t>ë</w:t>
      </w:r>
      <w:r w:rsidR="00AB29A8" w:rsidRPr="00265D72">
        <w:t xml:space="preserve"> vler</w:t>
      </w:r>
      <w:r w:rsidR="00B24FEC" w:rsidRPr="00265D72">
        <w:t>ë</w:t>
      </w:r>
      <w:r w:rsidR="00AB29A8" w:rsidRPr="00265D72">
        <w:t>soje dhe t</w:t>
      </w:r>
      <w:r w:rsidR="00B24FEC" w:rsidRPr="00265D72">
        <w:t>ë</w:t>
      </w:r>
      <w:r w:rsidR="00AB29A8" w:rsidRPr="00265D72">
        <w:t xml:space="preserve"> kryej</w:t>
      </w:r>
      <w:r w:rsidR="00B24FEC" w:rsidRPr="00265D72">
        <w:t>ë</w:t>
      </w:r>
      <w:r w:rsidR="00AB29A8" w:rsidRPr="00265D72">
        <w:t xml:space="preserve"> rregullimin e kreditimit t</w:t>
      </w:r>
      <w:r w:rsidR="00B24FEC" w:rsidRPr="00265D72">
        <w:t>ë</w:t>
      </w:r>
      <w:r w:rsidR="00AB29A8" w:rsidRPr="00265D72">
        <w:t xml:space="preserve"> TVSH-s</w:t>
      </w:r>
      <w:r w:rsidR="00B24FEC" w:rsidRPr="00265D72">
        <w:t>ë</w:t>
      </w:r>
      <w:r w:rsidR="00AB29A8" w:rsidRPr="00265D72">
        <w:t xml:space="preserve"> n</w:t>
      </w:r>
      <w:r w:rsidR="00B24FEC" w:rsidRPr="00265D72">
        <w:t>ë</w:t>
      </w:r>
      <w:r w:rsidR="00AB29A8" w:rsidRPr="00265D72">
        <w:t xml:space="preserve"> mas</w:t>
      </w:r>
      <w:r w:rsidR="00B24FEC" w:rsidRPr="00265D72">
        <w:t>ë</w:t>
      </w:r>
      <w:r w:rsidR="00AB29A8" w:rsidRPr="00265D72">
        <w:t>n e k</w:t>
      </w:r>
      <w:r w:rsidR="00B24FEC" w:rsidRPr="00265D72">
        <w:t>ë</w:t>
      </w:r>
      <w:r w:rsidR="00AB29A8" w:rsidRPr="00265D72">
        <w:t>rkuar nga legjislacioni p</w:t>
      </w:r>
      <w:r w:rsidR="00B24FEC" w:rsidRPr="00265D72">
        <w:t>ë</w:t>
      </w:r>
      <w:r w:rsidR="00AB29A8" w:rsidRPr="00265D72">
        <w:t>r TVSH-n</w:t>
      </w:r>
      <w:r w:rsidR="00B24FEC" w:rsidRPr="00265D72">
        <w:t>ë</w:t>
      </w:r>
      <w:r w:rsidR="00AB29A8" w:rsidRPr="00265D72">
        <w:t>. Por inspektor</w:t>
      </w:r>
      <w:r w:rsidR="00B24FEC" w:rsidRPr="00265D72">
        <w:t>ë</w:t>
      </w:r>
      <w:r w:rsidR="00AB29A8" w:rsidRPr="00265D72">
        <w:t>t kan</w:t>
      </w:r>
      <w:r w:rsidR="00B24FEC" w:rsidRPr="00265D72">
        <w:t>ë</w:t>
      </w:r>
      <w:r w:rsidR="00AB29A8" w:rsidRPr="00265D72">
        <w:t xml:space="preserve"> aplikuar gabim dhe jo n</w:t>
      </w:r>
      <w:r w:rsidR="00B24FEC" w:rsidRPr="00265D72">
        <w:t>ë</w:t>
      </w:r>
      <w:r w:rsidR="00AB29A8" w:rsidRPr="00265D72">
        <w:t xml:space="preserve"> p</w:t>
      </w:r>
      <w:r w:rsidR="00B24FEC" w:rsidRPr="00265D72">
        <w:t>ë</w:t>
      </w:r>
      <w:r w:rsidR="00AB29A8" w:rsidRPr="00265D72">
        <w:t>rputhje me parashikimet ligjore koeficinetin e zbritjes s</w:t>
      </w:r>
      <w:r w:rsidR="00B24FEC" w:rsidRPr="00265D72">
        <w:t>ë</w:t>
      </w:r>
      <w:r w:rsidR="00AB29A8" w:rsidRPr="00265D72">
        <w:t xml:space="preserve"> TVSH-s</w:t>
      </w:r>
      <w:r w:rsidR="00B24FEC" w:rsidRPr="00265D72">
        <w:t>ë</w:t>
      </w:r>
      <w:r w:rsidR="00AB29A8" w:rsidRPr="00265D72">
        <w:t xml:space="preserve">. Koeficienti </w:t>
      </w:r>
      <w:r w:rsidR="00B24FEC" w:rsidRPr="00265D72">
        <w:t>ë</w:t>
      </w:r>
      <w:r w:rsidR="00AB29A8" w:rsidRPr="00265D72">
        <w:t>sht</w:t>
      </w:r>
      <w:r w:rsidR="00B24FEC" w:rsidRPr="00265D72">
        <w:t>ë</w:t>
      </w:r>
      <w:r w:rsidR="00AB29A8" w:rsidRPr="00265D72">
        <w:t xml:space="preserve"> zbatuar mbi totalin e TVSH-s</w:t>
      </w:r>
      <w:r w:rsidR="00B24FEC" w:rsidRPr="00265D72">
        <w:t>ë</w:t>
      </w:r>
      <w:r w:rsidR="00AB29A8" w:rsidRPr="00265D72">
        <w:t xml:space="preserve"> s</w:t>
      </w:r>
      <w:r w:rsidR="00B24FEC" w:rsidRPr="00265D72">
        <w:t>ë</w:t>
      </w:r>
      <w:r w:rsidR="00AB29A8" w:rsidRPr="00265D72">
        <w:t xml:space="preserve"> zbritshme p</w:t>
      </w:r>
      <w:r w:rsidR="00B24FEC" w:rsidRPr="00265D72">
        <w:t>ë</w:t>
      </w:r>
      <w:r w:rsidR="00AB29A8" w:rsidRPr="00265D72">
        <w:t>r periudh</w:t>
      </w:r>
      <w:r w:rsidR="00B24FEC" w:rsidRPr="00265D72">
        <w:t>ë</w:t>
      </w:r>
      <w:r w:rsidR="00AB29A8" w:rsidRPr="00265D72">
        <w:t>n Janar-Tetor 2021 n</w:t>
      </w:r>
      <w:r w:rsidR="00B24FEC" w:rsidRPr="00265D72">
        <w:t>ë</w:t>
      </w:r>
      <w:r w:rsidR="00AB29A8" w:rsidRPr="00265D72">
        <w:t xml:space="preserve"> shum</w:t>
      </w:r>
      <w:r w:rsidR="00B24FEC" w:rsidRPr="00265D72">
        <w:t>ë</w:t>
      </w:r>
      <w:r w:rsidR="00AB29A8" w:rsidRPr="00265D72">
        <w:t>n 44,855,904 lek</w:t>
      </w:r>
      <w:r w:rsidR="00B24FEC" w:rsidRPr="00265D72">
        <w:t>ë</w:t>
      </w:r>
      <w:r w:rsidR="00AB29A8" w:rsidRPr="00265D72">
        <w:t>. Pra, inspektor</w:t>
      </w:r>
      <w:r w:rsidR="00B24FEC" w:rsidRPr="00265D72">
        <w:t>ë</w:t>
      </w:r>
      <w:r w:rsidR="00AB29A8" w:rsidRPr="00265D72">
        <w:t>t e kontrollit kan</w:t>
      </w:r>
      <w:r w:rsidR="00B24FEC" w:rsidRPr="00265D72">
        <w:t>ë</w:t>
      </w:r>
      <w:r w:rsidR="00AB29A8" w:rsidRPr="00265D72">
        <w:t xml:space="preserve"> aplikuar koeficientin edhe p</w:t>
      </w:r>
      <w:r w:rsidR="00B24FEC" w:rsidRPr="00265D72">
        <w:t>ë</w:t>
      </w:r>
      <w:r w:rsidR="00AB29A8" w:rsidRPr="00265D72">
        <w:t>r blerjet brenda vendit t</w:t>
      </w:r>
      <w:r w:rsidR="00B24FEC" w:rsidRPr="00265D72">
        <w:t>ë</w:t>
      </w:r>
      <w:r w:rsidR="00AB29A8" w:rsidRPr="00265D72">
        <w:t xml:space="preserve"> tilla </w:t>
      </w:r>
      <w:r w:rsidR="00BA3789" w:rsidRPr="00265D72">
        <w:t>si mallrave, sh</w:t>
      </w:r>
      <w:r w:rsidR="00B24FEC" w:rsidRPr="00265D72">
        <w:t>ë</w:t>
      </w:r>
      <w:r w:rsidR="00BA3789" w:rsidRPr="00265D72">
        <w:t>rbimeve nga agjensia doganore, blerje pullash fiskale, furnizime t</w:t>
      </w:r>
      <w:r w:rsidR="00B24FEC" w:rsidRPr="00265D72">
        <w:t>ë</w:t>
      </w:r>
      <w:r w:rsidR="00BA3789" w:rsidRPr="00265D72">
        <w:t xml:space="preserve"> cilat i sh</w:t>
      </w:r>
      <w:r w:rsidR="00B24FEC" w:rsidRPr="00265D72">
        <w:t>ë</w:t>
      </w:r>
      <w:r w:rsidR="00BA3789" w:rsidRPr="00265D72">
        <w:t>rbejn</w:t>
      </w:r>
      <w:r w:rsidR="00B24FEC" w:rsidRPr="00265D72">
        <w:t>ë</w:t>
      </w:r>
      <w:r w:rsidR="00BA3789" w:rsidRPr="00265D72">
        <w:t xml:space="preserve"> vet</w:t>
      </w:r>
      <w:r w:rsidR="00B24FEC" w:rsidRPr="00265D72">
        <w:t>ë</w:t>
      </w:r>
      <w:r w:rsidR="00BA3789" w:rsidRPr="00265D72">
        <w:t>m transaksioneve t</w:t>
      </w:r>
      <w:r w:rsidR="00B24FEC" w:rsidRPr="00265D72">
        <w:t>ë</w:t>
      </w:r>
      <w:r w:rsidR="00BA3789" w:rsidRPr="00265D72">
        <w:t xml:space="preserve"> tatueshme t</w:t>
      </w:r>
      <w:r w:rsidR="00B24FEC" w:rsidRPr="00265D72">
        <w:t>ë</w:t>
      </w:r>
      <w:r w:rsidR="00BA3789" w:rsidRPr="00265D72">
        <w:t xml:space="preserve"> shitjes s</w:t>
      </w:r>
      <w:r w:rsidR="00B24FEC" w:rsidRPr="00265D72">
        <w:t>ë</w:t>
      </w:r>
      <w:r w:rsidR="00BA3789" w:rsidRPr="00265D72">
        <w:t xml:space="preserve"> mallrave. Ato nuk i sh</w:t>
      </w:r>
      <w:r w:rsidR="00B24FEC" w:rsidRPr="00265D72">
        <w:t>ë</w:t>
      </w:r>
      <w:r w:rsidR="00BA3789" w:rsidRPr="00265D72">
        <w:t>rbejn</w:t>
      </w:r>
      <w:r w:rsidR="00B24FEC" w:rsidRPr="00265D72">
        <w:t>ë</w:t>
      </w:r>
      <w:r w:rsidR="00BA3789" w:rsidRPr="00265D72">
        <w:t xml:space="preserve"> dhe nuk kan</w:t>
      </w:r>
      <w:r w:rsidR="00B24FEC" w:rsidRPr="00265D72">
        <w:t>ë</w:t>
      </w:r>
      <w:r w:rsidR="00BA3789" w:rsidRPr="00265D72">
        <w:t xml:space="preserve"> lidhje me transaksione t</w:t>
      </w:r>
      <w:r w:rsidR="00B24FEC" w:rsidRPr="00265D72">
        <w:t>ë</w:t>
      </w:r>
      <w:r w:rsidR="00BA3789" w:rsidRPr="00265D72">
        <w:t xml:space="preserve"> patatueshme t</w:t>
      </w:r>
      <w:r w:rsidR="00B24FEC" w:rsidRPr="00265D72">
        <w:t>ë</w:t>
      </w:r>
      <w:r w:rsidR="00BA3789" w:rsidRPr="00265D72">
        <w:t xml:space="preserve"> qiradh</w:t>
      </w:r>
      <w:r w:rsidR="00B24FEC" w:rsidRPr="00265D72">
        <w:t>ë</w:t>
      </w:r>
      <w:r w:rsidR="00BA3789" w:rsidRPr="00265D72">
        <w:t>nies s</w:t>
      </w:r>
      <w:r w:rsidR="00B24FEC" w:rsidRPr="00265D72">
        <w:t>ë</w:t>
      </w:r>
      <w:r w:rsidR="00BA3789" w:rsidRPr="00265D72">
        <w:t xml:space="preserve"> ambjenteve, p</w:t>
      </w:r>
      <w:r w:rsidR="00B24FEC" w:rsidRPr="00265D72">
        <w:t>ë</w:t>
      </w:r>
      <w:r w:rsidR="00BA3789" w:rsidRPr="00265D72">
        <w:t>r rrjedhoj</w:t>
      </w:r>
      <w:r w:rsidR="00B24FEC" w:rsidRPr="00265D72">
        <w:t>ë</w:t>
      </w:r>
      <w:r w:rsidR="00BA3789" w:rsidRPr="00265D72">
        <w:t xml:space="preserve"> rregullimi i TVSH-s</w:t>
      </w:r>
      <w:r w:rsidR="00B24FEC" w:rsidRPr="00265D72">
        <w:t>ë</w:t>
      </w:r>
      <w:r w:rsidR="00BA3789" w:rsidRPr="00265D72">
        <w:t xml:space="preserve"> s</w:t>
      </w:r>
      <w:r w:rsidR="00B24FEC" w:rsidRPr="00265D72">
        <w:t>ë</w:t>
      </w:r>
      <w:r w:rsidR="00BA3789" w:rsidRPr="00265D72">
        <w:t xml:space="preserve"> zbritshme p</w:t>
      </w:r>
      <w:r w:rsidR="00B24FEC" w:rsidRPr="00265D72">
        <w:t>ë</w:t>
      </w:r>
      <w:r w:rsidR="00BA3789" w:rsidRPr="00265D72">
        <w:t xml:space="preserve">r to </w:t>
      </w:r>
      <w:r w:rsidR="00B24FEC" w:rsidRPr="00265D72">
        <w:t>ë</w:t>
      </w:r>
      <w:r w:rsidR="00BA3789" w:rsidRPr="00265D72">
        <w:t>sht</w:t>
      </w:r>
      <w:r w:rsidR="00B24FEC" w:rsidRPr="00265D72">
        <w:t>ë</w:t>
      </w:r>
      <w:r w:rsidR="00BA3789" w:rsidRPr="00265D72">
        <w:t xml:space="preserve"> i pabazuar n</w:t>
      </w:r>
      <w:r w:rsidR="00B24FEC" w:rsidRPr="00265D72">
        <w:t>ë</w:t>
      </w:r>
      <w:r w:rsidR="00BA3789" w:rsidRPr="00265D72">
        <w:t xml:space="preserve"> ligj. </w:t>
      </w:r>
      <w:r w:rsidR="00C611CE" w:rsidRPr="00265D72">
        <w:t>N</w:t>
      </w:r>
      <w:r w:rsidR="00B24FEC" w:rsidRPr="00265D72">
        <w:t>ë</w:t>
      </w:r>
      <w:r w:rsidR="00C611CE" w:rsidRPr="00265D72">
        <w:t xml:space="preserve"> k</w:t>
      </w:r>
      <w:r w:rsidR="00B24FEC" w:rsidRPr="00265D72">
        <w:t>ë</w:t>
      </w:r>
      <w:r w:rsidR="00C611CE" w:rsidRPr="00265D72">
        <w:t>t</w:t>
      </w:r>
      <w:r w:rsidR="00B24FEC" w:rsidRPr="00265D72">
        <w:t>ë</w:t>
      </w:r>
      <w:r w:rsidR="00C611CE" w:rsidRPr="00265D72">
        <w:t xml:space="preserve"> rast, inspektor</w:t>
      </w:r>
      <w:r w:rsidR="00B24FEC" w:rsidRPr="00265D72">
        <w:t>ë</w:t>
      </w:r>
      <w:r w:rsidR="00C611CE" w:rsidRPr="00265D72">
        <w:t>t e kontrollit do t</w:t>
      </w:r>
      <w:r w:rsidR="00B24FEC" w:rsidRPr="00265D72">
        <w:t>ë</w:t>
      </w:r>
      <w:r w:rsidR="00C611CE" w:rsidRPr="00265D72">
        <w:t xml:space="preserve"> duhej t</w:t>
      </w:r>
      <w:r w:rsidR="00B24FEC" w:rsidRPr="00265D72">
        <w:t>ë</w:t>
      </w:r>
      <w:r w:rsidR="00C611CE" w:rsidRPr="00265D72">
        <w:t xml:space="preserve"> vler</w:t>
      </w:r>
      <w:r w:rsidR="00B24FEC" w:rsidRPr="00265D72">
        <w:t>ë</w:t>
      </w:r>
      <w:r w:rsidR="00C611CE" w:rsidRPr="00265D72">
        <w:t>sonin rregullimin e TVSH-s</w:t>
      </w:r>
      <w:r w:rsidR="00B24FEC" w:rsidRPr="00265D72">
        <w:t>ë</w:t>
      </w:r>
      <w:r w:rsidR="00C611CE" w:rsidRPr="00265D72">
        <w:t xml:space="preserve"> s</w:t>
      </w:r>
      <w:r w:rsidR="00B24FEC" w:rsidRPr="00265D72">
        <w:t>ë</w:t>
      </w:r>
      <w:r w:rsidR="00C611CE" w:rsidRPr="00265D72">
        <w:t xml:space="preserve"> zbritur vet</w:t>
      </w:r>
      <w:r w:rsidR="00B24FEC" w:rsidRPr="00265D72">
        <w:t>ë</w:t>
      </w:r>
      <w:r w:rsidR="00C611CE" w:rsidRPr="00265D72">
        <w:t>m p</w:t>
      </w:r>
      <w:r w:rsidR="00B24FEC" w:rsidRPr="00265D72">
        <w:t>ë</w:t>
      </w:r>
      <w:r w:rsidR="00C611CE" w:rsidRPr="00265D72">
        <w:t>r furnizimet q</w:t>
      </w:r>
      <w:r w:rsidR="00B24FEC" w:rsidRPr="00265D72">
        <w:t>ë</w:t>
      </w:r>
      <w:r w:rsidR="00C611CE" w:rsidRPr="00265D72">
        <w:t xml:space="preserve"> iu sh</w:t>
      </w:r>
      <w:r w:rsidR="00B24FEC" w:rsidRPr="00265D72">
        <w:t>ë</w:t>
      </w:r>
      <w:r w:rsidR="00C611CE" w:rsidRPr="00265D72">
        <w:t>rbejn</w:t>
      </w:r>
      <w:r w:rsidR="00B24FEC" w:rsidRPr="00265D72">
        <w:t>ë</w:t>
      </w:r>
      <w:r w:rsidR="00C611CE" w:rsidRPr="00265D72">
        <w:t xml:space="preserve"> nj</w:t>
      </w:r>
      <w:r w:rsidR="00B24FEC" w:rsidRPr="00265D72">
        <w:t>ë</w:t>
      </w:r>
      <w:r w:rsidR="00C611CE" w:rsidRPr="00265D72">
        <w:t>koh</w:t>
      </w:r>
      <w:r w:rsidR="00B24FEC" w:rsidRPr="00265D72">
        <w:t>ë</w:t>
      </w:r>
      <w:r w:rsidR="00C611CE" w:rsidRPr="00265D72">
        <w:t>sisht si aktiviteteve t</w:t>
      </w:r>
      <w:r w:rsidR="00B24FEC" w:rsidRPr="00265D72">
        <w:t>ë</w:t>
      </w:r>
      <w:r w:rsidR="00C611CE" w:rsidRPr="00265D72">
        <w:t xml:space="preserve"> tatueshme ashtu edhe atyr</w:t>
      </w:r>
      <w:r w:rsidR="00B24FEC" w:rsidRPr="00265D72">
        <w:t>ë</w:t>
      </w:r>
      <w:r w:rsidR="00C611CE" w:rsidRPr="00265D72">
        <w:t xml:space="preserve"> t</w:t>
      </w:r>
      <w:r w:rsidR="00B24FEC" w:rsidRPr="00265D72">
        <w:t>ë</w:t>
      </w:r>
      <w:r w:rsidR="00C611CE" w:rsidRPr="00265D72">
        <w:t xml:space="preserve"> patatueshme (sh</w:t>
      </w:r>
      <w:r w:rsidR="00B24FEC" w:rsidRPr="00265D72">
        <w:t>ë</w:t>
      </w:r>
      <w:r w:rsidR="00C611CE" w:rsidRPr="00265D72">
        <w:t>rbimet e auditimit, konsulenc</w:t>
      </w:r>
      <w:r w:rsidR="00B24FEC" w:rsidRPr="00265D72">
        <w:t>ë</w:t>
      </w:r>
      <w:r w:rsidR="00C611CE" w:rsidRPr="00265D72">
        <w:t xml:space="preserve"> ligjore dhe blerjes s</w:t>
      </w:r>
      <w:r w:rsidR="00B24FEC" w:rsidRPr="00265D72">
        <w:t>ë</w:t>
      </w:r>
      <w:r w:rsidR="00C611CE" w:rsidRPr="00265D72">
        <w:t xml:space="preserve"> programit t</w:t>
      </w:r>
      <w:r w:rsidR="00B24FEC" w:rsidRPr="00265D72">
        <w:t>ë</w:t>
      </w:r>
      <w:r w:rsidR="00C611CE" w:rsidRPr="00265D72">
        <w:t xml:space="preserve"> fiskalizimit) t</w:t>
      </w:r>
      <w:r w:rsidR="00B24FEC" w:rsidRPr="00265D72">
        <w:t>ë</w:t>
      </w:r>
      <w:r w:rsidR="00C611CE" w:rsidRPr="00265D72">
        <w:t xml:space="preserve"> cilat i sh</w:t>
      </w:r>
      <w:r w:rsidR="00B24FEC" w:rsidRPr="00265D72">
        <w:t>ë</w:t>
      </w:r>
      <w:r w:rsidR="00C611CE" w:rsidRPr="00265D72">
        <w:t>rbejn</w:t>
      </w:r>
      <w:r w:rsidR="00B24FEC" w:rsidRPr="00265D72">
        <w:t>ë</w:t>
      </w:r>
      <w:r w:rsidR="00C611CE" w:rsidRPr="00265D72">
        <w:t xml:space="preserve"> edhe transaksioneve t</w:t>
      </w:r>
      <w:r w:rsidR="00B24FEC" w:rsidRPr="00265D72">
        <w:t>ë</w:t>
      </w:r>
      <w:r w:rsidR="00C611CE" w:rsidRPr="00265D72">
        <w:t xml:space="preserve"> patatueshme t</w:t>
      </w:r>
      <w:r w:rsidR="00B24FEC" w:rsidRPr="00265D72">
        <w:t>ë</w:t>
      </w:r>
      <w:r w:rsidR="00C611CE" w:rsidRPr="00265D72">
        <w:t xml:space="preserve"> qiradh</w:t>
      </w:r>
      <w:r w:rsidR="00B24FEC" w:rsidRPr="00265D72">
        <w:t>ë</w:t>
      </w:r>
      <w:r w:rsidR="00C611CE" w:rsidRPr="00265D72">
        <w:t>nies. N</w:t>
      </w:r>
      <w:r w:rsidR="00B24FEC" w:rsidRPr="00265D72">
        <w:t>ë</w:t>
      </w:r>
      <w:r w:rsidR="00C611CE" w:rsidRPr="00265D72">
        <w:t xml:space="preserve"> baz</w:t>
      </w:r>
      <w:r w:rsidR="00B24FEC" w:rsidRPr="00265D72">
        <w:t>ë</w:t>
      </w:r>
      <w:r w:rsidR="00C611CE" w:rsidRPr="00265D72">
        <w:t xml:space="preserve"> t</w:t>
      </w:r>
      <w:r w:rsidR="00B24FEC" w:rsidRPr="00265D72">
        <w:t>ë</w:t>
      </w:r>
      <w:r w:rsidR="00C611CE" w:rsidRPr="00265D72">
        <w:t xml:space="preserve"> analiz</w:t>
      </w:r>
      <w:r w:rsidR="00B24FEC" w:rsidRPr="00265D72">
        <w:t>ë</w:t>
      </w:r>
      <w:r w:rsidR="00C611CE" w:rsidRPr="00265D72">
        <w:t>s s</w:t>
      </w:r>
      <w:r w:rsidR="00B24FEC" w:rsidRPr="00265D72">
        <w:t>ë</w:t>
      </w:r>
      <w:r w:rsidR="00C611CE" w:rsidRPr="00265D72">
        <w:t xml:space="preserve"> blerjes sipas natyr</w:t>
      </w:r>
      <w:r w:rsidR="00B24FEC" w:rsidRPr="00265D72">
        <w:t>ë</w:t>
      </w:r>
      <w:r w:rsidR="00C611CE" w:rsidRPr="00265D72">
        <w:t>s t</w:t>
      </w:r>
      <w:r w:rsidR="00B24FEC" w:rsidRPr="00265D72">
        <w:t>ë</w:t>
      </w:r>
      <w:r w:rsidR="00C611CE" w:rsidRPr="00265D72">
        <w:t xml:space="preserve"> kryer nga inspektor</w:t>
      </w:r>
      <w:r w:rsidR="00B24FEC" w:rsidRPr="00265D72">
        <w:t>ë</w:t>
      </w:r>
      <w:r w:rsidR="00C611CE" w:rsidRPr="00265D72">
        <w:t>t p</w:t>
      </w:r>
      <w:r w:rsidR="00B24FEC" w:rsidRPr="00265D72">
        <w:t>ë</w:t>
      </w:r>
      <w:r w:rsidR="00C611CE" w:rsidRPr="00265D72">
        <w:t>r periudh</w:t>
      </w:r>
      <w:r w:rsidR="00B24FEC" w:rsidRPr="00265D72">
        <w:t>ë</w:t>
      </w:r>
      <w:r w:rsidR="00C611CE" w:rsidRPr="00265D72">
        <w:t>n Janar-Tetor 2021, totali i TVSH-s</w:t>
      </w:r>
      <w:r w:rsidR="00B24FEC" w:rsidRPr="00265D72">
        <w:t>ë</w:t>
      </w:r>
      <w:r w:rsidR="00C611CE" w:rsidRPr="00265D72">
        <w:t xml:space="preserve"> s</w:t>
      </w:r>
      <w:r w:rsidR="00B24FEC" w:rsidRPr="00265D72">
        <w:t>ë</w:t>
      </w:r>
      <w:r w:rsidR="00C611CE" w:rsidRPr="00265D72">
        <w:t xml:space="preserve"> zbritshme p</w:t>
      </w:r>
      <w:r w:rsidR="00B24FEC" w:rsidRPr="00265D72">
        <w:t>ë</w:t>
      </w:r>
      <w:r w:rsidR="00C611CE" w:rsidRPr="00265D72">
        <w:t>r k</w:t>
      </w:r>
      <w:r w:rsidR="00B24FEC" w:rsidRPr="00265D72">
        <w:t>ë</w:t>
      </w:r>
      <w:r w:rsidR="00C611CE" w:rsidRPr="00265D72">
        <w:t>to furnizime dhe p</w:t>
      </w:r>
      <w:r w:rsidR="00B24FEC" w:rsidRPr="00265D72">
        <w:t>ë</w:t>
      </w:r>
      <w:r w:rsidR="00C611CE" w:rsidRPr="00265D72">
        <w:t>r t</w:t>
      </w:r>
      <w:r w:rsidR="00B24FEC" w:rsidRPr="00265D72">
        <w:t>ë</w:t>
      </w:r>
      <w:r w:rsidR="00C611CE" w:rsidRPr="00265D72">
        <w:t xml:space="preserve"> cilat duhej aplikuar koeficienti i zbritjes s</w:t>
      </w:r>
      <w:r w:rsidR="00B24FEC" w:rsidRPr="00265D72">
        <w:t>ë</w:t>
      </w:r>
      <w:r w:rsidR="00C611CE" w:rsidRPr="00265D72">
        <w:t xml:space="preserve"> TVSH-s</w:t>
      </w:r>
      <w:r w:rsidR="00B24FEC" w:rsidRPr="00265D72">
        <w:t>ë</w:t>
      </w:r>
      <w:r w:rsidR="00C611CE" w:rsidRPr="00265D72">
        <w:t xml:space="preserve"> </w:t>
      </w:r>
      <w:r w:rsidR="00B24FEC" w:rsidRPr="00265D72">
        <w:t>ë</w:t>
      </w:r>
      <w:r w:rsidR="00C611CE" w:rsidRPr="00265D72">
        <w:t>sht</w:t>
      </w:r>
      <w:r w:rsidR="00B24FEC" w:rsidRPr="00265D72">
        <w:t>ë</w:t>
      </w:r>
      <w:r w:rsidR="00C611CE" w:rsidRPr="00265D72">
        <w:t xml:space="preserve"> vet</w:t>
      </w:r>
      <w:r w:rsidR="00B24FEC" w:rsidRPr="00265D72">
        <w:t>ë</w:t>
      </w:r>
      <w:r w:rsidR="00C611CE" w:rsidRPr="00265D72">
        <w:t>m 89,908 lek</w:t>
      </w:r>
      <w:r w:rsidR="00B24FEC" w:rsidRPr="00265D72">
        <w:t>ë (shpenzime juridike, auditimi dhe blerje program auditimi). Sipas koeficientit të llogaritur 98.18%, TVSH-ja e kredituar më tepër për periudhën 01-10/2021 do të ishte vetëm 1,636 lekë. Referuar nenit 56, ky ndryshim është më i vogël se 20,000 lekë, e për rrjëdhojë shoqëria nuk ka detyrimin të bëjë rregullimin e TVSH-së së zbritshme për periudhën Janar-Tetor 2021.</w:t>
      </w:r>
    </w:p>
    <w:p w:rsidR="009F7AA6" w:rsidRPr="00265D72" w:rsidRDefault="009F7AA6" w:rsidP="00CE0EFE">
      <w:pPr>
        <w:widowControl w:val="0"/>
        <w:spacing w:line="276" w:lineRule="auto"/>
        <w:jc w:val="both"/>
      </w:pPr>
    </w:p>
    <w:p w:rsidR="00414F2C" w:rsidRPr="00265D72" w:rsidRDefault="00414F2C" w:rsidP="00CE0EFE">
      <w:pPr>
        <w:widowControl w:val="0"/>
        <w:spacing w:line="276" w:lineRule="auto"/>
        <w:jc w:val="both"/>
      </w:pPr>
    </w:p>
    <w:p w:rsidR="009E467E" w:rsidRPr="00265D72" w:rsidRDefault="00A244ED" w:rsidP="00CE0EFE">
      <w:pPr>
        <w:widowControl w:val="0"/>
        <w:spacing w:line="276" w:lineRule="auto"/>
        <w:jc w:val="center"/>
      </w:pPr>
      <w:r w:rsidRPr="00265D72">
        <w:t>***</w:t>
      </w:r>
    </w:p>
    <w:p w:rsidR="00A244ED" w:rsidRPr="00265D72" w:rsidRDefault="00A244ED" w:rsidP="00CE0EFE">
      <w:pPr>
        <w:widowControl w:val="0"/>
        <w:spacing w:line="276" w:lineRule="auto"/>
        <w:jc w:val="both"/>
      </w:pPr>
      <w:r w:rsidRPr="00265D72">
        <w:t xml:space="preserve">Drejtoria e Apelimit Tatimor, pas shqyrtimit të pretendimeve të shoqërisë, të dhënave në </w:t>
      </w:r>
      <w:r w:rsidR="00742918" w:rsidRPr="00265D72">
        <w:t xml:space="preserve">raportin e kontrollit </w:t>
      </w:r>
      <w:r w:rsidRPr="00265D72">
        <w:t>dhe pasi hulumtoi në dispozitat ligjore</w:t>
      </w:r>
      <w:r w:rsidR="00F65590" w:rsidRPr="00265D72">
        <w:t xml:space="preserve"> </w:t>
      </w:r>
      <w:r w:rsidR="00F65590" w:rsidRPr="00265D72">
        <w:rPr>
          <w:bCs/>
        </w:rPr>
        <w:t>ku përcaktohet kreditimi i pjesshëm i TVSH-së</w:t>
      </w:r>
      <w:r w:rsidR="00F65590" w:rsidRPr="00265D72">
        <w:t xml:space="preserve"> si dhe t</w:t>
      </w:r>
      <w:r w:rsidR="002C2872" w:rsidRPr="00265D72">
        <w:t>ë</w:t>
      </w:r>
      <w:r w:rsidR="00F65590" w:rsidRPr="00265D72">
        <w:t xml:space="preserve"> drejt</w:t>
      </w:r>
      <w:r w:rsidR="002C2872" w:rsidRPr="00265D72">
        <w:t>ë</w:t>
      </w:r>
      <w:r w:rsidR="00F65590" w:rsidRPr="00265D72">
        <w:t>n e zbritjes</w:t>
      </w:r>
      <w:r w:rsidR="00742918" w:rsidRPr="00265D72">
        <w:t>, vlerëson se:</w:t>
      </w:r>
    </w:p>
    <w:p w:rsidR="003C552F" w:rsidRPr="00265D72" w:rsidRDefault="003C552F" w:rsidP="00CE0EFE">
      <w:pPr>
        <w:widowControl w:val="0"/>
        <w:spacing w:line="276" w:lineRule="auto"/>
        <w:jc w:val="both"/>
      </w:pPr>
    </w:p>
    <w:p w:rsidR="00504811" w:rsidRPr="00CE0EFE" w:rsidRDefault="00DF342A" w:rsidP="00CE0EFE">
      <w:pPr>
        <w:widowControl w:val="0"/>
        <w:spacing w:line="276" w:lineRule="auto"/>
        <w:jc w:val="both"/>
        <w:rPr>
          <w:i/>
          <w:color w:val="000000"/>
        </w:rPr>
      </w:pPr>
      <w:r w:rsidRPr="00CE0EFE">
        <w:t>N</w:t>
      </w:r>
      <w:r w:rsidR="00287297" w:rsidRPr="00CE0EFE">
        <w:t>ë</w:t>
      </w:r>
      <w:r w:rsidRPr="00CE0EFE">
        <w:t xml:space="preserve"> nenin 69 t</w:t>
      </w:r>
      <w:r w:rsidR="00287297" w:rsidRPr="00CE0EFE">
        <w:t>ë</w:t>
      </w:r>
      <w:r w:rsidRPr="00CE0EFE">
        <w:t xml:space="preserve"> Ligjit Nr.92/2014 dat</w:t>
      </w:r>
      <w:r w:rsidR="00287297" w:rsidRPr="00CE0EFE">
        <w:t>ë</w:t>
      </w:r>
      <w:r w:rsidRPr="00CE0EFE">
        <w:t xml:space="preserve"> 24.07.2014 “P</w:t>
      </w:r>
      <w:r w:rsidR="00287297" w:rsidRPr="00CE0EFE">
        <w:t>ë</w:t>
      </w:r>
      <w:r w:rsidRPr="00CE0EFE">
        <w:t xml:space="preserve">r </w:t>
      </w:r>
      <w:r w:rsidR="00504811" w:rsidRPr="00CE0EFE">
        <w:t>Tatimin mbi Vler</w:t>
      </w:r>
      <w:r w:rsidR="00287297" w:rsidRPr="00CE0EFE">
        <w:t>ë</w:t>
      </w:r>
      <w:r w:rsidR="00504811" w:rsidRPr="00CE0EFE">
        <w:t>n e Shtuar n</w:t>
      </w:r>
      <w:r w:rsidR="00287297" w:rsidRPr="00CE0EFE">
        <w:t>ë</w:t>
      </w:r>
      <w:r w:rsidR="00504811" w:rsidRPr="00CE0EFE">
        <w:t xml:space="preserve"> Republik</w:t>
      </w:r>
      <w:r w:rsidR="00287297" w:rsidRPr="00CE0EFE">
        <w:t>ë</w:t>
      </w:r>
      <w:r w:rsidR="00504811" w:rsidRPr="00CE0EFE">
        <w:t>n e Shqip</w:t>
      </w:r>
      <w:r w:rsidR="00287297" w:rsidRPr="00CE0EFE">
        <w:t>ë</w:t>
      </w:r>
      <w:r w:rsidR="00504811" w:rsidRPr="00CE0EFE">
        <w:t>ris</w:t>
      </w:r>
      <w:r w:rsidR="00287297" w:rsidRPr="00CE0EFE">
        <w:t>ë</w:t>
      </w:r>
      <w:r w:rsidR="00504811" w:rsidRPr="00CE0EFE">
        <w:t>” p</w:t>
      </w:r>
      <w:r w:rsidR="00287297" w:rsidRPr="00CE0EFE">
        <w:t>ë</w:t>
      </w:r>
      <w:r w:rsidR="00504811" w:rsidRPr="00CE0EFE">
        <w:t xml:space="preserve">rcaktohet se </w:t>
      </w:r>
      <w:r w:rsidR="00504811" w:rsidRPr="00CE0EFE">
        <w:rPr>
          <w:i/>
        </w:rPr>
        <w:t>“</w:t>
      </w:r>
      <w:r w:rsidR="00504811" w:rsidRPr="00CE0EFE">
        <w:rPr>
          <w:i/>
          <w:color w:val="000000"/>
        </w:rPr>
        <w:t xml:space="preserve">1. Personi i tatueshëm gëzon të drejtën që të zbresë nga TVSH-ja e llogaritur për transaksionet e tatueshme shumat e mëposhtme të TVSH-së, në masën që furnizimet e mallrave dhe shërbimeve të marra përdoren nga personi i tatueshëm në funksion të këtyre transaksioneve të tatueshme: </w:t>
      </w:r>
    </w:p>
    <w:p w:rsidR="00504811" w:rsidRPr="00CE0EFE" w:rsidRDefault="00504811" w:rsidP="00CE0EFE">
      <w:pPr>
        <w:widowControl w:val="0"/>
        <w:spacing w:line="276" w:lineRule="auto"/>
        <w:jc w:val="both"/>
        <w:rPr>
          <w:i/>
          <w:color w:val="000000"/>
        </w:rPr>
      </w:pPr>
      <w:r w:rsidRPr="00CE0EFE">
        <w:rPr>
          <w:i/>
          <w:color w:val="000000"/>
        </w:rPr>
        <w:t>a)TVSH-në e paguar apo për t’u paguar në Republikën e Shqipërisë për furnizimet e mallrave dhe shërbimeve që i janë furnizuar ose do t’i furnizohen këtij nga ana e një tjetër personi të tatueshëm;</w:t>
      </w:r>
    </w:p>
    <w:p w:rsidR="00504811" w:rsidRPr="00CE0EFE" w:rsidRDefault="00504811" w:rsidP="00CE0EFE">
      <w:pPr>
        <w:widowControl w:val="0"/>
        <w:spacing w:line="276" w:lineRule="auto"/>
        <w:jc w:val="both"/>
        <w:rPr>
          <w:i/>
          <w:color w:val="000000"/>
        </w:rPr>
      </w:pPr>
      <w:r w:rsidRPr="00CE0EFE">
        <w:rPr>
          <w:i/>
          <w:color w:val="000000"/>
        </w:rPr>
        <w:t>b)TVSH-në për t’u paguar për veprimet e përngjashme me shitjet e mallrave dhe me kryerjen e shërbimeve, në përputhje me shkronjat “c” dhe “ç”, të pikës 2, të nenit 9, dhe të shkronjës “c”, të pikës 2, të nenit 12, të këtij ligji.</w:t>
      </w:r>
    </w:p>
    <w:p w:rsidR="00504811" w:rsidRPr="00CE0EFE" w:rsidRDefault="00504811" w:rsidP="00CE0EFE">
      <w:pPr>
        <w:widowControl w:val="0"/>
        <w:spacing w:line="276" w:lineRule="auto"/>
        <w:jc w:val="both"/>
        <w:rPr>
          <w:i/>
          <w:color w:val="000000"/>
        </w:rPr>
      </w:pPr>
      <w:r w:rsidRPr="00CE0EFE">
        <w:rPr>
          <w:i/>
          <w:color w:val="000000"/>
        </w:rPr>
        <w:t>c) TVSH-në e paguar për mallrat e importuara në Shqipëri.</w:t>
      </w:r>
    </w:p>
    <w:p w:rsidR="00504811" w:rsidRPr="00CE0EFE" w:rsidRDefault="00504811" w:rsidP="00CE0EFE">
      <w:pPr>
        <w:widowControl w:val="0"/>
        <w:spacing w:line="276" w:lineRule="auto"/>
        <w:jc w:val="both"/>
        <w:rPr>
          <w:i/>
          <w:color w:val="000000"/>
        </w:rPr>
      </w:pPr>
      <w:r w:rsidRPr="00CE0EFE">
        <w:rPr>
          <w:i/>
          <w:color w:val="000000"/>
        </w:rPr>
        <w:lastRenderedPageBreak/>
        <w:t>2.Për pasurinë e paluajtshme, e cila bën pjesë në pasurinë e biznesit të personit të tatueshëm dhe që përdoret njëkohësisht si për qëllime të veprimtarisë së tij ekonomike, edhe për qëllime të tjera të ndryshme nga ato të veprimtarisë ekonomike, TVSH-ja mbi furnizimet e marra, të lidhura direkt me këtë pasuri është e zbritshme në proporcion me përdorimin e kësaj pasurie për qëllime të veprimtarisë ekonomike të personit të tatueshëm.</w:t>
      </w:r>
    </w:p>
    <w:p w:rsidR="00F65590" w:rsidRPr="00CE0EFE" w:rsidRDefault="00504811" w:rsidP="00CE0EFE">
      <w:pPr>
        <w:widowControl w:val="0"/>
        <w:spacing w:line="276" w:lineRule="auto"/>
        <w:jc w:val="both"/>
        <w:rPr>
          <w:i/>
          <w:color w:val="000000"/>
        </w:rPr>
      </w:pPr>
      <w:r w:rsidRPr="00CE0EFE">
        <w:rPr>
          <w:i/>
          <w:color w:val="000000"/>
        </w:rPr>
        <w:t>3.TVSH-ja e furnizimeve të marra të mallrave të tjera, të ndryshme nga ato në pikën 2, të këtij neni, dhe që janë pjesë e pasurisë së biznesit, është e zbritshme në proporcion me përdorimin e kësaj pasurie për qëllime të veprimtarisë ekonomike të personit të tatueshëm.”</w:t>
      </w:r>
    </w:p>
    <w:p w:rsidR="00F65590" w:rsidRPr="00CE0EFE" w:rsidRDefault="00F65590" w:rsidP="00CE0EFE">
      <w:pPr>
        <w:widowControl w:val="0"/>
        <w:spacing w:line="276" w:lineRule="auto"/>
        <w:jc w:val="both"/>
      </w:pPr>
    </w:p>
    <w:p w:rsidR="00C721EA" w:rsidRPr="00CE0EFE" w:rsidRDefault="00C721EA" w:rsidP="00CE0EFE">
      <w:pPr>
        <w:widowControl w:val="0"/>
        <w:spacing w:line="276" w:lineRule="auto"/>
        <w:jc w:val="both"/>
        <w:rPr>
          <w:i/>
          <w:color w:val="000000"/>
        </w:rPr>
      </w:pPr>
      <w:r w:rsidRPr="00CE0EFE">
        <w:t>Neni 71 e Ligjit Nr.92/2014 p</w:t>
      </w:r>
      <w:r w:rsidR="00287297" w:rsidRPr="00CE0EFE">
        <w:t>ë</w:t>
      </w:r>
      <w:r w:rsidRPr="00CE0EFE">
        <w:t xml:space="preserve">rcakton se </w:t>
      </w:r>
      <w:r w:rsidRPr="00CE0EFE">
        <w:rPr>
          <w:i/>
        </w:rPr>
        <w:t>“</w:t>
      </w:r>
      <w:r w:rsidRPr="00CE0EFE">
        <w:rPr>
          <w:i/>
          <w:color w:val="000000"/>
        </w:rPr>
        <w:t xml:space="preserve">Nëse furnizimet e mallrave dhe shërbimeve përdoren nga një person i tatueshëm, si për kryerjen e transaksioneve të tatueshme që sjellin të drejtën e zbritjes së TVSH-së, mbi bazën e neneve 69 dhe 70, të këtij ligji, edhe për transaksionet që nuk e sjellin këtë të drejtë, atëherë vetëm pjesa e TVSH-së që lidhet me kategorinë e parë të transaksioneve është e zbritshme. </w:t>
      </w:r>
    </w:p>
    <w:p w:rsidR="00C721EA" w:rsidRPr="00CE0EFE" w:rsidRDefault="00C721EA" w:rsidP="00CE0EFE">
      <w:pPr>
        <w:widowControl w:val="0"/>
        <w:spacing w:line="276" w:lineRule="auto"/>
        <w:jc w:val="both"/>
        <w:rPr>
          <w:i/>
          <w:color w:val="000000"/>
        </w:rPr>
      </w:pPr>
      <w:r w:rsidRPr="00CE0EFE">
        <w:rPr>
          <w:i/>
          <w:color w:val="000000"/>
        </w:rPr>
        <w:t>Pjesa e TVSH-së së zbritshme përcaktohet mbi bazën e neneve 72 e 73 për tërësinë e</w:t>
      </w:r>
      <w:r w:rsidR="00515A60" w:rsidRPr="00CE0EFE">
        <w:rPr>
          <w:i/>
          <w:color w:val="000000"/>
        </w:rPr>
        <w:t xml:space="preserve"> </w:t>
      </w:r>
      <w:r w:rsidRPr="00CE0EFE">
        <w:rPr>
          <w:i/>
          <w:color w:val="000000"/>
        </w:rPr>
        <w:t>transaksioneve të kryera nga ana e personit të tatueshëm.”</w:t>
      </w:r>
    </w:p>
    <w:p w:rsidR="008763A1" w:rsidRPr="00CE0EFE" w:rsidRDefault="008763A1" w:rsidP="00CE0EFE">
      <w:pPr>
        <w:pStyle w:val="Header"/>
        <w:widowControl w:val="0"/>
        <w:tabs>
          <w:tab w:val="left" w:pos="720"/>
        </w:tabs>
        <w:spacing w:line="276" w:lineRule="auto"/>
        <w:jc w:val="both"/>
        <w:rPr>
          <w:bCs/>
        </w:rPr>
      </w:pPr>
    </w:p>
    <w:p w:rsidR="004933E7" w:rsidRPr="00CE0EFE" w:rsidRDefault="008763A1" w:rsidP="00CE0EFE">
      <w:pPr>
        <w:pStyle w:val="Header"/>
        <w:widowControl w:val="0"/>
        <w:tabs>
          <w:tab w:val="left" w:pos="720"/>
        </w:tabs>
        <w:spacing w:line="276" w:lineRule="auto"/>
        <w:jc w:val="both"/>
        <w:rPr>
          <w:bCs/>
        </w:rPr>
      </w:pPr>
      <w:r w:rsidRPr="00CE0EFE">
        <w:rPr>
          <w:bCs/>
        </w:rPr>
        <w:t xml:space="preserve">Këto dispozita përcaktojnë se e drejta e kreditimit të TVSH-së së paguar në blerjen e mallrave apo shërbimeve është e lidhur ngushtësisht me qëllimin e tyre. Nëse këto furnizime i shërbejnë vetëm furnizimeve të tatueshme, tatimpaguesi gëzon të drejtën të kreditojë tërësisht TVSH e paguar për blerjen e tyre. Nëse këto furnizime i shërbejnë vetëm furnizimeve të përjashtuara, tatimpaguesi nuk gëzon të drejtën të kreditojë TVSH e paguar në blerjen e tyre. Nëse furnizimet i shërbejnë si furnizimeve të tatueshme, ashtu dhe furnizimeve të përjashtuara, kreditimi i TVSH-së së paguar do të bëhet në përpjestim të drejtë me shitjet e tatueshme të shoqërisë, gjatë vitit në të cilën janë kryer blerjet (duke respektuar procedurën e trajtuar </w:t>
      </w:r>
      <w:r w:rsidR="004933E7" w:rsidRPr="00CE0EFE">
        <w:rPr>
          <w:bCs/>
        </w:rPr>
        <w:t>n</w:t>
      </w:r>
      <w:r w:rsidR="00287297" w:rsidRPr="00CE0EFE">
        <w:rPr>
          <w:bCs/>
        </w:rPr>
        <w:t>ë</w:t>
      </w:r>
      <w:r w:rsidR="004933E7" w:rsidRPr="00CE0EFE">
        <w:rPr>
          <w:bCs/>
        </w:rPr>
        <w:t xml:space="preserve"> nenin</w:t>
      </w:r>
      <w:r w:rsidR="00287297" w:rsidRPr="00CE0EFE">
        <w:rPr>
          <w:bCs/>
        </w:rPr>
        <w:t xml:space="preserve"> </w:t>
      </w:r>
      <w:r w:rsidR="004933E7" w:rsidRPr="00CE0EFE">
        <w:rPr>
          <w:bCs/>
        </w:rPr>
        <w:t>72 dhe 73 t</w:t>
      </w:r>
      <w:r w:rsidR="00287297" w:rsidRPr="00CE0EFE">
        <w:rPr>
          <w:bCs/>
        </w:rPr>
        <w:t>ë</w:t>
      </w:r>
      <w:r w:rsidR="004933E7" w:rsidRPr="00CE0EFE">
        <w:rPr>
          <w:bCs/>
        </w:rPr>
        <w:t xml:space="preserve"> Ligjit Nr.92/2014 mbi m</w:t>
      </w:r>
      <w:r w:rsidR="00287297" w:rsidRPr="00CE0EFE">
        <w:rPr>
          <w:bCs/>
        </w:rPr>
        <w:t>ë</w:t>
      </w:r>
      <w:r w:rsidR="004933E7" w:rsidRPr="00CE0EFE">
        <w:rPr>
          <w:bCs/>
        </w:rPr>
        <w:t>nyr</w:t>
      </w:r>
      <w:r w:rsidR="00287297" w:rsidRPr="00CE0EFE">
        <w:rPr>
          <w:bCs/>
        </w:rPr>
        <w:t>ë</w:t>
      </w:r>
      <w:r w:rsidR="004933E7" w:rsidRPr="00CE0EFE">
        <w:rPr>
          <w:bCs/>
        </w:rPr>
        <w:t>n e llogaritjes s</w:t>
      </w:r>
      <w:r w:rsidR="00287297" w:rsidRPr="00CE0EFE">
        <w:rPr>
          <w:bCs/>
        </w:rPr>
        <w:t>ë</w:t>
      </w:r>
      <w:r w:rsidR="004933E7" w:rsidRPr="00CE0EFE">
        <w:rPr>
          <w:bCs/>
        </w:rPr>
        <w:t xml:space="preserve"> koeficientit t</w:t>
      </w:r>
      <w:r w:rsidR="00287297" w:rsidRPr="00CE0EFE">
        <w:rPr>
          <w:bCs/>
        </w:rPr>
        <w:t>ë</w:t>
      </w:r>
      <w:r w:rsidR="004933E7" w:rsidRPr="00CE0EFE">
        <w:rPr>
          <w:bCs/>
        </w:rPr>
        <w:t xml:space="preserve"> zbritjes s</w:t>
      </w:r>
      <w:r w:rsidR="00287297" w:rsidRPr="00CE0EFE">
        <w:rPr>
          <w:bCs/>
        </w:rPr>
        <w:t>ë</w:t>
      </w:r>
      <w:r w:rsidR="004933E7" w:rsidRPr="00CE0EFE">
        <w:rPr>
          <w:bCs/>
        </w:rPr>
        <w:t xml:space="preserve"> TVSH-s</w:t>
      </w:r>
      <w:r w:rsidR="00287297" w:rsidRPr="00CE0EFE">
        <w:rPr>
          <w:bCs/>
        </w:rPr>
        <w:t>ë</w:t>
      </w:r>
      <w:r w:rsidR="004933E7" w:rsidRPr="00CE0EFE">
        <w:rPr>
          <w:bCs/>
        </w:rPr>
        <w:t xml:space="preserve"> dhe rregullat e aplikimit t</w:t>
      </w:r>
      <w:r w:rsidR="00287297" w:rsidRPr="00CE0EFE">
        <w:rPr>
          <w:bCs/>
        </w:rPr>
        <w:t>ë</w:t>
      </w:r>
      <w:r w:rsidR="004933E7" w:rsidRPr="00CE0EFE">
        <w:rPr>
          <w:bCs/>
        </w:rPr>
        <w:t xml:space="preserve"> tij).</w:t>
      </w:r>
    </w:p>
    <w:p w:rsidR="004933E7" w:rsidRPr="00CE0EFE" w:rsidRDefault="004933E7" w:rsidP="00CE0EFE">
      <w:pPr>
        <w:pStyle w:val="Header"/>
        <w:widowControl w:val="0"/>
        <w:tabs>
          <w:tab w:val="left" w:pos="720"/>
        </w:tabs>
        <w:spacing w:line="276" w:lineRule="auto"/>
        <w:jc w:val="both"/>
        <w:rPr>
          <w:bCs/>
        </w:rPr>
      </w:pPr>
    </w:p>
    <w:p w:rsidR="00414F2C" w:rsidRPr="00CE0EFE" w:rsidRDefault="00414F2C" w:rsidP="00CE0EFE">
      <w:pPr>
        <w:pStyle w:val="Header"/>
        <w:widowControl w:val="0"/>
        <w:tabs>
          <w:tab w:val="left" w:pos="720"/>
        </w:tabs>
        <w:spacing w:line="276" w:lineRule="auto"/>
        <w:jc w:val="both"/>
        <w:rPr>
          <w:i/>
          <w:color w:val="000000"/>
        </w:rPr>
      </w:pPr>
      <w:r w:rsidRPr="00CE0EFE">
        <w:rPr>
          <w:bCs/>
        </w:rPr>
        <w:t xml:space="preserve">Në nenin 72 pika 1 e Ligjit Nr.92/2014 përcaktohet llogaritja e koeficientit të zbritjes së TVSH-së </w:t>
      </w:r>
      <w:r w:rsidRPr="00CE0EFE">
        <w:rPr>
          <w:bCs/>
          <w:i/>
        </w:rPr>
        <w:t>“</w:t>
      </w:r>
      <w:r w:rsidRPr="00CE0EFE">
        <w:rPr>
          <w:i/>
          <w:color w:val="000000"/>
        </w:rPr>
        <w:t>Koeficienti i zbritjes së TVSH-së llogaritet nga raporti i mëposhtëm:</w:t>
      </w:r>
    </w:p>
    <w:p w:rsidR="00414F2C" w:rsidRPr="00CE0EFE" w:rsidRDefault="00414F2C" w:rsidP="00CE0EFE">
      <w:pPr>
        <w:pStyle w:val="Header"/>
        <w:widowControl w:val="0"/>
        <w:tabs>
          <w:tab w:val="left" w:pos="720"/>
        </w:tabs>
        <w:spacing w:line="276" w:lineRule="auto"/>
        <w:jc w:val="both"/>
        <w:rPr>
          <w:i/>
          <w:color w:val="000000"/>
        </w:rPr>
      </w:pPr>
      <w:r w:rsidRPr="00CE0EFE">
        <w:rPr>
          <w:i/>
          <w:color w:val="000000"/>
        </w:rPr>
        <w:t xml:space="preserve">a) në numërues, shumën totale të vëllimit të xhiros vjetore, pa TVSH-në, lidhur me transaksionet që sjellin të drejtën e zbritjes, sipas neneve 69 dhe 70, të këtij ligji. </w:t>
      </w:r>
    </w:p>
    <w:p w:rsidR="00414F2C" w:rsidRPr="00CE0EFE" w:rsidRDefault="00414F2C" w:rsidP="00CE0EFE">
      <w:pPr>
        <w:pStyle w:val="Header"/>
        <w:widowControl w:val="0"/>
        <w:tabs>
          <w:tab w:val="left" w:pos="720"/>
        </w:tabs>
        <w:spacing w:line="276" w:lineRule="auto"/>
        <w:jc w:val="both"/>
        <w:rPr>
          <w:i/>
          <w:color w:val="000000"/>
        </w:rPr>
      </w:pPr>
      <w:r w:rsidRPr="00CE0EFE">
        <w:rPr>
          <w:i/>
          <w:color w:val="000000"/>
        </w:rPr>
        <w:t>b) në emërues, shumën totale të vëllimit të xhiros vjetore, pa TVSH-në, lidhur me transaksionet e përfshira në numërues dhe me transaksionet që nuk sjellin të drejtën e zbritjes”.</w:t>
      </w:r>
    </w:p>
    <w:p w:rsidR="00414F2C" w:rsidRPr="00CE0EFE" w:rsidRDefault="00414F2C" w:rsidP="00CE0EFE">
      <w:pPr>
        <w:pStyle w:val="Header"/>
        <w:widowControl w:val="0"/>
        <w:tabs>
          <w:tab w:val="left" w:pos="720"/>
        </w:tabs>
        <w:spacing w:line="276" w:lineRule="auto"/>
        <w:jc w:val="both"/>
        <w:rPr>
          <w:bCs/>
        </w:rPr>
      </w:pPr>
    </w:p>
    <w:p w:rsidR="00414F2C" w:rsidRPr="00CE0EFE" w:rsidRDefault="00414F2C" w:rsidP="00CE0EFE">
      <w:pPr>
        <w:pStyle w:val="Header"/>
        <w:widowControl w:val="0"/>
        <w:tabs>
          <w:tab w:val="left" w:pos="720"/>
        </w:tabs>
        <w:spacing w:line="276" w:lineRule="auto"/>
        <w:jc w:val="both"/>
        <w:rPr>
          <w:bCs/>
        </w:rPr>
      </w:pPr>
      <w:r w:rsidRPr="00CE0EFE">
        <w:rPr>
          <w:bCs/>
        </w:rPr>
        <w:t xml:space="preserve">Dhe në nenin 73 pika 1 përcaktohet se </w:t>
      </w:r>
      <w:r w:rsidRPr="00CE0EFE">
        <w:rPr>
          <w:bCs/>
          <w:i/>
        </w:rPr>
        <w:t>“</w:t>
      </w:r>
      <w:r w:rsidRPr="00CE0EFE">
        <w:rPr>
          <w:i/>
          <w:color w:val="000000"/>
        </w:rPr>
        <w:t>Koeficienti i zbritjes së TVSH-së përcaktohet mbi bazë vjetore, përcaktohet në përqindje dhe rrumbullakoset në maksimum me njësinë më të lartë”.</w:t>
      </w:r>
    </w:p>
    <w:p w:rsidR="004933E7" w:rsidRPr="00CE0EFE" w:rsidRDefault="004933E7" w:rsidP="00CE0EFE">
      <w:pPr>
        <w:pStyle w:val="Header"/>
        <w:widowControl w:val="0"/>
        <w:tabs>
          <w:tab w:val="left" w:pos="720"/>
        </w:tabs>
        <w:spacing w:line="276" w:lineRule="auto"/>
        <w:jc w:val="both"/>
        <w:rPr>
          <w:bCs/>
        </w:rPr>
      </w:pPr>
    </w:p>
    <w:p w:rsidR="00414F2C" w:rsidRPr="00CE0EFE" w:rsidRDefault="00414F2C" w:rsidP="00CE0EFE">
      <w:pPr>
        <w:pStyle w:val="Header"/>
        <w:widowControl w:val="0"/>
        <w:tabs>
          <w:tab w:val="left" w:pos="720"/>
        </w:tabs>
        <w:spacing w:line="276" w:lineRule="auto"/>
        <w:jc w:val="both"/>
        <w:rPr>
          <w:i/>
          <w:color w:val="000000"/>
        </w:rPr>
      </w:pPr>
      <w:r w:rsidRPr="00CE0EFE">
        <w:rPr>
          <w:bCs/>
        </w:rPr>
        <w:t>N</w:t>
      </w:r>
      <w:r w:rsidR="009B48E8" w:rsidRPr="00CE0EFE">
        <w:rPr>
          <w:bCs/>
        </w:rPr>
        <w:t>ë</w:t>
      </w:r>
      <w:r w:rsidRPr="00CE0EFE">
        <w:rPr>
          <w:bCs/>
        </w:rPr>
        <w:t xml:space="preserve"> vijim, n</w:t>
      </w:r>
      <w:r w:rsidR="009B48E8" w:rsidRPr="00CE0EFE">
        <w:rPr>
          <w:bCs/>
        </w:rPr>
        <w:t>ë</w:t>
      </w:r>
      <w:r w:rsidRPr="00CE0EFE">
        <w:rPr>
          <w:bCs/>
        </w:rPr>
        <w:t xml:space="preserve"> nenin 53 pika 1 e Udh</w:t>
      </w:r>
      <w:r w:rsidR="009B48E8" w:rsidRPr="00CE0EFE">
        <w:rPr>
          <w:bCs/>
        </w:rPr>
        <w:t>ë</w:t>
      </w:r>
      <w:r w:rsidRPr="00CE0EFE">
        <w:rPr>
          <w:bCs/>
        </w:rPr>
        <w:t>zimit Nr.6 datë 30.01.2015 “P</w:t>
      </w:r>
      <w:r w:rsidR="009B48E8" w:rsidRPr="00CE0EFE">
        <w:rPr>
          <w:bCs/>
        </w:rPr>
        <w:t>ë</w:t>
      </w:r>
      <w:r w:rsidRPr="00CE0EFE">
        <w:rPr>
          <w:bCs/>
        </w:rPr>
        <w:t>r TVSH-n</w:t>
      </w:r>
      <w:r w:rsidR="009B48E8" w:rsidRPr="00CE0EFE">
        <w:rPr>
          <w:bCs/>
        </w:rPr>
        <w:t>ë</w:t>
      </w:r>
      <w:r w:rsidRPr="00CE0EFE">
        <w:rPr>
          <w:bCs/>
        </w:rPr>
        <w:t xml:space="preserve"> n</w:t>
      </w:r>
      <w:r w:rsidR="009B48E8" w:rsidRPr="00CE0EFE">
        <w:rPr>
          <w:bCs/>
        </w:rPr>
        <w:t>ë</w:t>
      </w:r>
      <w:r w:rsidRPr="00CE0EFE">
        <w:rPr>
          <w:bCs/>
        </w:rPr>
        <w:t xml:space="preserve"> RSh” i ndryshuar, nxjerr</w:t>
      </w:r>
      <w:r w:rsidR="009B48E8" w:rsidRPr="00CE0EFE">
        <w:rPr>
          <w:bCs/>
        </w:rPr>
        <w:t>ë</w:t>
      </w:r>
      <w:r w:rsidRPr="00CE0EFE">
        <w:rPr>
          <w:bCs/>
        </w:rPr>
        <w:t xml:space="preserve"> n</w:t>
      </w:r>
      <w:r w:rsidR="009B48E8" w:rsidRPr="00CE0EFE">
        <w:rPr>
          <w:bCs/>
        </w:rPr>
        <w:t>ë</w:t>
      </w:r>
      <w:r w:rsidRPr="00CE0EFE">
        <w:rPr>
          <w:bCs/>
        </w:rPr>
        <w:t xml:space="preserve"> zbatim t</w:t>
      </w:r>
      <w:r w:rsidR="009B48E8" w:rsidRPr="00CE0EFE">
        <w:rPr>
          <w:bCs/>
        </w:rPr>
        <w:t>ë</w:t>
      </w:r>
      <w:r w:rsidRPr="00CE0EFE">
        <w:rPr>
          <w:bCs/>
        </w:rPr>
        <w:t xml:space="preserve"> ligjit p</w:t>
      </w:r>
      <w:r w:rsidR="009B48E8" w:rsidRPr="00CE0EFE">
        <w:rPr>
          <w:bCs/>
        </w:rPr>
        <w:t>ë</w:t>
      </w:r>
      <w:r w:rsidRPr="00CE0EFE">
        <w:rPr>
          <w:bCs/>
        </w:rPr>
        <w:t xml:space="preserve">rcaktohet se </w:t>
      </w:r>
      <w:r w:rsidRPr="00CE0EFE">
        <w:rPr>
          <w:bCs/>
          <w:i/>
        </w:rPr>
        <w:t>“</w:t>
      </w:r>
      <w:r w:rsidRPr="00CE0EFE">
        <w:rPr>
          <w:i/>
          <w:color w:val="000000"/>
        </w:rPr>
        <w:t xml:space="preserve">Transaksionet që japin të drejtën e zbritjes përfshijnë transaksionet brenda fushës që i nënshtrohen efektivisht tatimit dhe transaksionet të cilat ndonëse nuk i nënshtrohen efektivisht TVSH-së, ngjasojnë me transaksione të tatueshme me </w:t>
      </w:r>
      <w:r w:rsidRPr="00CE0EFE">
        <w:rPr>
          <w:i/>
          <w:color w:val="000000"/>
        </w:rPr>
        <w:lastRenderedPageBreak/>
        <w:t xml:space="preserve">të drejtë të zbritjes së TVSH-së.(p.sh: furnizimet ndërkombëtare, eksportet e të ngjashme). </w:t>
      </w:r>
    </w:p>
    <w:p w:rsidR="00414F2C" w:rsidRPr="00CE0EFE" w:rsidRDefault="00414F2C" w:rsidP="00CE0EFE">
      <w:pPr>
        <w:pStyle w:val="Header"/>
        <w:widowControl w:val="0"/>
        <w:tabs>
          <w:tab w:val="left" w:pos="720"/>
        </w:tabs>
        <w:spacing w:line="276" w:lineRule="auto"/>
        <w:jc w:val="both"/>
        <w:rPr>
          <w:i/>
          <w:color w:val="000000"/>
        </w:rPr>
      </w:pPr>
      <w:r w:rsidRPr="00CE0EFE">
        <w:rPr>
          <w:i/>
          <w:color w:val="000000"/>
        </w:rPr>
        <w:t xml:space="preserve">Efektivisht në këtë kategori pra 1/a) përfshihen : </w:t>
      </w:r>
    </w:p>
    <w:p w:rsidR="00414F2C" w:rsidRPr="00CE0EFE" w:rsidRDefault="00414F2C" w:rsidP="00CE0EFE">
      <w:pPr>
        <w:pStyle w:val="Header"/>
        <w:widowControl w:val="0"/>
        <w:tabs>
          <w:tab w:val="left" w:pos="720"/>
        </w:tabs>
        <w:spacing w:line="276" w:lineRule="auto"/>
        <w:jc w:val="both"/>
        <w:rPr>
          <w:i/>
          <w:color w:val="000000"/>
        </w:rPr>
      </w:pPr>
      <w:r w:rsidRPr="00CE0EFE">
        <w:rPr>
          <w:i/>
          <w:color w:val="000000"/>
        </w:rPr>
        <w:t xml:space="preserve">I.furnizimet e tatueshme me shkallën e TVSH-së në fuqi, </w:t>
      </w:r>
    </w:p>
    <w:p w:rsidR="00414F2C" w:rsidRPr="00CE0EFE" w:rsidRDefault="00414F2C" w:rsidP="00CE0EFE">
      <w:pPr>
        <w:pStyle w:val="Header"/>
        <w:widowControl w:val="0"/>
        <w:tabs>
          <w:tab w:val="left" w:pos="720"/>
        </w:tabs>
        <w:spacing w:line="276" w:lineRule="auto"/>
        <w:jc w:val="both"/>
        <w:rPr>
          <w:i/>
          <w:color w:val="000000"/>
        </w:rPr>
      </w:pPr>
      <w:r w:rsidRPr="00CE0EFE">
        <w:rPr>
          <w:i/>
          <w:color w:val="000000"/>
        </w:rPr>
        <w:t xml:space="preserve">II.furnizimet me shkallën zero të TVSH-së ose të ngjashme me eksportet sipas pikës b) të nenit 70 të ligjit ; </w:t>
      </w:r>
    </w:p>
    <w:p w:rsidR="00414F2C" w:rsidRPr="00CE0EFE" w:rsidRDefault="00414F2C" w:rsidP="00CE0EFE">
      <w:pPr>
        <w:pStyle w:val="Header"/>
        <w:widowControl w:val="0"/>
        <w:tabs>
          <w:tab w:val="left" w:pos="720"/>
        </w:tabs>
        <w:spacing w:line="276" w:lineRule="auto"/>
        <w:jc w:val="both"/>
        <w:rPr>
          <w:i/>
          <w:color w:val="000000"/>
        </w:rPr>
      </w:pPr>
      <w:r w:rsidRPr="00CE0EFE">
        <w:rPr>
          <w:i/>
          <w:color w:val="000000"/>
        </w:rPr>
        <w:t xml:space="preserve">III.furnizimet e kryera jashtë territorit të Shqipërisë nga një person i tatueshëm, në kuadër të veprimtarisë se tij ekonomike, të cilat nëse po të kryheshin brenda vendit do të ishin furnizime të tatueshme me shkallën e TVSH-së dhe i japin të drejtën e zbritjes së TVSHsë personit të tatueshëm, sipas pikës a) të nenit 70 të ligjit. </w:t>
      </w:r>
    </w:p>
    <w:p w:rsidR="00414F2C" w:rsidRPr="00CE0EFE" w:rsidRDefault="00414F2C" w:rsidP="00CE0EFE">
      <w:pPr>
        <w:pStyle w:val="Header"/>
        <w:widowControl w:val="0"/>
        <w:tabs>
          <w:tab w:val="left" w:pos="720"/>
        </w:tabs>
        <w:spacing w:line="276" w:lineRule="auto"/>
        <w:jc w:val="both"/>
        <w:rPr>
          <w:bCs/>
          <w:i/>
        </w:rPr>
      </w:pPr>
      <w:r w:rsidRPr="00CE0EFE">
        <w:rPr>
          <w:i/>
          <w:color w:val="000000"/>
        </w:rPr>
        <w:t>Transaksionet e përjashtuara sipas ligjit që përfshihen në 1/b) edhe pse janë transaksione në fushën e zbatimit të TVSH-së, janë transaksione të përjashtuara pa të drejtë të zbritjes së TVSH</w:t>
      </w:r>
      <w:r w:rsidR="00020033" w:rsidRPr="00CE0EFE">
        <w:rPr>
          <w:i/>
          <w:color w:val="000000"/>
        </w:rPr>
        <w:t>-</w:t>
      </w:r>
      <w:r w:rsidRPr="00CE0EFE">
        <w:rPr>
          <w:i/>
          <w:color w:val="000000"/>
        </w:rPr>
        <w:t>së. Kryerja e furnizimeve të përjashtuara prej personit të tatueshëm nuk i jep atij të drejtën e zbritjes së TVSH-së për furnizimet e marra...”</w:t>
      </w:r>
    </w:p>
    <w:p w:rsidR="00414F2C" w:rsidRPr="00CE0EFE" w:rsidRDefault="00414F2C" w:rsidP="00CE0EFE">
      <w:pPr>
        <w:pStyle w:val="Header"/>
        <w:widowControl w:val="0"/>
        <w:tabs>
          <w:tab w:val="left" w:pos="720"/>
        </w:tabs>
        <w:spacing w:line="276" w:lineRule="auto"/>
        <w:jc w:val="both"/>
        <w:rPr>
          <w:bCs/>
        </w:rPr>
      </w:pPr>
    </w:p>
    <w:p w:rsidR="004933E7" w:rsidRPr="00CE0EFE" w:rsidRDefault="00543779" w:rsidP="00CE0EFE">
      <w:pPr>
        <w:pStyle w:val="Header"/>
        <w:widowControl w:val="0"/>
        <w:tabs>
          <w:tab w:val="left" w:pos="720"/>
        </w:tabs>
        <w:spacing w:line="276" w:lineRule="auto"/>
        <w:jc w:val="both"/>
        <w:rPr>
          <w:bCs/>
        </w:rPr>
      </w:pPr>
      <w:r w:rsidRPr="00CE0EFE">
        <w:rPr>
          <w:bCs/>
        </w:rPr>
        <w:t>Dhe n</w:t>
      </w:r>
      <w:r w:rsidR="00287297" w:rsidRPr="00CE0EFE">
        <w:rPr>
          <w:bCs/>
        </w:rPr>
        <w:t>ë</w:t>
      </w:r>
      <w:r w:rsidRPr="00CE0EFE">
        <w:rPr>
          <w:bCs/>
        </w:rPr>
        <w:t xml:space="preserve"> pik</w:t>
      </w:r>
      <w:r w:rsidR="00287297" w:rsidRPr="00CE0EFE">
        <w:rPr>
          <w:bCs/>
        </w:rPr>
        <w:t>ë</w:t>
      </w:r>
      <w:r w:rsidRPr="00CE0EFE">
        <w:rPr>
          <w:bCs/>
        </w:rPr>
        <w:t xml:space="preserve">n 3 </w:t>
      </w:r>
      <w:r w:rsidR="00020033" w:rsidRPr="00CE0EFE">
        <w:rPr>
          <w:bCs/>
        </w:rPr>
        <w:t>t</w:t>
      </w:r>
      <w:r w:rsidR="009B48E8" w:rsidRPr="00CE0EFE">
        <w:rPr>
          <w:bCs/>
        </w:rPr>
        <w:t>ë</w:t>
      </w:r>
      <w:r w:rsidR="00020033" w:rsidRPr="00CE0EFE">
        <w:rPr>
          <w:bCs/>
        </w:rPr>
        <w:t xml:space="preserve"> nenit 53 t</w:t>
      </w:r>
      <w:r w:rsidR="009B48E8" w:rsidRPr="00CE0EFE">
        <w:rPr>
          <w:bCs/>
        </w:rPr>
        <w:t>ë</w:t>
      </w:r>
      <w:r w:rsidR="00020033" w:rsidRPr="00CE0EFE">
        <w:rPr>
          <w:bCs/>
        </w:rPr>
        <w:t xml:space="preserve"> Udh</w:t>
      </w:r>
      <w:r w:rsidR="009B48E8" w:rsidRPr="00CE0EFE">
        <w:rPr>
          <w:bCs/>
        </w:rPr>
        <w:t>ë</w:t>
      </w:r>
      <w:r w:rsidR="00020033" w:rsidRPr="00CE0EFE">
        <w:rPr>
          <w:bCs/>
        </w:rPr>
        <w:t xml:space="preserve">zimit </w:t>
      </w:r>
      <w:r w:rsidRPr="00CE0EFE">
        <w:rPr>
          <w:bCs/>
        </w:rPr>
        <w:t>p</w:t>
      </w:r>
      <w:r w:rsidR="00287297" w:rsidRPr="00CE0EFE">
        <w:rPr>
          <w:bCs/>
        </w:rPr>
        <w:t>ë</w:t>
      </w:r>
      <w:r w:rsidRPr="00CE0EFE">
        <w:rPr>
          <w:bCs/>
        </w:rPr>
        <w:t xml:space="preserve">rcaktohet se </w:t>
      </w:r>
      <w:r w:rsidRPr="00CE0EFE">
        <w:rPr>
          <w:bCs/>
          <w:i/>
        </w:rPr>
        <w:t>“</w:t>
      </w:r>
      <w:r w:rsidRPr="00CE0EFE">
        <w:rPr>
          <w:i/>
          <w:color w:val="000000"/>
        </w:rPr>
        <w:t>Bazuar në nenin 69 të ligjit, personi i tatueshëm që kryen furnizime të tatueshme gëzon të drejtën që të zbresë nga TVSH e llogaritur, TVSH-në për furnizimet e marra, në masën që këto furnizime përdoren nga personi i tatueshëm në funksion të transaksioneve të tatueshme që ai kryen...”</w:t>
      </w:r>
    </w:p>
    <w:p w:rsidR="004933E7" w:rsidRPr="00CE0EFE" w:rsidRDefault="00F13E0A" w:rsidP="00CE0EFE">
      <w:pPr>
        <w:pStyle w:val="Header"/>
        <w:widowControl w:val="0"/>
        <w:tabs>
          <w:tab w:val="left" w:pos="720"/>
        </w:tabs>
        <w:spacing w:line="276" w:lineRule="auto"/>
        <w:jc w:val="both"/>
        <w:rPr>
          <w:bCs/>
          <w:i/>
        </w:rPr>
      </w:pPr>
      <w:r w:rsidRPr="00CE0EFE">
        <w:rPr>
          <w:bCs/>
          <w:i/>
        </w:rPr>
        <w:t>.....</w:t>
      </w:r>
    </w:p>
    <w:p w:rsidR="00C721EA" w:rsidRPr="00CE0EFE" w:rsidRDefault="00F13E0A" w:rsidP="00CE0EFE">
      <w:pPr>
        <w:pStyle w:val="Header"/>
        <w:widowControl w:val="0"/>
        <w:tabs>
          <w:tab w:val="left" w:pos="720"/>
        </w:tabs>
        <w:spacing w:line="276" w:lineRule="auto"/>
        <w:jc w:val="both"/>
        <w:rPr>
          <w:i/>
          <w:color w:val="000000"/>
        </w:rPr>
      </w:pPr>
      <w:r w:rsidRPr="00CE0EFE">
        <w:rPr>
          <w:i/>
          <w:color w:val="000000"/>
        </w:rPr>
        <w:t>Nëse personi i tatueshëm i ka përdorur ose do t’i përdor blerjet e mallrave ose shërbimeve ose importet e mallrave për kryerjen e furnizimeve të përjashtuara sipas ligjit personi i tatueshëm nuk ka të drejtë të zbres TVSH-në e paguar ose për t’u paguar, për blerjet e mallrave dhe shërbimeve si dhe TVSH-në e paguar në import. Personi i tatueshëm furnizimet e të cilit janë të përjashtuara nga TVSH sipas ligjit, është i përjashtuar gjithashtu edhe nga e drejta për të zbritur TVSH-në e paguar ose për t’u</w:t>
      </w:r>
      <w:r w:rsidR="00020033" w:rsidRPr="00CE0EFE">
        <w:rPr>
          <w:i/>
          <w:color w:val="000000"/>
        </w:rPr>
        <w:t xml:space="preserve"> paguar për furnizimet e marra.” </w:t>
      </w:r>
    </w:p>
    <w:p w:rsidR="00020033" w:rsidRPr="00020033" w:rsidRDefault="00020033" w:rsidP="00CE0EFE">
      <w:pPr>
        <w:pStyle w:val="Header"/>
        <w:widowControl w:val="0"/>
        <w:tabs>
          <w:tab w:val="left" w:pos="720"/>
        </w:tabs>
        <w:spacing w:line="276" w:lineRule="auto"/>
        <w:jc w:val="both"/>
        <w:rPr>
          <w:i/>
          <w:color w:val="000000"/>
        </w:rPr>
      </w:pPr>
    </w:p>
    <w:p w:rsidR="00B21B38" w:rsidRPr="00287297" w:rsidRDefault="00287297" w:rsidP="00CE0EFE">
      <w:pPr>
        <w:widowControl w:val="0"/>
        <w:spacing w:line="276" w:lineRule="auto"/>
        <w:jc w:val="both"/>
      </w:pPr>
      <w:r w:rsidRPr="00265D72">
        <w:t xml:space="preserve">Në pikën 3 të nenit 56 të </w:t>
      </w:r>
      <w:r w:rsidRPr="00265D72">
        <w:rPr>
          <w:bCs/>
        </w:rPr>
        <w:t>Udhëzimit Nr.6 datë 30.01.2015 përcaktohet se</w:t>
      </w:r>
      <w:r w:rsidRPr="00265D72">
        <w:rPr>
          <w:bCs/>
          <w:i/>
        </w:rPr>
        <w:t xml:space="preserve"> “</w:t>
      </w:r>
      <w:r w:rsidRPr="00265D72">
        <w:rPr>
          <w:i/>
          <w:color w:val="000000"/>
        </w:rPr>
        <w:t>Bazuar në nenin 71 të ligjit nëse furnizimet e mallrave dhe shërbimeve përdoren nga një person i tatueshëm, si për kryerjen e transaksioneve të tatueshme që sjellin të drejtën e zbritjes së TVSH-së mbi bazën e neneve 69 dhe 70, të këtij ligji, edhe për transaksionet që nuk e sjellin këtë të drejtë (transaksione te përjashtuara nga TVSH, neni 51,52,53,54,55), atëherë vetëm pjesa e TVSH-së që lidhet përdorimin e furnizimeve për kategorinë e transaksioneve të tatueshme është e zbritshme...”</w:t>
      </w:r>
    </w:p>
    <w:p w:rsidR="00B21B38" w:rsidRDefault="00B21B38" w:rsidP="00CE0EFE">
      <w:pPr>
        <w:widowControl w:val="0"/>
        <w:spacing w:line="276" w:lineRule="auto"/>
        <w:jc w:val="both"/>
        <w:rPr>
          <w:b/>
        </w:rPr>
      </w:pPr>
    </w:p>
    <w:p w:rsidR="00B21B38" w:rsidRDefault="00B21B38" w:rsidP="00CE0EFE">
      <w:pPr>
        <w:pStyle w:val="Header"/>
        <w:widowControl w:val="0"/>
        <w:tabs>
          <w:tab w:val="left" w:pos="720"/>
        </w:tabs>
        <w:spacing w:line="276" w:lineRule="auto"/>
        <w:jc w:val="both"/>
        <w:rPr>
          <w:bCs/>
        </w:rPr>
      </w:pPr>
      <w:r>
        <w:rPr>
          <w:bCs/>
        </w:rPr>
        <w:t>Drejtoria e Apelimit Tatimor konstaton se kreditimi i pjessh</w:t>
      </w:r>
      <w:r w:rsidR="00265D72">
        <w:rPr>
          <w:bCs/>
        </w:rPr>
        <w:t>ë</w:t>
      </w:r>
      <w:r>
        <w:rPr>
          <w:bCs/>
        </w:rPr>
        <w:t>m i tatimit eshte aplikuar pasakt</w:t>
      </w:r>
      <w:r w:rsidR="00265D72">
        <w:rPr>
          <w:bCs/>
        </w:rPr>
        <w:t>ë</w:t>
      </w:r>
      <w:r>
        <w:rPr>
          <w:bCs/>
        </w:rPr>
        <w:t>sisht nga inspektori i kontrollit gjat</w:t>
      </w:r>
      <w:r w:rsidR="00265D72">
        <w:rPr>
          <w:bCs/>
        </w:rPr>
        <w:t>ë</w:t>
      </w:r>
      <w:r>
        <w:rPr>
          <w:bCs/>
        </w:rPr>
        <w:t xml:space="preserve"> kryerjes s</w:t>
      </w:r>
      <w:r w:rsidR="00265D72">
        <w:rPr>
          <w:bCs/>
        </w:rPr>
        <w:t>ë</w:t>
      </w:r>
      <w:r>
        <w:rPr>
          <w:bCs/>
        </w:rPr>
        <w:t xml:space="preserve"> vler</w:t>
      </w:r>
      <w:r w:rsidR="00265D72">
        <w:rPr>
          <w:bCs/>
        </w:rPr>
        <w:t>ë</w:t>
      </w:r>
      <w:r>
        <w:rPr>
          <w:bCs/>
        </w:rPr>
        <w:t>simit. Kreditimi i pjessh</w:t>
      </w:r>
      <w:r w:rsidR="00265D72">
        <w:rPr>
          <w:bCs/>
        </w:rPr>
        <w:t>ë</w:t>
      </w:r>
      <w:r>
        <w:rPr>
          <w:bCs/>
        </w:rPr>
        <w:t xml:space="preserve">m </w:t>
      </w:r>
      <w:r w:rsidR="00265D72">
        <w:rPr>
          <w:bCs/>
        </w:rPr>
        <w:t>ë</w:t>
      </w:r>
      <w:r>
        <w:rPr>
          <w:bCs/>
        </w:rPr>
        <w:t>sht</w:t>
      </w:r>
      <w:r w:rsidR="00265D72">
        <w:rPr>
          <w:bCs/>
        </w:rPr>
        <w:t>ë</w:t>
      </w:r>
      <w:r>
        <w:rPr>
          <w:bCs/>
        </w:rPr>
        <w:t xml:space="preserve"> zbatuar nga inspektori i kontrollit mbi t</w:t>
      </w:r>
      <w:r w:rsidR="00265D72">
        <w:rPr>
          <w:bCs/>
        </w:rPr>
        <w:t>ë</w:t>
      </w:r>
      <w:r>
        <w:rPr>
          <w:bCs/>
        </w:rPr>
        <w:t xml:space="preserve"> gjitha furnizimet e marra nga shoq</w:t>
      </w:r>
      <w:r w:rsidR="00265D72">
        <w:rPr>
          <w:bCs/>
        </w:rPr>
        <w:t>ë</w:t>
      </w:r>
      <w:r>
        <w:rPr>
          <w:bCs/>
        </w:rPr>
        <w:t>ria duke kredituar pjes</w:t>
      </w:r>
      <w:r w:rsidR="00265D72">
        <w:rPr>
          <w:bCs/>
        </w:rPr>
        <w:t>ë</w:t>
      </w:r>
      <w:r>
        <w:rPr>
          <w:bCs/>
        </w:rPr>
        <w:t>risht tatimin e paguar edhe n</w:t>
      </w:r>
      <w:r w:rsidR="00265D72">
        <w:rPr>
          <w:bCs/>
        </w:rPr>
        <w:t>ë</w:t>
      </w:r>
      <w:r>
        <w:rPr>
          <w:bCs/>
        </w:rPr>
        <w:t xml:space="preserve"> blerjet q</w:t>
      </w:r>
      <w:r w:rsidR="00265D72">
        <w:rPr>
          <w:bCs/>
        </w:rPr>
        <w:t>ë</w:t>
      </w:r>
      <w:r>
        <w:rPr>
          <w:bCs/>
        </w:rPr>
        <w:t xml:space="preserve"> i kan</w:t>
      </w:r>
      <w:r w:rsidR="00265D72">
        <w:rPr>
          <w:bCs/>
        </w:rPr>
        <w:t>ë</w:t>
      </w:r>
      <w:r>
        <w:rPr>
          <w:bCs/>
        </w:rPr>
        <w:t xml:space="preserve"> sh</w:t>
      </w:r>
      <w:r w:rsidR="00265D72">
        <w:rPr>
          <w:bCs/>
        </w:rPr>
        <w:t>ë</w:t>
      </w:r>
      <w:r>
        <w:rPr>
          <w:bCs/>
        </w:rPr>
        <w:t>rbyer vet</w:t>
      </w:r>
      <w:r w:rsidR="00265D72">
        <w:rPr>
          <w:bCs/>
        </w:rPr>
        <w:t>ë</w:t>
      </w:r>
      <w:r>
        <w:rPr>
          <w:bCs/>
        </w:rPr>
        <w:t>m shitjeve t</w:t>
      </w:r>
      <w:r w:rsidR="00265D72">
        <w:rPr>
          <w:bCs/>
        </w:rPr>
        <w:t>ë</w:t>
      </w:r>
      <w:r>
        <w:rPr>
          <w:bCs/>
        </w:rPr>
        <w:t xml:space="preserve"> tatueshme. </w:t>
      </w:r>
    </w:p>
    <w:p w:rsidR="00B21B38" w:rsidRDefault="00B21B38" w:rsidP="00CE0EFE">
      <w:pPr>
        <w:pStyle w:val="Header"/>
        <w:widowControl w:val="0"/>
        <w:tabs>
          <w:tab w:val="left" w:pos="720"/>
        </w:tabs>
        <w:spacing w:line="276" w:lineRule="auto"/>
        <w:jc w:val="both"/>
        <w:rPr>
          <w:bCs/>
        </w:rPr>
      </w:pPr>
    </w:p>
    <w:p w:rsidR="00B21B38" w:rsidRDefault="00020033" w:rsidP="00CE0EFE">
      <w:pPr>
        <w:pStyle w:val="Header"/>
        <w:widowControl w:val="0"/>
        <w:tabs>
          <w:tab w:val="left" w:pos="720"/>
        </w:tabs>
        <w:spacing w:line="276" w:lineRule="auto"/>
        <w:jc w:val="both"/>
        <w:rPr>
          <w:bCs/>
        </w:rPr>
      </w:pPr>
      <w:r>
        <w:rPr>
          <w:bCs/>
        </w:rPr>
        <w:t>Nd</w:t>
      </w:r>
      <w:r w:rsidR="009B48E8">
        <w:rPr>
          <w:bCs/>
        </w:rPr>
        <w:t>ë</w:t>
      </w:r>
      <w:r>
        <w:rPr>
          <w:bCs/>
        </w:rPr>
        <w:t xml:space="preserve">rsa inspektori </w:t>
      </w:r>
      <w:r w:rsidR="00B21B38">
        <w:rPr>
          <w:bCs/>
        </w:rPr>
        <w:t>duhet t</w:t>
      </w:r>
      <w:r w:rsidR="00265D72">
        <w:rPr>
          <w:bCs/>
        </w:rPr>
        <w:t>ë</w:t>
      </w:r>
      <w:r w:rsidR="00B21B38">
        <w:rPr>
          <w:bCs/>
        </w:rPr>
        <w:t xml:space="preserve"> p</w:t>
      </w:r>
      <w:r w:rsidR="00265D72">
        <w:rPr>
          <w:bCs/>
        </w:rPr>
        <w:t>ë</w:t>
      </w:r>
      <w:r w:rsidR="00B21B38">
        <w:rPr>
          <w:bCs/>
        </w:rPr>
        <w:t>rcakto</w:t>
      </w:r>
      <w:r>
        <w:rPr>
          <w:bCs/>
        </w:rPr>
        <w:t>nte</w:t>
      </w:r>
      <w:r w:rsidR="00B21B38">
        <w:rPr>
          <w:bCs/>
        </w:rPr>
        <w:t xml:space="preserve"> sakt</w:t>
      </w:r>
      <w:r w:rsidR="00265D72">
        <w:rPr>
          <w:bCs/>
        </w:rPr>
        <w:t>ë</w:t>
      </w:r>
      <w:r w:rsidR="00B21B38">
        <w:rPr>
          <w:bCs/>
        </w:rPr>
        <w:t>sisht furnizimet q</w:t>
      </w:r>
      <w:r w:rsidR="00265D72">
        <w:rPr>
          <w:bCs/>
        </w:rPr>
        <w:t>ë</w:t>
      </w:r>
      <w:r w:rsidR="00B21B38">
        <w:rPr>
          <w:bCs/>
        </w:rPr>
        <w:t xml:space="preserve"> i kan</w:t>
      </w:r>
      <w:r w:rsidR="00265D72">
        <w:rPr>
          <w:bCs/>
        </w:rPr>
        <w:t>ë</w:t>
      </w:r>
      <w:r w:rsidR="00B21B38">
        <w:rPr>
          <w:bCs/>
        </w:rPr>
        <w:t xml:space="preserve"> sh</w:t>
      </w:r>
      <w:r w:rsidR="00265D72">
        <w:rPr>
          <w:bCs/>
        </w:rPr>
        <w:t>ë</w:t>
      </w:r>
      <w:r w:rsidR="00B21B38">
        <w:rPr>
          <w:bCs/>
        </w:rPr>
        <w:t>rbyer vet</w:t>
      </w:r>
      <w:r w:rsidR="00265D72">
        <w:rPr>
          <w:bCs/>
        </w:rPr>
        <w:t>ë</w:t>
      </w:r>
      <w:r w:rsidR="00B21B38">
        <w:rPr>
          <w:bCs/>
        </w:rPr>
        <w:t>m furnizimeve t</w:t>
      </w:r>
      <w:r w:rsidR="00265D72">
        <w:rPr>
          <w:bCs/>
        </w:rPr>
        <w:t>ë</w:t>
      </w:r>
      <w:r w:rsidR="00B21B38">
        <w:rPr>
          <w:bCs/>
        </w:rPr>
        <w:t xml:space="preserve"> tatueshme, furnizimet q</w:t>
      </w:r>
      <w:r w:rsidR="00265D72">
        <w:rPr>
          <w:bCs/>
        </w:rPr>
        <w:t>ë</w:t>
      </w:r>
      <w:r w:rsidR="00B21B38">
        <w:rPr>
          <w:bCs/>
        </w:rPr>
        <w:t xml:space="preserve"> i kan</w:t>
      </w:r>
      <w:r w:rsidR="00265D72">
        <w:rPr>
          <w:bCs/>
        </w:rPr>
        <w:t>ë</w:t>
      </w:r>
      <w:r w:rsidR="00B21B38">
        <w:rPr>
          <w:bCs/>
        </w:rPr>
        <w:t xml:space="preserve"> sh</w:t>
      </w:r>
      <w:r w:rsidR="00265D72">
        <w:rPr>
          <w:bCs/>
        </w:rPr>
        <w:t>ë</w:t>
      </w:r>
      <w:r w:rsidR="00B21B38">
        <w:rPr>
          <w:bCs/>
        </w:rPr>
        <w:t>rbyer vet</w:t>
      </w:r>
      <w:r w:rsidR="00265D72">
        <w:rPr>
          <w:bCs/>
        </w:rPr>
        <w:t>ë</w:t>
      </w:r>
      <w:r w:rsidR="00B21B38">
        <w:rPr>
          <w:bCs/>
        </w:rPr>
        <w:t>m furnizimeve t</w:t>
      </w:r>
      <w:r w:rsidR="00265D72">
        <w:rPr>
          <w:bCs/>
        </w:rPr>
        <w:t>ë</w:t>
      </w:r>
      <w:r w:rsidR="00B21B38">
        <w:rPr>
          <w:bCs/>
        </w:rPr>
        <w:t xml:space="preserve"> p</w:t>
      </w:r>
      <w:r w:rsidR="00265D72">
        <w:rPr>
          <w:bCs/>
        </w:rPr>
        <w:t>ë</w:t>
      </w:r>
      <w:r w:rsidR="00B21B38">
        <w:rPr>
          <w:bCs/>
        </w:rPr>
        <w:t>rjashtuara dhe furnizimet q</w:t>
      </w:r>
      <w:r w:rsidR="00265D72">
        <w:rPr>
          <w:bCs/>
        </w:rPr>
        <w:t>ë</w:t>
      </w:r>
      <w:r w:rsidR="00B21B38">
        <w:rPr>
          <w:bCs/>
        </w:rPr>
        <w:t xml:space="preserve"> i kan</w:t>
      </w:r>
      <w:r w:rsidR="00265D72">
        <w:rPr>
          <w:bCs/>
        </w:rPr>
        <w:t>ë</w:t>
      </w:r>
      <w:r w:rsidR="00B21B38">
        <w:rPr>
          <w:bCs/>
        </w:rPr>
        <w:t xml:space="preserve"> sh</w:t>
      </w:r>
      <w:r w:rsidR="00265D72">
        <w:rPr>
          <w:bCs/>
        </w:rPr>
        <w:t>ë</w:t>
      </w:r>
      <w:r w:rsidR="00B21B38">
        <w:rPr>
          <w:bCs/>
        </w:rPr>
        <w:t>rbyer pjes</w:t>
      </w:r>
      <w:r w:rsidR="00265D72">
        <w:rPr>
          <w:bCs/>
        </w:rPr>
        <w:t>ë</w:t>
      </w:r>
      <w:r w:rsidR="00B21B38">
        <w:rPr>
          <w:bCs/>
        </w:rPr>
        <w:t>risht furnizimeve t</w:t>
      </w:r>
      <w:r w:rsidR="00265D72">
        <w:rPr>
          <w:bCs/>
        </w:rPr>
        <w:t>ë</w:t>
      </w:r>
      <w:r w:rsidR="00B21B38">
        <w:rPr>
          <w:bCs/>
        </w:rPr>
        <w:t xml:space="preserve"> tatueshme dhe pjes</w:t>
      </w:r>
      <w:r w:rsidR="00265D72">
        <w:rPr>
          <w:bCs/>
        </w:rPr>
        <w:t>ë</w:t>
      </w:r>
      <w:r w:rsidR="00B21B38">
        <w:rPr>
          <w:bCs/>
        </w:rPr>
        <w:t>risht furnizimeve t</w:t>
      </w:r>
      <w:r w:rsidR="00265D72">
        <w:rPr>
          <w:bCs/>
        </w:rPr>
        <w:t>ë</w:t>
      </w:r>
      <w:r w:rsidR="00B21B38">
        <w:rPr>
          <w:bCs/>
        </w:rPr>
        <w:t xml:space="preserve"> </w:t>
      </w:r>
      <w:r w:rsidR="00B21B38">
        <w:rPr>
          <w:bCs/>
        </w:rPr>
        <w:lastRenderedPageBreak/>
        <w:t>tatueshme.</w:t>
      </w:r>
      <w:r w:rsidR="009A4CD6">
        <w:rPr>
          <w:bCs/>
        </w:rPr>
        <w:t xml:space="preserve"> </w:t>
      </w:r>
      <w:r w:rsidR="00DE4063">
        <w:rPr>
          <w:bCs/>
        </w:rPr>
        <w:t>Vetëm m</w:t>
      </w:r>
      <w:r w:rsidR="00B21B38">
        <w:rPr>
          <w:bCs/>
        </w:rPr>
        <w:t>bi k</w:t>
      </w:r>
      <w:r w:rsidR="00265D72">
        <w:rPr>
          <w:bCs/>
        </w:rPr>
        <w:t>ë</w:t>
      </w:r>
      <w:r w:rsidR="00B21B38">
        <w:rPr>
          <w:bCs/>
        </w:rPr>
        <w:t>to t</w:t>
      </w:r>
      <w:r w:rsidR="00265D72">
        <w:rPr>
          <w:bCs/>
        </w:rPr>
        <w:t>ë</w:t>
      </w:r>
      <w:r w:rsidR="00B21B38">
        <w:rPr>
          <w:bCs/>
        </w:rPr>
        <w:t xml:space="preserve"> fundit duhet t</w:t>
      </w:r>
      <w:r w:rsidR="00265D72">
        <w:rPr>
          <w:bCs/>
        </w:rPr>
        <w:t>ë</w:t>
      </w:r>
      <w:r w:rsidR="00B21B38">
        <w:rPr>
          <w:bCs/>
        </w:rPr>
        <w:t xml:space="preserve"> aplikohet kreditimi i pjessh</w:t>
      </w:r>
      <w:r w:rsidR="00265D72">
        <w:rPr>
          <w:bCs/>
        </w:rPr>
        <w:t>ë</w:t>
      </w:r>
      <w:r w:rsidR="00B21B38">
        <w:rPr>
          <w:bCs/>
        </w:rPr>
        <w:t xml:space="preserve">m i tatimit me koeficientin </w:t>
      </w:r>
      <w:r w:rsidR="009A4CD6">
        <w:rPr>
          <w:bCs/>
        </w:rPr>
        <w:t>98.18</w:t>
      </w:r>
      <w:r w:rsidR="00B21B38">
        <w:rPr>
          <w:bCs/>
        </w:rPr>
        <w:t xml:space="preserve"> %, t</w:t>
      </w:r>
      <w:r w:rsidR="00265D72">
        <w:rPr>
          <w:bCs/>
        </w:rPr>
        <w:t>ë</w:t>
      </w:r>
      <w:r w:rsidR="00B21B38">
        <w:rPr>
          <w:bCs/>
        </w:rPr>
        <w:t xml:space="preserve"> p</w:t>
      </w:r>
      <w:r w:rsidR="00265D72">
        <w:rPr>
          <w:bCs/>
        </w:rPr>
        <w:t>ë</w:t>
      </w:r>
      <w:r w:rsidR="00B21B38">
        <w:rPr>
          <w:bCs/>
        </w:rPr>
        <w:t>rcaktuar n</w:t>
      </w:r>
      <w:r w:rsidR="00265D72">
        <w:rPr>
          <w:bCs/>
        </w:rPr>
        <w:t>ë</w:t>
      </w:r>
      <w:r w:rsidR="00B21B38">
        <w:rPr>
          <w:bCs/>
        </w:rPr>
        <w:t xml:space="preserve"> raportin e kontrollit. Nd</w:t>
      </w:r>
      <w:r w:rsidR="00265D72">
        <w:rPr>
          <w:bCs/>
        </w:rPr>
        <w:t>ë</w:t>
      </w:r>
      <w:r w:rsidR="00B21B38">
        <w:rPr>
          <w:bCs/>
        </w:rPr>
        <w:t>rkohe q</w:t>
      </w:r>
      <w:r w:rsidR="00265D72">
        <w:rPr>
          <w:bCs/>
        </w:rPr>
        <w:t>ë</w:t>
      </w:r>
      <w:r w:rsidR="00B21B38">
        <w:rPr>
          <w:bCs/>
        </w:rPr>
        <w:t xml:space="preserve"> gjat</w:t>
      </w:r>
      <w:r w:rsidR="00265D72">
        <w:rPr>
          <w:bCs/>
        </w:rPr>
        <w:t>ë</w:t>
      </w:r>
      <w:r w:rsidR="00B21B38">
        <w:rPr>
          <w:bCs/>
        </w:rPr>
        <w:t xml:space="preserve"> k</w:t>
      </w:r>
      <w:r w:rsidR="00265D72">
        <w:rPr>
          <w:bCs/>
        </w:rPr>
        <w:t>ë</w:t>
      </w:r>
      <w:r w:rsidR="00B21B38">
        <w:rPr>
          <w:bCs/>
        </w:rPr>
        <w:t>tij kontrolli kreditimi i pjessh</w:t>
      </w:r>
      <w:r w:rsidR="00265D72">
        <w:rPr>
          <w:bCs/>
        </w:rPr>
        <w:t>ë</w:t>
      </w:r>
      <w:r w:rsidR="00B21B38">
        <w:rPr>
          <w:bCs/>
        </w:rPr>
        <w:t xml:space="preserve">m </w:t>
      </w:r>
      <w:r w:rsidR="00265D72">
        <w:rPr>
          <w:bCs/>
        </w:rPr>
        <w:t>ë</w:t>
      </w:r>
      <w:r w:rsidR="00B21B38">
        <w:rPr>
          <w:bCs/>
        </w:rPr>
        <w:t>sht</w:t>
      </w:r>
      <w:r w:rsidR="00265D72">
        <w:rPr>
          <w:bCs/>
        </w:rPr>
        <w:t>ë</w:t>
      </w:r>
      <w:r w:rsidR="00B21B38">
        <w:rPr>
          <w:bCs/>
        </w:rPr>
        <w:t xml:space="preserve"> aplikuar dhe mbi ato furnizime t</w:t>
      </w:r>
      <w:r w:rsidR="00265D72">
        <w:rPr>
          <w:bCs/>
        </w:rPr>
        <w:t>ë</w:t>
      </w:r>
      <w:r w:rsidR="00B21B38">
        <w:rPr>
          <w:bCs/>
        </w:rPr>
        <w:t xml:space="preserve"> cilat i kan</w:t>
      </w:r>
      <w:r w:rsidR="00265D72">
        <w:rPr>
          <w:bCs/>
        </w:rPr>
        <w:t>ë</w:t>
      </w:r>
      <w:r w:rsidR="00B21B38">
        <w:rPr>
          <w:bCs/>
        </w:rPr>
        <w:t xml:space="preserve"> sherbyer vet</w:t>
      </w:r>
      <w:r w:rsidR="00265D72">
        <w:rPr>
          <w:bCs/>
        </w:rPr>
        <w:t>ë</w:t>
      </w:r>
      <w:r w:rsidR="00B21B38">
        <w:rPr>
          <w:bCs/>
        </w:rPr>
        <w:t>m furnizimeve t</w:t>
      </w:r>
      <w:r w:rsidR="00265D72">
        <w:rPr>
          <w:bCs/>
        </w:rPr>
        <w:t>ë</w:t>
      </w:r>
      <w:r w:rsidR="00B21B38">
        <w:rPr>
          <w:bCs/>
        </w:rPr>
        <w:t xml:space="preserve"> tatueshme, n</w:t>
      </w:r>
      <w:r w:rsidR="00265D72">
        <w:rPr>
          <w:bCs/>
        </w:rPr>
        <w:t>ë</w:t>
      </w:r>
      <w:r w:rsidR="00B21B38">
        <w:rPr>
          <w:bCs/>
        </w:rPr>
        <w:t xml:space="preserve"> kundershtim me </w:t>
      </w:r>
      <w:r w:rsidR="009A4CD6">
        <w:rPr>
          <w:bCs/>
        </w:rPr>
        <w:t>dispozitat sip</w:t>
      </w:r>
      <w:r w:rsidR="00265D72">
        <w:rPr>
          <w:bCs/>
        </w:rPr>
        <w:t>ë</w:t>
      </w:r>
      <w:r w:rsidR="009A4CD6">
        <w:rPr>
          <w:bCs/>
        </w:rPr>
        <w:t>rcituar.</w:t>
      </w:r>
    </w:p>
    <w:p w:rsidR="00B21B38" w:rsidRDefault="00B21B38" w:rsidP="00CE0EFE">
      <w:pPr>
        <w:widowControl w:val="0"/>
        <w:spacing w:line="276" w:lineRule="auto"/>
        <w:jc w:val="both"/>
        <w:rPr>
          <w:b/>
        </w:rPr>
      </w:pPr>
    </w:p>
    <w:p w:rsidR="00020033" w:rsidRDefault="004C1082" w:rsidP="00CE0EFE">
      <w:pPr>
        <w:widowControl w:val="0"/>
        <w:spacing w:line="276" w:lineRule="auto"/>
        <w:jc w:val="both"/>
      </w:pPr>
      <w:r w:rsidRPr="004C1082">
        <w:t>Referuar t</w:t>
      </w:r>
      <w:r w:rsidR="009B48E8">
        <w:t>ë</w:t>
      </w:r>
      <w:r w:rsidRPr="004C1082">
        <w:t xml:space="preserve"> </w:t>
      </w:r>
      <w:r>
        <w:t>dh</w:t>
      </w:r>
      <w:r w:rsidR="009B48E8">
        <w:t>ë</w:t>
      </w:r>
      <w:r>
        <w:t>nave n</w:t>
      </w:r>
      <w:r w:rsidR="009B48E8">
        <w:t>ë</w:t>
      </w:r>
      <w:r>
        <w:t xml:space="preserve"> raportin e kontrollit t</w:t>
      </w:r>
      <w:r w:rsidR="009B48E8">
        <w:t>ë</w:t>
      </w:r>
      <w:r>
        <w:t xml:space="preserve"> dat</w:t>
      </w:r>
      <w:r w:rsidR="009B48E8">
        <w:t>ë</w:t>
      </w:r>
      <w:r>
        <w:t>s 22.04.2022 konstatohet se:</w:t>
      </w:r>
    </w:p>
    <w:p w:rsidR="00255A2E" w:rsidRDefault="004C1082" w:rsidP="00CE0EFE">
      <w:pPr>
        <w:widowControl w:val="0"/>
        <w:spacing w:line="276" w:lineRule="auto"/>
        <w:jc w:val="both"/>
      </w:pPr>
      <w:r>
        <w:t>-</w:t>
      </w:r>
      <w:r w:rsidRPr="00255A2E">
        <w:rPr>
          <w:i/>
        </w:rPr>
        <w:t>Sipas analiz</w:t>
      </w:r>
      <w:r w:rsidR="009B48E8">
        <w:rPr>
          <w:i/>
        </w:rPr>
        <w:t>ë</w:t>
      </w:r>
      <w:r w:rsidRPr="00255A2E">
        <w:rPr>
          <w:i/>
        </w:rPr>
        <w:t>s s</w:t>
      </w:r>
      <w:r w:rsidR="009B48E8">
        <w:rPr>
          <w:i/>
        </w:rPr>
        <w:t>ë</w:t>
      </w:r>
      <w:r w:rsidRPr="00255A2E">
        <w:rPr>
          <w:i/>
        </w:rPr>
        <w:t xml:space="preserve"> shitjeve</w:t>
      </w:r>
      <w:r>
        <w:t xml:space="preserve">, </w:t>
      </w:r>
      <w:r w:rsidR="000636A3">
        <w:t>tatimpaguesi kryen shitje t</w:t>
      </w:r>
      <w:r w:rsidR="009B48E8">
        <w:t>ë</w:t>
      </w:r>
      <w:r w:rsidR="000636A3">
        <w:t xml:space="preserve"> tatueshme (shitje mallrash</w:t>
      </w:r>
      <w:r w:rsidR="00DE4063">
        <w:t xml:space="preserve"> në vlerën 261,360,625 lekë</w:t>
      </w:r>
      <w:r w:rsidR="000636A3">
        <w:t>) dhe shitje t</w:t>
      </w:r>
      <w:r w:rsidR="009B48E8">
        <w:t>ë</w:t>
      </w:r>
      <w:r w:rsidR="000636A3">
        <w:t xml:space="preserve"> p</w:t>
      </w:r>
      <w:r w:rsidR="009B48E8">
        <w:t>ë</w:t>
      </w:r>
      <w:r w:rsidR="000636A3">
        <w:t>rjashtu</w:t>
      </w:r>
      <w:r w:rsidR="00255A2E">
        <w:t>ara (dh</w:t>
      </w:r>
      <w:r w:rsidR="009B48E8">
        <w:t>ë</w:t>
      </w:r>
      <w:r w:rsidR="00255A2E">
        <w:t>nie me qira ambjentesh</w:t>
      </w:r>
      <w:r w:rsidR="00DE4063">
        <w:t xml:space="preserve"> 4,800,000 lekë</w:t>
      </w:r>
      <w:r w:rsidR="00255A2E">
        <w:t>).</w:t>
      </w:r>
    </w:p>
    <w:p w:rsidR="00170032" w:rsidRDefault="000636A3" w:rsidP="00CE0EFE">
      <w:pPr>
        <w:widowControl w:val="0"/>
        <w:spacing w:line="276" w:lineRule="auto"/>
        <w:jc w:val="both"/>
      </w:pPr>
      <w:r>
        <w:t>-</w:t>
      </w:r>
      <w:r w:rsidRPr="00255A2E">
        <w:rPr>
          <w:i/>
        </w:rPr>
        <w:t>Sipas analiz</w:t>
      </w:r>
      <w:r w:rsidR="009B48E8">
        <w:rPr>
          <w:i/>
        </w:rPr>
        <w:t>ë</w:t>
      </w:r>
      <w:r w:rsidRPr="00255A2E">
        <w:rPr>
          <w:i/>
        </w:rPr>
        <w:t>s s</w:t>
      </w:r>
      <w:r w:rsidR="009B48E8">
        <w:rPr>
          <w:i/>
        </w:rPr>
        <w:t>ë</w:t>
      </w:r>
      <w:r w:rsidRPr="00255A2E">
        <w:rPr>
          <w:i/>
        </w:rPr>
        <w:t xml:space="preserve"> blerjeve</w:t>
      </w:r>
      <w:r>
        <w:t>, tatimpaguesi ka</w:t>
      </w:r>
      <w:r w:rsidR="00170032">
        <w:t xml:space="preserve"> re</w:t>
      </w:r>
      <w:r w:rsidR="008F7BE4">
        <w:t>a</w:t>
      </w:r>
      <w:r w:rsidR="00170032">
        <w:t>lizuar:</w:t>
      </w:r>
    </w:p>
    <w:p w:rsidR="004C1082" w:rsidRDefault="00170032" w:rsidP="00CE0EFE">
      <w:pPr>
        <w:widowControl w:val="0"/>
        <w:spacing w:line="276" w:lineRule="auto"/>
        <w:jc w:val="both"/>
      </w:pPr>
      <w:r>
        <w:t>-B</w:t>
      </w:r>
      <w:r w:rsidR="000636A3">
        <w:t>lerje t</w:t>
      </w:r>
      <w:r w:rsidR="009B48E8">
        <w:t>ë</w:t>
      </w:r>
      <w:r w:rsidR="000636A3">
        <w:t xml:space="preserve"> p</w:t>
      </w:r>
      <w:r w:rsidR="009B48E8">
        <w:t>ë</w:t>
      </w:r>
      <w:r w:rsidR="000636A3">
        <w:t>rjashtuara n</w:t>
      </w:r>
      <w:r w:rsidR="009B48E8">
        <w:t>ë</w:t>
      </w:r>
      <w:r w:rsidR="000636A3">
        <w:t xml:space="preserve"> vler</w:t>
      </w:r>
      <w:r w:rsidR="009B48E8">
        <w:t>ë</w:t>
      </w:r>
      <w:r w:rsidR="000636A3">
        <w:t>n 2,154,241 lek</w:t>
      </w:r>
      <w:r w:rsidR="009B48E8">
        <w:t>ë</w:t>
      </w:r>
      <w:r w:rsidR="000636A3">
        <w:t xml:space="preserve"> (ku p</w:t>
      </w:r>
      <w:r w:rsidR="009B48E8">
        <w:t>ë</w:t>
      </w:r>
      <w:r w:rsidR="000636A3">
        <w:t>rfshihen</w:t>
      </w:r>
      <w:r w:rsidR="004C1082">
        <w:t xml:space="preserve"> </w:t>
      </w:r>
      <w:r w:rsidR="000636A3">
        <w:t>qera, tarif</w:t>
      </w:r>
      <w:r w:rsidR="009B48E8">
        <w:t>ë</w:t>
      </w:r>
      <w:r w:rsidR="000636A3">
        <w:t xml:space="preserve"> skanimi, çertefikim produkti dhe shpenzime postare)</w:t>
      </w:r>
    </w:p>
    <w:p w:rsidR="000636A3" w:rsidRDefault="00170032" w:rsidP="00CE0EFE">
      <w:pPr>
        <w:widowControl w:val="0"/>
        <w:spacing w:line="276" w:lineRule="auto"/>
        <w:jc w:val="both"/>
      </w:pPr>
      <w:r>
        <w:t>-</w:t>
      </w:r>
      <w:r w:rsidR="00DE4063">
        <w:t>Importe birre dhe zhdoganim paletash</w:t>
      </w:r>
      <w:r w:rsidR="000636A3">
        <w:t xml:space="preserve"> n</w:t>
      </w:r>
      <w:r w:rsidR="009B48E8">
        <w:t>ë</w:t>
      </w:r>
      <w:r w:rsidR="000636A3">
        <w:t xml:space="preserve"> vler</w:t>
      </w:r>
      <w:r w:rsidR="009B48E8">
        <w:t>ë</w:t>
      </w:r>
      <w:r w:rsidR="000636A3">
        <w:t xml:space="preserve">n </w:t>
      </w:r>
      <w:r w:rsidR="00DE4063">
        <w:t>16,219,688</w:t>
      </w:r>
      <w:r w:rsidR="000636A3">
        <w:t xml:space="preserve"> lek</w:t>
      </w:r>
      <w:r w:rsidR="009B48E8">
        <w:t>ë</w:t>
      </w:r>
      <w:r w:rsidR="008F7BE4">
        <w:t>, t</w:t>
      </w:r>
      <w:r w:rsidR="009B48E8">
        <w:t>ë</w:t>
      </w:r>
      <w:r w:rsidR="008F7BE4">
        <w:t xml:space="preserve"> cilat i sh</w:t>
      </w:r>
      <w:r w:rsidR="009B48E8">
        <w:t>ë</w:t>
      </w:r>
      <w:r w:rsidR="008F7BE4">
        <w:t>rbejn</w:t>
      </w:r>
      <w:r w:rsidR="009B48E8">
        <w:t>ë</w:t>
      </w:r>
      <w:r w:rsidR="008F7BE4">
        <w:t xml:space="preserve"> shitjeve t</w:t>
      </w:r>
      <w:r w:rsidR="009B48E8">
        <w:t>ë</w:t>
      </w:r>
      <w:r w:rsidR="008F7BE4">
        <w:t xml:space="preserve"> tatueshme</w:t>
      </w:r>
    </w:p>
    <w:p w:rsidR="00170032" w:rsidRDefault="00170032" w:rsidP="00CE0EFE">
      <w:pPr>
        <w:widowControl w:val="0"/>
        <w:spacing w:line="276" w:lineRule="auto"/>
        <w:jc w:val="both"/>
      </w:pPr>
      <w:r>
        <w:t>-Si dhe blerje t</w:t>
      </w:r>
      <w:r w:rsidR="009B48E8">
        <w:t>ë</w:t>
      </w:r>
      <w:r>
        <w:t xml:space="preserve"> tjera nga furnitor</w:t>
      </w:r>
      <w:r w:rsidR="009B48E8">
        <w:t>ë</w:t>
      </w:r>
      <w:r>
        <w:t xml:space="preserve"> vendas me shkall</w:t>
      </w:r>
      <w:r w:rsidR="009B48E8">
        <w:t>ë</w:t>
      </w:r>
      <w:r>
        <w:t xml:space="preserve"> 20%</w:t>
      </w:r>
      <w:r w:rsidR="008F7BE4">
        <w:t xml:space="preserve">, </w:t>
      </w:r>
      <w:r w:rsidR="00255A2E">
        <w:t>t</w:t>
      </w:r>
      <w:r w:rsidR="009B48E8">
        <w:t>ë</w:t>
      </w:r>
      <w:r w:rsidR="00255A2E">
        <w:t xml:space="preserve"> cilat referuar q</w:t>
      </w:r>
      <w:r w:rsidR="009B48E8">
        <w:t>ë</w:t>
      </w:r>
      <w:r w:rsidR="00255A2E">
        <w:t>llimit t</w:t>
      </w:r>
      <w:r w:rsidR="009B48E8">
        <w:t>ë</w:t>
      </w:r>
      <w:r w:rsidR="00255A2E">
        <w:t xml:space="preserve"> p</w:t>
      </w:r>
      <w:r w:rsidR="009B48E8">
        <w:t>ë</w:t>
      </w:r>
      <w:r w:rsidR="00255A2E">
        <w:t>rdorimit t</w:t>
      </w:r>
      <w:r w:rsidR="009B48E8">
        <w:t>ë</w:t>
      </w:r>
      <w:r w:rsidR="00255A2E">
        <w:t xml:space="preserve"> tyre, ndahen n</w:t>
      </w:r>
      <w:r w:rsidR="009B48E8">
        <w:t>ë</w:t>
      </w:r>
      <w:r w:rsidR="00255A2E">
        <w:t xml:space="preserve"> 2 grupe </w:t>
      </w:r>
      <w:r w:rsidR="008F7BE4">
        <w:t>si m</w:t>
      </w:r>
      <w:r w:rsidR="009B48E8">
        <w:t>ë</w:t>
      </w:r>
      <w:r w:rsidR="008F7BE4">
        <w:t>posht</w:t>
      </w:r>
      <w:r w:rsidR="009B48E8">
        <w:t>ë</w:t>
      </w:r>
      <w:r w:rsidR="008F7BE4">
        <w:t>:</w:t>
      </w:r>
    </w:p>
    <w:p w:rsidR="008F7BE4" w:rsidRDefault="00255A2E" w:rsidP="00CE0EFE">
      <w:pPr>
        <w:widowControl w:val="0"/>
        <w:spacing w:line="276" w:lineRule="auto"/>
        <w:jc w:val="both"/>
      </w:pPr>
      <w:r w:rsidRPr="00255A2E">
        <w:rPr>
          <w:u w:val="single"/>
        </w:rPr>
        <w:t>N</w:t>
      </w:r>
      <w:r w:rsidR="009B48E8">
        <w:rPr>
          <w:u w:val="single"/>
        </w:rPr>
        <w:t>ë</w:t>
      </w:r>
      <w:r w:rsidRPr="00255A2E">
        <w:rPr>
          <w:u w:val="single"/>
        </w:rPr>
        <w:t xml:space="preserve"> Grupin </w:t>
      </w:r>
      <w:r w:rsidR="008F7BE4" w:rsidRPr="00255A2E">
        <w:rPr>
          <w:u w:val="single"/>
        </w:rPr>
        <w:t>I</w:t>
      </w:r>
      <w:r w:rsidR="008F7BE4">
        <w:t>. Blerje produktesh (n</w:t>
      </w:r>
      <w:r w:rsidR="009B48E8">
        <w:t>ë</w:t>
      </w:r>
      <w:r w:rsidR="008F7BE4">
        <w:t xml:space="preserve"> vler</w:t>
      </w:r>
      <w:r w:rsidR="009B48E8">
        <w:t>ë</w:t>
      </w:r>
      <w:r w:rsidR="008F7BE4">
        <w:t>n 269,596,666 lek</w:t>
      </w:r>
      <w:r w:rsidR="009B48E8">
        <w:t>ë</w:t>
      </w:r>
      <w:r w:rsidR="008F7BE4">
        <w:t xml:space="preserve">) </w:t>
      </w:r>
    </w:p>
    <w:p w:rsidR="008F7BE4" w:rsidRDefault="008F7BE4" w:rsidP="00CE0EFE">
      <w:pPr>
        <w:widowControl w:val="0"/>
        <w:spacing w:line="276" w:lineRule="auto"/>
        <w:jc w:val="both"/>
      </w:pPr>
      <w:r>
        <w:t xml:space="preserve">    </w:t>
      </w:r>
      <w:r w:rsidR="00255A2E">
        <w:t xml:space="preserve">                  </w:t>
      </w:r>
      <w:r>
        <w:t>Sh</w:t>
      </w:r>
      <w:r w:rsidR="009B48E8">
        <w:t>ë</w:t>
      </w:r>
      <w:r>
        <w:t>rbime nga agjensia doganore (n</w:t>
      </w:r>
      <w:r w:rsidR="009B48E8">
        <w:t>ë</w:t>
      </w:r>
      <w:r>
        <w:t xml:space="preserve"> vler</w:t>
      </w:r>
      <w:r w:rsidR="009B48E8">
        <w:t>ë</w:t>
      </w:r>
      <w:r>
        <w:t>n 1,286,042 lek</w:t>
      </w:r>
      <w:r w:rsidR="009B48E8">
        <w:t>ë</w:t>
      </w:r>
      <w:r>
        <w:t xml:space="preserve">) </w:t>
      </w:r>
    </w:p>
    <w:p w:rsidR="008F7BE4" w:rsidRDefault="008F7BE4" w:rsidP="00CE0EFE">
      <w:pPr>
        <w:widowControl w:val="0"/>
        <w:spacing w:line="276" w:lineRule="auto"/>
        <w:jc w:val="both"/>
      </w:pPr>
      <w:r>
        <w:t xml:space="preserve">    </w:t>
      </w:r>
      <w:r w:rsidR="00255A2E">
        <w:t xml:space="preserve">                  </w:t>
      </w:r>
      <w:r>
        <w:t>Blerje pullash fiskale (n</w:t>
      </w:r>
      <w:r w:rsidR="009B48E8">
        <w:t>ë</w:t>
      </w:r>
      <w:r>
        <w:t xml:space="preserve"> vler</w:t>
      </w:r>
      <w:r w:rsidR="009B48E8">
        <w:t>ë</w:t>
      </w:r>
      <w:r>
        <w:t>n 620,078 lek</w:t>
      </w:r>
      <w:r w:rsidR="009B48E8">
        <w:t>ë</w:t>
      </w:r>
      <w:r>
        <w:t>)</w:t>
      </w:r>
    </w:p>
    <w:p w:rsidR="008F7BE4" w:rsidRDefault="008F7BE4" w:rsidP="00CE0EFE">
      <w:pPr>
        <w:widowControl w:val="0"/>
        <w:spacing w:line="276" w:lineRule="auto"/>
        <w:jc w:val="both"/>
      </w:pPr>
      <w:r>
        <w:t xml:space="preserve">    </w:t>
      </w:r>
      <w:r w:rsidR="00255A2E">
        <w:t xml:space="preserve">                  </w:t>
      </w:r>
      <w:r>
        <w:t>Kthim paletash (n</w:t>
      </w:r>
      <w:r w:rsidR="009B48E8">
        <w:t>ë</w:t>
      </w:r>
      <w:r>
        <w:t xml:space="preserve"> vler</w:t>
      </w:r>
      <w:r w:rsidR="009B48E8">
        <w:t>ë</w:t>
      </w:r>
      <w:r>
        <w:t>n -2,906,808 lek</w:t>
      </w:r>
      <w:r w:rsidR="009B48E8">
        <w:t>ë</w:t>
      </w:r>
      <w:r>
        <w:t>)</w:t>
      </w:r>
    </w:p>
    <w:p w:rsidR="00762A7A" w:rsidRPr="00762A7A" w:rsidRDefault="00762A7A" w:rsidP="00CE0EFE">
      <w:pPr>
        <w:widowControl w:val="0"/>
        <w:spacing w:line="276" w:lineRule="auto"/>
        <w:jc w:val="both"/>
        <w:rPr>
          <w:b/>
        </w:rPr>
      </w:pPr>
      <w:r w:rsidRPr="00762A7A">
        <w:rPr>
          <w:b/>
        </w:rPr>
        <w:t xml:space="preserve">                      Total 268,595,978 lek</w:t>
      </w:r>
      <w:r w:rsidR="009B48E8">
        <w:rPr>
          <w:b/>
        </w:rPr>
        <w:t>ë</w:t>
      </w:r>
    </w:p>
    <w:p w:rsidR="00020033" w:rsidRDefault="00255A2E" w:rsidP="00CE0EFE">
      <w:pPr>
        <w:widowControl w:val="0"/>
        <w:spacing w:line="276" w:lineRule="auto"/>
        <w:jc w:val="both"/>
      </w:pPr>
      <w:r>
        <w:t>K</w:t>
      </w:r>
      <w:r w:rsidR="009B48E8">
        <w:t>ë</w:t>
      </w:r>
      <w:r>
        <w:t>to furnizime jan</w:t>
      </w:r>
      <w:r w:rsidR="009B48E8">
        <w:t>ë</w:t>
      </w:r>
      <w:r>
        <w:t xml:space="preserve"> realizuar dhe i sh</w:t>
      </w:r>
      <w:r w:rsidR="009B48E8">
        <w:t>ë</w:t>
      </w:r>
      <w:r>
        <w:t>rbejn</w:t>
      </w:r>
      <w:r w:rsidR="009B48E8">
        <w:t>ë</w:t>
      </w:r>
      <w:r>
        <w:t xml:space="preserve"> </w:t>
      </w:r>
      <w:r w:rsidR="00DE4063">
        <w:t xml:space="preserve">vetëm </w:t>
      </w:r>
      <w:r>
        <w:t>shitjes s</w:t>
      </w:r>
      <w:r w:rsidR="009B48E8">
        <w:t>ë</w:t>
      </w:r>
      <w:r>
        <w:t xml:space="preserve"> mallrave (shitjeve t</w:t>
      </w:r>
      <w:r w:rsidR="009B48E8">
        <w:t>ë</w:t>
      </w:r>
      <w:r>
        <w:t xml:space="preserve"> tatueshme t</w:t>
      </w:r>
      <w:r w:rsidR="009B48E8">
        <w:t>ë</w:t>
      </w:r>
      <w:r>
        <w:t xml:space="preserve"> shoq</w:t>
      </w:r>
      <w:r w:rsidR="009B48E8">
        <w:t>ë</w:t>
      </w:r>
      <w:r>
        <w:t>ris</w:t>
      </w:r>
      <w:r w:rsidR="009B48E8">
        <w:t>ë</w:t>
      </w:r>
      <w:r>
        <w:t>).</w:t>
      </w:r>
    </w:p>
    <w:p w:rsidR="00255A2E" w:rsidRDefault="00255A2E" w:rsidP="00CE0EFE">
      <w:pPr>
        <w:widowControl w:val="0"/>
        <w:spacing w:line="276" w:lineRule="auto"/>
        <w:jc w:val="both"/>
      </w:pPr>
      <w:r w:rsidRPr="00255A2E">
        <w:rPr>
          <w:u w:val="single"/>
        </w:rPr>
        <w:t>N</w:t>
      </w:r>
      <w:r w:rsidR="009B48E8">
        <w:rPr>
          <w:u w:val="single"/>
        </w:rPr>
        <w:t>ë</w:t>
      </w:r>
      <w:r w:rsidRPr="00255A2E">
        <w:rPr>
          <w:u w:val="single"/>
        </w:rPr>
        <w:t xml:space="preserve"> Grupin II</w:t>
      </w:r>
      <w:r>
        <w:t>. Shpenzime auditimi (n</w:t>
      </w:r>
      <w:r w:rsidR="009B48E8">
        <w:t>ë</w:t>
      </w:r>
      <w:r>
        <w:t xml:space="preserve"> vler</w:t>
      </w:r>
      <w:r w:rsidR="009B48E8">
        <w:t>ë</w:t>
      </w:r>
      <w:r>
        <w:t>n 443,376 lek</w:t>
      </w:r>
      <w:r w:rsidR="009B48E8">
        <w:t>ë</w:t>
      </w:r>
      <w:r>
        <w:t>)</w:t>
      </w:r>
    </w:p>
    <w:p w:rsidR="00255A2E" w:rsidRDefault="00255A2E" w:rsidP="00CE0EFE">
      <w:pPr>
        <w:widowControl w:val="0"/>
        <w:spacing w:line="276" w:lineRule="auto"/>
        <w:jc w:val="both"/>
      </w:pPr>
      <w:r>
        <w:t xml:space="preserve">                       Shpenzime juridike (n</w:t>
      </w:r>
      <w:r w:rsidR="009B48E8">
        <w:t>ë</w:t>
      </w:r>
      <w:r>
        <w:t xml:space="preserve"> vler</w:t>
      </w:r>
      <w:r w:rsidR="009B48E8">
        <w:t>ë</w:t>
      </w:r>
      <w:r>
        <w:t>n 59,117 lek</w:t>
      </w:r>
      <w:r w:rsidR="009B48E8">
        <w:t>ë</w:t>
      </w:r>
      <w:r>
        <w:t>)</w:t>
      </w:r>
    </w:p>
    <w:p w:rsidR="00255A2E" w:rsidRDefault="00255A2E" w:rsidP="00CE0EFE">
      <w:pPr>
        <w:widowControl w:val="0"/>
        <w:spacing w:line="276" w:lineRule="auto"/>
        <w:jc w:val="both"/>
      </w:pPr>
      <w:r>
        <w:t xml:space="preserve">                       Blerje program fiskalizimi (n</w:t>
      </w:r>
      <w:r w:rsidR="009B48E8">
        <w:t>ë</w:t>
      </w:r>
      <w:r>
        <w:t xml:space="preserve"> vler</w:t>
      </w:r>
      <w:r w:rsidR="009B48E8">
        <w:t>ë</w:t>
      </w:r>
      <w:r>
        <w:t>n 36,952 lek</w:t>
      </w:r>
      <w:r w:rsidR="009B48E8">
        <w:t>ë</w:t>
      </w:r>
      <w:r>
        <w:t>)</w:t>
      </w:r>
    </w:p>
    <w:p w:rsidR="00762A7A" w:rsidRPr="00762A7A" w:rsidRDefault="00762A7A" w:rsidP="00CE0EFE">
      <w:pPr>
        <w:widowControl w:val="0"/>
        <w:spacing w:line="276" w:lineRule="auto"/>
        <w:jc w:val="both"/>
        <w:rPr>
          <w:b/>
        </w:rPr>
      </w:pPr>
      <w:r w:rsidRPr="00762A7A">
        <w:rPr>
          <w:b/>
        </w:rPr>
        <w:t xml:space="preserve">                      Total </w:t>
      </w:r>
      <w:r>
        <w:rPr>
          <w:b/>
        </w:rPr>
        <w:t>539,445</w:t>
      </w:r>
      <w:r w:rsidRPr="00762A7A">
        <w:rPr>
          <w:b/>
        </w:rPr>
        <w:t xml:space="preserve"> lek</w:t>
      </w:r>
      <w:r w:rsidR="009B48E8">
        <w:rPr>
          <w:b/>
        </w:rPr>
        <w:t>ë</w:t>
      </w:r>
    </w:p>
    <w:p w:rsidR="00020033" w:rsidRDefault="00255A2E" w:rsidP="00CE0EFE">
      <w:pPr>
        <w:widowControl w:val="0"/>
        <w:spacing w:line="276" w:lineRule="auto"/>
        <w:jc w:val="both"/>
      </w:pPr>
      <w:r>
        <w:t>K</w:t>
      </w:r>
      <w:r w:rsidR="009B48E8">
        <w:t>ë</w:t>
      </w:r>
      <w:r>
        <w:t>to furnizime jan</w:t>
      </w:r>
      <w:r w:rsidR="009B48E8">
        <w:t>ë</w:t>
      </w:r>
      <w:r>
        <w:t xml:space="preserve"> n</w:t>
      </w:r>
      <w:r w:rsidR="009B48E8">
        <w:t>ë</w:t>
      </w:r>
      <w:r>
        <w:t xml:space="preserve"> funksion t</w:t>
      </w:r>
      <w:r w:rsidR="009B48E8">
        <w:t>ë</w:t>
      </w:r>
      <w:r>
        <w:t xml:space="preserve"> t</w:t>
      </w:r>
      <w:r w:rsidR="009B48E8">
        <w:t>ë</w:t>
      </w:r>
      <w:r>
        <w:t xml:space="preserve"> dyja veprimtarive t</w:t>
      </w:r>
      <w:r w:rsidR="009B48E8">
        <w:t>ë</w:t>
      </w:r>
      <w:r>
        <w:t xml:space="preserve"> shoq</w:t>
      </w:r>
      <w:r w:rsidR="009B48E8">
        <w:t>ë</w:t>
      </w:r>
      <w:r>
        <w:t>ris</w:t>
      </w:r>
      <w:r w:rsidR="009B48E8">
        <w:t>ë</w:t>
      </w:r>
      <w:r>
        <w:t>, si shitjeve t</w:t>
      </w:r>
      <w:r w:rsidR="009B48E8">
        <w:t>ë</w:t>
      </w:r>
      <w:r>
        <w:t xml:space="preserve"> tatueshme (shitjes s</w:t>
      </w:r>
      <w:r w:rsidR="009B48E8">
        <w:t>ë</w:t>
      </w:r>
      <w:r>
        <w:t xml:space="preserve"> mallrave) ashtu edhe n</w:t>
      </w:r>
      <w:r w:rsidR="009B48E8">
        <w:t>ë</w:t>
      </w:r>
      <w:r>
        <w:t xml:space="preserve"> funksion t</w:t>
      </w:r>
      <w:r w:rsidR="009B48E8">
        <w:t>ë</w:t>
      </w:r>
      <w:r>
        <w:t xml:space="preserve"> shitjeve t</w:t>
      </w:r>
      <w:r w:rsidR="009B48E8">
        <w:t>ë</w:t>
      </w:r>
      <w:r>
        <w:t xml:space="preserve"> p</w:t>
      </w:r>
      <w:r w:rsidR="009B48E8">
        <w:t>ë</w:t>
      </w:r>
      <w:r>
        <w:t>rjashtuara (dh</w:t>
      </w:r>
      <w:r w:rsidR="009B48E8">
        <w:t>ë</w:t>
      </w:r>
      <w:r>
        <w:t>nies me qira).</w:t>
      </w:r>
    </w:p>
    <w:p w:rsidR="00DE4063" w:rsidRPr="00762A7A" w:rsidRDefault="00DE4063" w:rsidP="00CE0EFE">
      <w:pPr>
        <w:widowControl w:val="0"/>
        <w:spacing w:line="276" w:lineRule="auto"/>
        <w:jc w:val="both"/>
      </w:pPr>
    </w:p>
    <w:p w:rsidR="00B21B38" w:rsidRPr="009A4CD6" w:rsidRDefault="00255A2E" w:rsidP="00CE0EFE">
      <w:pPr>
        <w:pStyle w:val="Header"/>
        <w:widowControl w:val="0"/>
        <w:tabs>
          <w:tab w:val="left" w:pos="720"/>
        </w:tabs>
        <w:spacing w:line="276" w:lineRule="auto"/>
        <w:jc w:val="both"/>
        <w:rPr>
          <w:bCs/>
        </w:rPr>
      </w:pPr>
      <w:r>
        <w:rPr>
          <w:bCs/>
        </w:rPr>
        <w:t xml:space="preserve">Pra, </w:t>
      </w:r>
      <w:r w:rsidR="00B21B38">
        <w:rPr>
          <w:bCs/>
        </w:rPr>
        <w:t>furnizime</w:t>
      </w:r>
      <w:r>
        <w:rPr>
          <w:bCs/>
        </w:rPr>
        <w:t>t</w:t>
      </w:r>
      <w:r w:rsidR="00B21B38">
        <w:rPr>
          <w:bCs/>
        </w:rPr>
        <w:t xml:space="preserve"> </w:t>
      </w:r>
      <w:r>
        <w:rPr>
          <w:bCs/>
        </w:rPr>
        <w:t>e</w:t>
      </w:r>
      <w:r w:rsidR="00B21B38">
        <w:rPr>
          <w:bCs/>
        </w:rPr>
        <w:t xml:space="preserve"> </w:t>
      </w:r>
      <w:r w:rsidR="009A4CD6">
        <w:rPr>
          <w:bCs/>
        </w:rPr>
        <w:t xml:space="preserve">auditimit, </w:t>
      </w:r>
      <w:r>
        <w:rPr>
          <w:bCs/>
        </w:rPr>
        <w:t>juridike</w:t>
      </w:r>
      <w:r w:rsidR="009A4CD6">
        <w:rPr>
          <w:bCs/>
        </w:rPr>
        <w:t xml:space="preserve"> </w:t>
      </w:r>
      <w:r>
        <w:rPr>
          <w:bCs/>
        </w:rPr>
        <w:t xml:space="preserve">dhe </w:t>
      </w:r>
      <w:r w:rsidR="009A4CD6">
        <w:rPr>
          <w:bCs/>
        </w:rPr>
        <w:t>blerjet e programve t</w:t>
      </w:r>
      <w:r w:rsidR="00265D72">
        <w:rPr>
          <w:bCs/>
        </w:rPr>
        <w:t>ë</w:t>
      </w:r>
      <w:r w:rsidR="009A4CD6">
        <w:rPr>
          <w:bCs/>
        </w:rPr>
        <w:t xml:space="preserve"> fiskalizimit </w:t>
      </w:r>
      <w:r w:rsidR="00B21B38">
        <w:rPr>
          <w:bCs/>
        </w:rPr>
        <w:t>p</w:t>
      </w:r>
      <w:r w:rsidR="00265D72">
        <w:rPr>
          <w:bCs/>
        </w:rPr>
        <w:t>ë</w:t>
      </w:r>
      <w:r w:rsidR="00B21B38">
        <w:rPr>
          <w:bCs/>
        </w:rPr>
        <w:t>rfshihen nd</w:t>
      </w:r>
      <w:r w:rsidR="00265D72">
        <w:rPr>
          <w:bCs/>
        </w:rPr>
        <w:t>ë</w:t>
      </w:r>
      <w:r w:rsidR="00B21B38">
        <w:rPr>
          <w:bCs/>
        </w:rPr>
        <w:t>r furnizimet q</w:t>
      </w:r>
      <w:r w:rsidR="00265D72">
        <w:rPr>
          <w:bCs/>
        </w:rPr>
        <w:t>ë</w:t>
      </w:r>
      <w:r w:rsidR="00B21B38">
        <w:rPr>
          <w:bCs/>
        </w:rPr>
        <w:t xml:space="preserve"> i sh</w:t>
      </w:r>
      <w:r w:rsidR="00265D72">
        <w:rPr>
          <w:bCs/>
        </w:rPr>
        <w:t>ë</w:t>
      </w:r>
      <w:r w:rsidR="00B21B38">
        <w:rPr>
          <w:bCs/>
        </w:rPr>
        <w:t>rbejn</w:t>
      </w:r>
      <w:r w:rsidR="00265D72">
        <w:rPr>
          <w:bCs/>
        </w:rPr>
        <w:t>ë</w:t>
      </w:r>
      <w:r w:rsidR="00B21B38">
        <w:rPr>
          <w:bCs/>
        </w:rPr>
        <w:t xml:space="preserve"> pjes</w:t>
      </w:r>
      <w:r w:rsidR="00265D72">
        <w:rPr>
          <w:bCs/>
        </w:rPr>
        <w:t>ë</w:t>
      </w:r>
      <w:r w:rsidR="00B21B38">
        <w:rPr>
          <w:bCs/>
        </w:rPr>
        <w:t>risht furnizimeve t</w:t>
      </w:r>
      <w:r w:rsidR="00265D72">
        <w:rPr>
          <w:bCs/>
        </w:rPr>
        <w:t>ë</w:t>
      </w:r>
      <w:r w:rsidR="00B21B38">
        <w:rPr>
          <w:bCs/>
        </w:rPr>
        <w:t xml:space="preserve"> tatueshme dhe pjes</w:t>
      </w:r>
      <w:r w:rsidR="00265D72">
        <w:rPr>
          <w:bCs/>
        </w:rPr>
        <w:t>ë</w:t>
      </w:r>
      <w:r w:rsidR="00B21B38">
        <w:rPr>
          <w:bCs/>
        </w:rPr>
        <w:t>risht furnizimeve t</w:t>
      </w:r>
      <w:r w:rsidR="00265D72">
        <w:rPr>
          <w:bCs/>
        </w:rPr>
        <w:t>ë</w:t>
      </w:r>
      <w:r w:rsidR="00B21B38">
        <w:rPr>
          <w:bCs/>
        </w:rPr>
        <w:t xml:space="preserve"> p</w:t>
      </w:r>
      <w:r w:rsidR="00265D72">
        <w:rPr>
          <w:bCs/>
        </w:rPr>
        <w:t>ë</w:t>
      </w:r>
      <w:r w:rsidR="00B21B38">
        <w:rPr>
          <w:bCs/>
        </w:rPr>
        <w:t>rjashtuara dhe kreditimi i TVSH-s</w:t>
      </w:r>
      <w:r w:rsidR="00265D72">
        <w:rPr>
          <w:bCs/>
        </w:rPr>
        <w:t>ë</w:t>
      </w:r>
      <w:r w:rsidR="00B21B38">
        <w:rPr>
          <w:bCs/>
        </w:rPr>
        <w:t xml:space="preserve"> s</w:t>
      </w:r>
      <w:r w:rsidR="00265D72">
        <w:rPr>
          <w:bCs/>
        </w:rPr>
        <w:t>ë</w:t>
      </w:r>
      <w:r w:rsidR="00B21B38">
        <w:rPr>
          <w:bCs/>
        </w:rPr>
        <w:t xml:space="preserve"> paguar n</w:t>
      </w:r>
      <w:r w:rsidR="00265D72">
        <w:rPr>
          <w:bCs/>
        </w:rPr>
        <w:t>ë</w:t>
      </w:r>
      <w:r w:rsidR="00B21B38">
        <w:rPr>
          <w:bCs/>
        </w:rPr>
        <w:t xml:space="preserve"> blerje duhet t</w:t>
      </w:r>
      <w:r w:rsidR="00265D72">
        <w:rPr>
          <w:bCs/>
        </w:rPr>
        <w:t>ë</w:t>
      </w:r>
      <w:r w:rsidR="00B21B38">
        <w:rPr>
          <w:bCs/>
        </w:rPr>
        <w:t xml:space="preserve"> b</w:t>
      </w:r>
      <w:r w:rsidR="00265D72">
        <w:rPr>
          <w:bCs/>
        </w:rPr>
        <w:t>ë</w:t>
      </w:r>
      <w:r w:rsidR="00B21B38">
        <w:rPr>
          <w:bCs/>
        </w:rPr>
        <w:t>het n</w:t>
      </w:r>
      <w:r w:rsidR="00265D72">
        <w:rPr>
          <w:bCs/>
        </w:rPr>
        <w:t>ë</w:t>
      </w:r>
      <w:r w:rsidR="00B21B38">
        <w:rPr>
          <w:bCs/>
        </w:rPr>
        <w:t xml:space="preserve"> p</w:t>
      </w:r>
      <w:r w:rsidR="00265D72">
        <w:rPr>
          <w:bCs/>
        </w:rPr>
        <w:t>ë</w:t>
      </w:r>
      <w:r w:rsidR="00B21B38">
        <w:rPr>
          <w:bCs/>
        </w:rPr>
        <w:t>rqindjen e p</w:t>
      </w:r>
      <w:r w:rsidR="00265D72">
        <w:rPr>
          <w:bCs/>
        </w:rPr>
        <w:t>ë</w:t>
      </w:r>
      <w:r w:rsidR="00B21B38">
        <w:rPr>
          <w:bCs/>
        </w:rPr>
        <w:t>rcaktuar n</w:t>
      </w:r>
      <w:r w:rsidR="00265D72">
        <w:rPr>
          <w:bCs/>
        </w:rPr>
        <w:t>ë</w:t>
      </w:r>
      <w:r w:rsidR="00B21B38">
        <w:rPr>
          <w:bCs/>
        </w:rPr>
        <w:t xml:space="preserve"> raportin e kontrollit. </w:t>
      </w:r>
      <w:r w:rsidR="00B21B38">
        <w:rPr>
          <w:lang w:val="it-IT"/>
        </w:rPr>
        <w:t>K</w:t>
      </w:r>
      <w:r w:rsidR="00265D72">
        <w:rPr>
          <w:lang w:val="it-IT"/>
        </w:rPr>
        <w:t>ë</w:t>
      </w:r>
      <w:r w:rsidR="00B21B38">
        <w:rPr>
          <w:lang w:val="it-IT"/>
        </w:rPr>
        <w:t>to furnizime konsiderohen si furnizime q</w:t>
      </w:r>
      <w:r w:rsidR="00265D72">
        <w:rPr>
          <w:lang w:val="it-IT"/>
        </w:rPr>
        <w:t>ë</w:t>
      </w:r>
      <w:r w:rsidR="00B21B38">
        <w:rPr>
          <w:lang w:val="it-IT"/>
        </w:rPr>
        <w:t xml:space="preserve"> i sh</w:t>
      </w:r>
      <w:r w:rsidR="00265D72">
        <w:rPr>
          <w:lang w:val="it-IT"/>
        </w:rPr>
        <w:t>ë</w:t>
      </w:r>
      <w:r w:rsidR="00B21B38">
        <w:rPr>
          <w:lang w:val="it-IT"/>
        </w:rPr>
        <w:t>rbejn</w:t>
      </w:r>
      <w:r w:rsidR="00265D72">
        <w:rPr>
          <w:lang w:val="it-IT"/>
        </w:rPr>
        <w:t>ë</w:t>
      </w:r>
      <w:r w:rsidR="00B21B38">
        <w:rPr>
          <w:lang w:val="it-IT"/>
        </w:rPr>
        <w:t xml:space="preserve"> aktivitetit t</w:t>
      </w:r>
      <w:r w:rsidR="00265D72">
        <w:rPr>
          <w:lang w:val="it-IT"/>
        </w:rPr>
        <w:t>ë</w:t>
      </w:r>
      <w:r w:rsidR="00B21B38">
        <w:rPr>
          <w:lang w:val="it-IT"/>
        </w:rPr>
        <w:t xml:space="preserve"> shoq</w:t>
      </w:r>
      <w:r w:rsidR="00265D72">
        <w:rPr>
          <w:lang w:val="it-IT"/>
        </w:rPr>
        <w:t>ë</w:t>
      </w:r>
      <w:r w:rsidR="00B21B38">
        <w:rPr>
          <w:lang w:val="it-IT"/>
        </w:rPr>
        <w:t>ris</w:t>
      </w:r>
      <w:r w:rsidR="00265D72">
        <w:rPr>
          <w:lang w:val="it-IT"/>
        </w:rPr>
        <w:t>ë</w:t>
      </w:r>
      <w:r w:rsidR="00B21B38">
        <w:rPr>
          <w:lang w:val="it-IT"/>
        </w:rPr>
        <w:t xml:space="preserve"> n</w:t>
      </w:r>
      <w:r w:rsidR="00265D72">
        <w:rPr>
          <w:lang w:val="it-IT"/>
        </w:rPr>
        <w:t>ë</w:t>
      </w:r>
      <w:r w:rsidR="009A4CD6">
        <w:rPr>
          <w:lang w:val="it-IT"/>
        </w:rPr>
        <w:t xml:space="preserve"> t</w:t>
      </w:r>
      <w:r w:rsidR="00265D72">
        <w:rPr>
          <w:lang w:val="it-IT"/>
        </w:rPr>
        <w:t>ë</w:t>
      </w:r>
      <w:r w:rsidR="00B21B38">
        <w:rPr>
          <w:lang w:val="it-IT"/>
        </w:rPr>
        <w:t>r</w:t>
      </w:r>
      <w:r w:rsidR="00265D72">
        <w:rPr>
          <w:lang w:val="it-IT"/>
        </w:rPr>
        <w:t>ë</w:t>
      </w:r>
      <w:r w:rsidR="00B21B38">
        <w:rPr>
          <w:lang w:val="it-IT"/>
        </w:rPr>
        <w:t>si, pasi jan</w:t>
      </w:r>
      <w:r w:rsidR="00265D72">
        <w:rPr>
          <w:lang w:val="it-IT"/>
        </w:rPr>
        <w:t>ë</w:t>
      </w:r>
      <w:r w:rsidR="00B21B38">
        <w:rPr>
          <w:lang w:val="it-IT"/>
        </w:rPr>
        <w:t xml:space="preserve"> shpenzime t</w:t>
      </w:r>
      <w:r w:rsidR="00265D72">
        <w:rPr>
          <w:lang w:val="it-IT"/>
        </w:rPr>
        <w:t>ë</w:t>
      </w:r>
      <w:r w:rsidR="00B21B38">
        <w:rPr>
          <w:lang w:val="it-IT"/>
        </w:rPr>
        <w:t xml:space="preserve"> karakterit administrativ, q</w:t>
      </w:r>
      <w:r w:rsidR="00265D72">
        <w:rPr>
          <w:lang w:val="it-IT"/>
        </w:rPr>
        <w:t>ë</w:t>
      </w:r>
      <w:r w:rsidR="00B21B38">
        <w:rPr>
          <w:lang w:val="it-IT"/>
        </w:rPr>
        <w:t xml:space="preserve"> i sh</w:t>
      </w:r>
      <w:r w:rsidR="00265D72">
        <w:rPr>
          <w:lang w:val="it-IT"/>
        </w:rPr>
        <w:t>ë</w:t>
      </w:r>
      <w:r w:rsidR="00B21B38">
        <w:rPr>
          <w:lang w:val="it-IT"/>
        </w:rPr>
        <w:t>rbejn</w:t>
      </w:r>
      <w:r w:rsidR="00265D72">
        <w:rPr>
          <w:lang w:val="it-IT"/>
        </w:rPr>
        <w:t>ë</w:t>
      </w:r>
      <w:r w:rsidR="00B21B38">
        <w:rPr>
          <w:lang w:val="it-IT"/>
        </w:rPr>
        <w:t xml:space="preserve"> n</w:t>
      </w:r>
      <w:r w:rsidR="00265D72">
        <w:rPr>
          <w:lang w:val="it-IT"/>
        </w:rPr>
        <w:t>ë</w:t>
      </w:r>
      <w:r w:rsidR="00B21B38">
        <w:rPr>
          <w:lang w:val="it-IT"/>
        </w:rPr>
        <w:t xml:space="preserve"> m</w:t>
      </w:r>
      <w:r w:rsidR="00265D72">
        <w:rPr>
          <w:lang w:val="it-IT"/>
        </w:rPr>
        <w:t>ë</w:t>
      </w:r>
      <w:r w:rsidR="00B21B38">
        <w:rPr>
          <w:lang w:val="it-IT"/>
        </w:rPr>
        <w:t>nyr</w:t>
      </w:r>
      <w:r w:rsidR="00265D72">
        <w:rPr>
          <w:lang w:val="it-IT"/>
        </w:rPr>
        <w:t>ë</w:t>
      </w:r>
      <w:r w:rsidR="00B21B38">
        <w:rPr>
          <w:lang w:val="it-IT"/>
        </w:rPr>
        <w:t xml:space="preserve"> t</w:t>
      </w:r>
      <w:r w:rsidR="00265D72">
        <w:rPr>
          <w:lang w:val="it-IT"/>
        </w:rPr>
        <w:t>ë</w:t>
      </w:r>
      <w:r w:rsidR="00B21B38">
        <w:rPr>
          <w:lang w:val="it-IT"/>
        </w:rPr>
        <w:t xml:space="preserve"> p</w:t>
      </w:r>
      <w:r w:rsidR="00265D72">
        <w:rPr>
          <w:lang w:val="it-IT"/>
        </w:rPr>
        <w:t>ë</w:t>
      </w:r>
      <w:r w:rsidR="00B21B38">
        <w:rPr>
          <w:lang w:val="it-IT"/>
        </w:rPr>
        <w:t>rgjithshme aktivitetit t</w:t>
      </w:r>
      <w:r w:rsidR="00265D72">
        <w:rPr>
          <w:lang w:val="it-IT"/>
        </w:rPr>
        <w:t>ë</w:t>
      </w:r>
      <w:r w:rsidR="00B21B38">
        <w:rPr>
          <w:lang w:val="it-IT"/>
        </w:rPr>
        <w:t xml:space="preserve"> shoqeris</w:t>
      </w:r>
      <w:r w:rsidR="00265D72">
        <w:rPr>
          <w:lang w:val="it-IT"/>
        </w:rPr>
        <w:t>ë</w:t>
      </w:r>
      <w:r w:rsidR="00B21B38">
        <w:rPr>
          <w:lang w:val="it-IT"/>
        </w:rPr>
        <w:t>. Si t</w:t>
      </w:r>
      <w:r w:rsidR="00265D72">
        <w:rPr>
          <w:lang w:val="it-IT"/>
        </w:rPr>
        <w:t>ë</w:t>
      </w:r>
      <w:r w:rsidR="00B21B38">
        <w:rPr>
          <w:lang w:val="it-IT"/>
        </w:rPr>
        <w:t xml:space="preserve"> tilla k</w:t>
      </w:r>
      <w:r w:rsidR="00265D72">
        <w:rPr>
          <w:lang w:val="it-IT"/>
        </w:rPr>
        <w:t>ë</w:t>
      </w:r>
      <w:r w:rsidR="00B21B38">
        <w:rPr>
          <w:lang w:val="it-IT"/>
        </w:rPr>
        <w:t>to furnizime p</w:t>
      </w:r>
      <w:r w:rsidR="00265D72">
        <w:rPr>
          <w:lang w:val="it-IT"/>
        </w:rPr>
        <w:t>ë</w:t>
      </w:r>
      <w:r w:rsidR="00B21B38">
        <w:rPr>
          <w:lang w:val="it-IT"/>
        </w:rPr>
        <w:t>rfshihen n</w:t>
      </w:r>
      <w:r w:rsidR="00265D72">
        <w:rPr>
          <w:lang w:val="it-IT"/>
        </w:rPr>
        <w:t>ë</w:t>
      </w:r>
      <w:r w:rsidR="00B21B38">
        <w:rPr>
          <w:lang w:val="it-IT"/>
        </w:rPr>
        <w:t xml:space="preserve"> furnizimet q</w:t>
      </w:r>
      <w:r w:rsidR="00265D72">
        <w:rPr>
          <w:lang w:val="it-IT"/>
        </w:rPr>
        <w:t>ë</w:t>
      </w:r>
      <w:r w:rsidR="00B21B38">
        <w:rPr>
          <w:lang w:val="it-IT"/>
        </w:rPr>
        <w:t xml:space="preserve"> i kan</w:t>
      </w:r>
      <w:r w:rsidR="00265D72">
        <w:rPr>
          <w:lang w:val="it-IT"/>
        </w:rPr>
        <w:t>ë</w:t>
      </w:r>
      <w:r w:rsidR="00B21B38">
        <w:rPr>
          <w:lang w:val="it-IT"/>
        </w:rPr>
        <w:t xml:space="preserve"> sh</w:t>
      </w:r>
      <w:r w:rsidR="00265D72">
        <w:rPr>
          <w:lang w:val="it-IT"/>
        </w:rPr>
        <w:t>ë</w:t>
      </w:r>
      <w:r w:rsidR="00B21B38">
        <w:rPr>
          <w:lang w:val="it-IT"/>
        </w:rPr>
        <w:t>rbyer pjes</w:t>
      </w:r>
      <w:r w:rsidR="00265D72">
        <w:rPr>
          <w:lang w:val="it-IT"/>
        </w:rPr>
        <w:t>ë</w:t>
      </w:r>
      <w:r w:rsidR="00B21B38">
        <w:rPr>
          <w:lang w:val="it-IT"/>
        </w:rPr>
        <w:t>risht furnizimeve t</w:t>
      </w:r>
      <w:r w:rsidR="00265D72">
        <w:rPr>
          <w:lang w:val="it-IT"/>
        </w:rPr>
        <w:t>ë</w:t>
      </w:r>
      <w:r w:rsidR="00B21B38">
        <w:rPr>
          <w:lang w:val="it-IT"/>
        </w:rPr>
        <w:t xml:space="preserve"> tatueshme dhe pjes</w:t>
      </w:r>
      <w:r w:rsidR="00265D72">
        <w:rPr>
          <w:lang w:val="it-IT"/>
        </w:rPr>
        <w:t>ë</w:t>
      </w:r>
      <w:r w:rsidR="00B21B38">
        <w:rPr>
          <w:lang w:val="it-IT"/>
        </w:rPr>
        <w:t>risht furnizimeve t</w:t>
      </w:r>
      <w:r w:rsidR="00265D72">
        <w:rPr>
          <w:lang w:val="it-IT"/>
        </w:rPr>
        <w:t>ë</w:t>
      </w:r>
      <w:r w:rsidR="00B21B38">
        <w:rPr>
          <w:lang w:val="it-IT"/>
        </w:rPr>
        <w:t xml:space="preserve"> p</w:t>
      </w:r>
      <w:r w:rsidR="00265D72">
        <w:rPr>
          <w:lang w:val="it-IT"/>
        </w:rPr>
        <w:t>ë</w:t>
      </w:r>
      <w:r w:rsidR="00B21B38">
        <w:rPr>
          <w:lang w:val="it-IT"/>
        </w:rPr>
        <w:t>rjashtuara t</w:t>
      </w:r>
      <w:r w:rsidR="00265D72">
        <w:rPr>
          <w:lang w:val="it-IT"/>
        </w:rPr>
        <w:t>ë</w:t>
      </w:r>
      <w:r w:rsidR="00B21B38">
        <w:rPr>
          <w:lang w:val="it-IT"/>
        </w:rPr>
        <w:t xml:space="preserve"> shoq</w:t>
      </w:r>
      <w:r w:rsidR="00265D72">
        <w:rPr>
          <w:lang w:val="it-IT"/>
        </w:rPr>
        <w:t>ë</w:t>
      </w:r>
      <w:r w:rsidR="00B21B38">
        <w:rPr>
          <w:lang w:val="it-IT"/>
        </w:rPr>
        <w:t>ris</w:t>
      </w:r>
      <w:r w:rsidR="00265D72">
        <w:rPr>
          <w:lang w:val="it-IT"/>
        </w:rPr>
        <w:t>ë</w:t>
      </w:r>
      <w:r w:rsidR="00B21B38">
        <w:rPr>
          <w:lang w:val="it-IT"/>
        </w:rPr>
        <w:t>. Kreditimi i tatimit t</w:t>
      </w:r>
      <w:r w:rsidR="00265D72">
        <w:rPr>
          <w:lang w:val="it-IT"/>
        </w:rPr>
        <w:t>ë</w:t>
      </w:r>
      <w:r w:rsidR="00B21B38">
        <w:rPr>
          <w:lang w:val="it-IT"/>
        </w:rPr>
        <w:t xml:space="preserve"> paguar p</w:t>
      </w:r>
      <w:r w:rsidR="00265D72">
        <w:rPr>
          <w:lang w:val="it-IT"/>
        </w:rPr>
        <w:t>ë</w:t>
      </w:r>
      <w:r w:rsidR="00B21B38">
        <w:rPr>
          <w:lang w:val="it-IT"/>
        </w:rPr>
        <w:t>r k</w:t>
      </w:r>
      <w:r w:rsidR="00265D72">
        <w:rPr>
          <w:lang w:val="it-IT"/>
        </w:rPr>
        <w:t>ë</w:t>
      </w:r>
      <w:r w:rsidR="00B21B38">
        <w:rPr>
          <w:lang w:val="it-IT"/>
        </w:rPr>
        <w:t>to blerje duhej t</w:t>
      </w:r>
      <w:r w:rsidR="00265D72">
        <w:rPr>
          <w:lang w:val="it-IT"/>
        </w:rPr>
        <w:t>ë</w:t>
      </w:r>
      <w:r w:rsidR="00B21B38">
        <w:rPr>
          <w:lang w:val="it-IT"/>
        </w:rPr>
        <w:t xml:space="preserve"> b</w:t>
      </w:r>
      <w:r w:rsidR="00265D72">
        <w:rPr>
          <w:lang w:val="it-IT"/>
        </w:rPr>
        <w:t>ë</w:t>
      </w:r>
      <w:r w:rsidR="00B21B38">
        <w:rPr>
          <w:lang w:val="it-IT"/>
        </w:rPr>
        <w:t>het i pjessh</w:t>
      </w:r>
      <w:r w:rsidR="00265D72">
        <w:rPr>
          <w:lang w:val="it-IT"/>
        </w:rPr>
        <w:t>ë</w:t>
      </w:r>
      <w:r w:rsidR="00B21B38">
        <w:rPr>
          <w:lang w:val="it-IT"/>
        </w:rPr>
        <w:t>m, sipas p</w:t>
      </w:r>
      <w:r w:rsidR="00265D72">
        <w:rPr>
          <w:lang w:val="it-IT"/>
        </w:rPr>
        <w:t>ë</w:t>
      </w:r>
      <w:r w:rsidR="00B21B38">
        <w:rPr>
          <w:lang w:val="it-IT"/>
        </w:rPr>
        <w:t>rqindjes s</w:t>
      </w:r>
      <w:r w:rsidR="00265D72">
        <w:rPr>
          <w:lang w:val="it-IT"/>
        </w:rPr>
        <w:t>ë</w:t>
      </w:r>
      <w:r w:rsidR="00B21B38">
        <w:rPr>
          <w:lang w:val="it-IT"/>
        </w:rPr>
        <w:t xml:space="preserve"> p</w:t>
      </w:r>
      <w:r w:rsidR="00265D72">
        <w:rPr>
          <w:lang w:val="it-IT"/>
        </w:rPr>
        <w:t>ë</w:t>
      </w:r>
      <w:r w:rsidR="00B21B38">
        <w:rPr>
          <w:lang w:val="it-IT"/>
        </w:rPr>
        <w:t xml:space="preserve">rcaktuar </w:t>
      </w:r>
      <w:r w:rsidR="00265D72">
        <w:rPr>
          <w:lang w:val="it-IT"/>
        </w:rPr>
        <w:t>në raport kontroll referuar dispozitave sipërcituar.</w:t>
      </w:r>
    </w:p>
    <w:p w:rsidR="00265D72" w:rsidRDefault="00265D72" w:rsidP="00CE0EFE">
      <w:pPr>
        <w:widowControl w:val="0"/>
        <w:tabs>
          <w:tab w:val="left" w:pos="1260"/>
        </w:tabs>
        <w:spacing w:line="276" w:lineRule="auto"/>
        <w:jc w:val="both"/>
        <w:rPr>
          <w:lang w:val="it-IT"/>
        </w:rPr>
      </w:pPr>
    </w:p>
    <w:p w:rsidR="00255A2E" w:rsidRDefault="00255A2E" w:rsidP="00CE0EFE">
      <w:pPr>
        <w:widowControl w:val="0"/>
        <w:tabs>
          <w:tab w:val="left" w:pos="1260"/>
        </w:tabs>
        <w:spacing w:line="276" w:lineRule="auto"/>
        <w:jc w:val="both"/>
        <w:rPr>
          <w:lang w:val="it-IT"/>
        </w:rPr>
      </w:pPr>
      <w:r>
        <w:rPr>
          <w:lang w:val="it-IT"/>
        </w:rPr>
        <w:t>Nd</w:t>
      </w:r>
      <w:r w:rsidR="009B48E8">
        <w:rPr>
          <w:lang w:val="it-IT"/>
        </w:rPr>
        <w:t>ë</w:t>
      </w:r>
      <w:r>
        <w:rPr>
          <w:lang w:val="it-IT"/>
        </w:rPr>
        <w:t>rsa blerjet dhe importet e mallrave t</w:t>
      </w:r>
      <w:r w:rsidR="009B48E8">
        <w:rPr>
          <w:lang w:val="it-IT"/>
        </w:rPr>
        <w:t>ë</w:t>
      </w:r>
      <w:r>
        <w:rPr>
          <w:lang w:val="it-IT"/>
        </w:rPr>
        <w:t xml:space="preserve"> cilat jan</w:t>
      </w:r>
      <w:r w:rsidR="009B48E8">
        <w:rPr>
          <w:lang w:val="it-IT"/>
        </w:rPr>
        <w:t>ë</w:t>
      </w:r>
      <w:r>
        <w:rPr>
          <w:lang w:val="it-IT"/>
        </w:rPr>
        <w:t xml:space="preserve"> rishitur me TVSH (furnizime t</w:t>
      </w:r>
      <w:r w:rsidR="009B48E8">
        <w:rPr>
          <w:lang w:val="it-IT"/>
        </w:rPr>
        <w:t>ë</w:t>
      </w:r>
      <w:r>
        <w:rPr>
          <w:lang w:val="it-IT"/>
        </w:rPr>
        <w:t xml:space="preserve"> tatueshme), sh</w:t>
      </w:r>
      <w:r w:rsidR="009B48E8">
        <w:rPr>
          <w:lang w:val="it-IT"/>
        </w:rPr>
        <w:t>ë</w:t>
      </w:r>
      <w:r>
        <w:rPr>
          <w:lang w:val="it-IT"/>
        </w:rPr>
        <w:t>rbimet e agjensis</w:t>
      </w:r>
      <w:r w:rsidR="009B48E8">
        <w:rPr>
          <w:lang w:val="it-IT"/>
        </w:rPr>
        <w:t>ë</w:t>
      </w:r>
      <w:r>
        <w:rPr>
          <w:lang w:val="it-IT"/>
        </w:rPr>
        <w:t xml:space="preserve"> doganore </w:t>
      </w:r>
      <w:r w:rsidR="00762A7A">
        <w:rPr>
          <w:lang w:val="it-IT"/>
        </w:rPr>
        <w:t>q</w:t>
      </w:r>
      <w:r w:rsidR="009B48E8">
        <w:rPr>
          <w:lang w:val="it-IT"/>
        </w:rPr>
        <w:t>ë</w:t>
      </w:r>
      <w:r w:rsidR="00762A7A">
        <w:rPr>
          <w:lang w:val="it-IT"/>
        </w:rPr>
        <w:t xml:space="preserve"> i p</w:t>
      </w:r>
      <w:r w:rsidR="009B48E8">
        <w:rPr>
          <w:lang w:val="it-IT"/>
        </w:rPr>
        <w:t>ë</w:t>
      </w:r>
      <w:r w:rsidR="00762A7A">
        <w:rPr>
          <w:lang w:val="it-IT"/>
        </w:rPr>
        <w:t>rkasin vet</w:t>
      </w:r>
      <w:r w:rsidR="009B48E8">
        <w:rPr>
          <w:lang w:val="it-IT"/>
        </w:rPr>
        <w:t>ë</w:t>
      </w:r>
      <w:r w:rsidR="00762A7A">
        <w:rPr>
          <w:lang w:val="it-IT"/>
        </w:rPr>
        <w:t>m importit t</w:t>
      </w:r>
      <w:r w:rsidR="009B48E8">
        <w:rPr>
          <w:lang w:val="it-IT"/>
        </w:rPr>
        <w:t>ë</w:t>
      </w:r>
      <w:r w:rsidR="00762A7A">
        <w:rPr>
          <w:lang w:val="it-IT"/>
        </w:rPr>
        <w:t xml:space="preserve"> mallrave t</w:t>
      </w:r>
      <w:r w:rsidR="009B48E8">
        <w:rPr>
          <w:lang w:val="it-IT"/>
        </w:rPr>
        <w:t>ë</w:t>
      </w:r>
      <w:r w:rsidR="00762A7A">
        <w:rPr>
          <w:lang w:val="it-IT"/>
        </w:rPr>
        <w:t xml:space="preserve"> shitura me TVSH, pullat fiskale dhe paletat g</w:t>
      </w:r>
      <w:r w:rsidR="009B48E8">
        <w:rPr>
          <w:lang w:val="it-IT"/>
        </w:rPr>
        <w:t>ë</w:t>
      </w:r>
      <w:r w:rsidR="00762A7A">
        <w:rPr>
          <w:lang w:val="it-IT"/>
        </w:rPr>
        <w:t>zojn</w:t>
      </w:r>
      <w:r w:rsidR="009B48E8">
        <w:rPr>
          <w:lang w:val="it-IT"/>
        </w:rPr>
        <w:t>ë</w:t>
      </w:r>
      <w:r w:rsidR="00762A7A">
        <w:rPr>
          <w:lang w:val="it-IT"/>
        </w:rPr>
        <w:t xml:space="preserve"> t</w:t>
      </w:r>
      <w:r w:rsidR="009B48E8">
        <w:rPr>
          <w:lang w:val="it-IT"/>
        </w:rPr>
        <w:t>ë</w:t>
      </w:r>
      <w:r w:rsidR="00762A7A">
        <w:rPr>
          <w:lang w:val="it-IT"/>
        </w:rPr>
        <w:t xml:space="preserve"> drejt</w:t>
      </w:r>
      <w:r w:rsidR="009B48E8">
        <w:rPr>
          <w:lang w:val="it-IT"/>
        </w:rPr>
        <w:t>ë</w:t>
      </w:r>
      <w:r w:rsidR="00762A7A">
        <w:rPr>
          <w:lang w:val="it-IT"/>
        </w:rPr>
        <w:t>n e zbritjes n</w:t>
      </w:r>
      <w:r w:rsidR="009B48E8">
        <w:rPr>
          <w:lang w:val="it-IT"/>
        </w:rPr>
        <w:t>ë</w:t>
      </w:r>
      <w:r w:rsidR="00762A7A">
        <w:rPr>
          <w:lang w:val="it-IT"/>
        </w:rPr>
        <w:t xml:space="preserve"> mas</w:t>
      </w:r>
      <w:r w:rsidR="009B48E8">
        <w:rPr>
          <w:lang w:val="it-IT"/>
        </w:rPr>
        <w:t>ë</w:t>
      </w:r>
      <w:r w:rsidR="00762A7A">
        <w:rPr>
          <w:lang w:val="it-IT"/>
        </w:rPr>
        <w:t>n 100% t</w:t>
      </w:r>
      <w:r w:rsidR="009B48E8">
        <w:rPr>
          <w:lang w:val="it-IT"/>
        </w:rPr>
        <w:t>ë</w:t>
      </w:r>
      <w:r w:rsidR="00762A7A">
        <w:rPr>
          <w:lang w:val="it-IT"/>
        </w:rPr>
        <w:t xml:space="preserve"> TVSH-s</w:t>
      </w:r>
      <w:r w:rsidR="009B48E8">
        <w:rPr>
          <w:lang w:val="it-IT"/>
        </w:rPr>
        <w:t>ë</w:t>
      </w:r>
      <w:r w:rsidR="00762A7A">
        <w:rPr>
          <w:lang w:val="it-IT"/>
        </w:rPr>
        <w:t xml:space="preserve">, pasi i </w:t>
      </w:r>
      <w:r w:rsidR="00762A7A">
        <w:rPr>
          <w:lang w:val="it-IT"/>
        </w:rPr>
        <w:lastRenderedPageBreak/>
        <w:t>sh</w:t>
      </w:r>
      <w:r w:rsidR="009B48E8">
        <w:rPr>
          <w:lang w:val="it-IT"/>
        </w:rPr>
        <w:t>ë</w:t>
      </w:r>
      <w:r w:rsidR="00762A7A">
        <w:rPr>
          <w:lang w:val="it-IT"/>
        </w:rPr>
        <w:t>rbejn</w:t>
      </w:r>
      <w:r w:rsidR="009B48E8">
        <w:rPr>
          <w:lang w:val="it-IT"/>
        </w:rPr>
        <w:t>ë</w:t>
      </w:r>
      <w:r w:rsidR="00762A7A">
        <w:rPr>
          <w:lang w:val="it-IT"/>
        </w:rPr>
        <w:t xml:space="preserve"> vet</w:t>
      </w:r>
      <w:r w:rsidR="009B48E8">
        <w:rPr>
          <w:lang w:val="it-IT"/>
        </w:rPr>
        <w:t>ë</w:t>
      </w:r>
      <w:r w:rsidR="00762A7A">
        <w:rPr>
          <w:lang w:val="it-IT"/>
        </w:rPr>
        <w:t>m furnizime t</w:t>
      </w:r>
      <w:r w:rsidR="009B48E8">
        <w:rPr>
          <w:lang w:val="it-IT"/>
        </w:rPr>
        <w:t>ë</w:t>
      </w:r>
      <w:r w:rsidR="00762A7A">
        <w:rPr>
          <w:lang w:val="it-IT"/>
        </w:rPr>
        <w:t xml:space="preserve"> tatueshme t</w:t>
      </w:r>
      <w:r w:rsidR="009B48E8">
        <w:rPr>
          <w:lang w:val="it-IT"/>
        </w:rPr>
        <w:t>ë</w:t>
      </w:r>
      <w:r w:rsidR="00762A7A">
        <w:rPr>
          <w:lang w:val="it-IT"/>
        </w:rPr>
        <w:t xml:space="preserve"> shoq</w:t>
      </w:r>
      <w:r w:rsidR="009B48E8">
        <w:rPr>
          <w:lang w:val="it-IT"/>
        </w:rPr>
        <w:t>ë</w:t>
      </w:r>
      <w:r w:rsidR="00762A7A">
        <w:rPr>
          <w:lang w:val="it-IT"/>
        </w:rPr>
        <w:t>ris</w:t>
      </w:r>
      <w:r w:rsidR="009B48E8">
        <w:rPr>
          <w:lang w:val="it-IT"/>
        </w:rPr>
        <w:t>ë</w:t>
      </w:r>
      <w:r w:rsidR="00762A7A">
        <w:rPr>
          <w:lang w:val="it-IT"/>
        </w:rPr>
        <w:t>.</w:t>
      </w:r>
    </w:p>
    <w:p w:rsidR="00255A2E" w:rsidRDefault="00255A2E" w:rsidP="00CE0EFE">
      <w:pPr>
        <w:widowControl w:val="0"/>
        <w:tabs>
          <w:tab w:val="left" w:pos="1260"/>
        </w:tabs>
        <w:spacing w:line="276" w:lineRule="auto"/>
        <w:jc w:val="both"/>
        <w:rPr>
          <w:lang w:val="it-IT"/>
        </w:rPr>
      </w:pPr>
    </w:p>
    <w:p w:rsidR="008E2DAE" w:rsidRDefault="008E2DAE" w:rsidP="00CE0EFE">
      <w:pPr>
        <w:widowControl w:val="0"/>
        <w:tabs>
          <w:tab w:val="left" w:pos="1260"/>
        </w:tabs>
        <w:spacing w:line="276" w:lineRule="auto"/>
        <w:jc w:val="both"/>
        <w:rPr>
          <w:lang w:val="it-IT"/>
        </w:rPr>
      </w:pPr>
      <w:r>
        <w:rPr>
          <w:lang w:val="it-IT"/>
        </w:rPr>
        <w:t>Referuar sa m</w:t>
      </w:r>
      <w:r w:rsidR="009B48E8">
        <w:rPr>
          <w:lang w:val="it-IT"/>
        </w:rPr>
        <w:t>ë</w:t>
      </w:r>
      <w:r>
        <w:rPr>
          <w:lang w:val="it-IT"/>
        </w:rPr>
        <w:t xml:space="preserve"> sip</w:t>
      </w:r>
      <w:r w:rsidR="009B48E8">
        <w:rPr>
          <w:lang w:val="it-IT"/>
        </w:rPr>
        <w:t>ë</w:t>
      </w:r>
      <w:r>
        <w:rPr>
          <w:lang w:val="it-IT"/>
        </w:rPr>
        <w:t>r, tatimpaguesi g</w:t>
      </w:r>
      <w:r w:rsidR="009B48E8">
        <w:rPr>
          <w:lang w:val="it-IT"/>
        </w:rPr>
        <w:t>ë</w:t>
      </w:r>
      <w:r>
        <w:rPr>
          <w:lang w:val="it-IT"/>
        </w:rPr>
        <w:t>zon t</w:t>
      </w:r>
      <w:r w:rsidR="009B48E8">
        <w:rPr>
          <w:lang w:val="it-IT"/>
        </w:rPr>
        <w:t>ë</w:t>
      </w:r>
      <w:r>
        <w:rPr>
          <w:lang w:val="it-IT"/>
        </w:rPr>
        <w:t xml:space="preserve"> drejt</w:t>
      </w:r>
      <w:r w:rsidR="009B48E8">
        <w:rPr>
          <w:lang w:val="it-IT"/>
        </w:rPr>
        <w:t>ë</w:t>
      </w:r>
      <w:r>
        <w:rPr>
          <w:lang w:val="it-IT"/>
        </w:rPr>
        <w:t>n e zbritjes s</w:t>
      </w:r>
      <w:r w:rsidR="009B48E8">
        <w:rPr>
          <w:lang w:val="it-IT"/>
        </w:rPr>
        <w:t>ë</w:t>
      </w:r>
      <w:r>
        <w:rPr>
          <w:lang w:val="it-IT"/>
        </w:rPr>
        <w:t xml:space="preserve"> TVSH-s</w:t>
      </w:r>
      <w:r w:rsidR="009B48E8">
        <w:rPr>
          <w:lang w:val="it-IT"/>
        </w:rPr>
        <w:t>ë</w:t>
      </w:r>
      <w:r>
        <w:rPr>
          <w:lang w:val="it-IT"/>
        </w:rPr>
        <w:t xml:space="preserve"> n</w:t>
      </w:r>
      <w:r w:rsidR="009B48E8">
        <w:rPr>
          <w:lang w:val="it-IT"/>
        </w:rPr>
        <w:t>ë</w:t>
      </w:r>
      <w:r>
        <w:rPr>
          <w:lang w:val="it-IT"/>
        </w:rPr>
        <w:t xml:space="preserve"> mas</w:t>
      </w:r>
      <w:r w:rsidR="009B48E8">
        <w:rPr>
          <w:lang w:val="it-IT"/>
        </w:rPr>
        <w:t>ë</w:t>
      </w:r>
      <w:r>
        <w:rPr>
          <w:lang w:val="it-IT"/>
        </w:rPr>
        <w:t>n 100% p</w:t>
      </w:r>
      <w:r w:rsidR="009B48E8">
        <w:rPr>
          <w:lang w:val="it-IT"/>
        </w:rPr>
        <w:t>ë</w:t>
      </w:r>
      <w:r>
        <w:rPr>
          <w:lang w:val="it-IT"/>
        </w:rPr>
        <w:t>r importet dhe blerjet e mesip</w:t>
      </w:r>
      <w:r w:rsidR="009B48E8">
        <w:rPr>
          <w:lang w:val="it-IT"/>
        </w:rPr>
        <w:t>ë</w:t>
      </w:r>
      <w:r>
        <w:rPr>
          <w:lang w:val="it-IT"/>
        </w:rPr>
        <w:t>rme n</w:t>
      </w:r>
      <w:r w:rsidR="009B48E8">
        <w:rPr>
          <w:lang w:val="it-IT"/>
        </w:rPr>
        <w:t>ë</w:t>
      </w:r>
      <w:r>
        <w:rPr>
          <w:lang w:val="it-IT"/>
        </w:rPr>
        <w:t xml:space="preserve"> funksion t</w:t>
      </w:r>
      <w:r w:rsidR="009B48E8">
        <w:rPr>
          <w:lang w:val="it-IT"/>
        </w:rPr>
        <w:t>ë</w:t>
      </w:r>
      <w:r>
        <w:rPr>
          <w:lang w:val="it-IT"/>
        </w:rPr>
        <w:t xml:space="preserve"> furnizimeve t</w:t>
      </w:r>
      <w:r w:rsidR="009B48E8">
        <w:rPr>
          <w:lang w:val="it-IT"/>
        </w:rPr>
        <w:t>ë</w:t>
      </w:r>
      <w:r>
        <w:rPr>
          <w:lang w:val="it-IT"/>
        </w:rPr>
        <w:t xml:space="preserve"> tatueshme, n</w:t>
      </w:r>
      <w:r w:rsidR="009B48E8">
        <w:rPr>
          <w:lang w:val="it-IT"/>
        </w:rPr>
        <w:t>ë</w:t>
      </w:r>
      <w:r>
        <w:rPr>
          <w:lang w:val="it-IT"/>
        </w:rPr>
        <w:t xml:space="preserve"> vler</w:t>
      </w:r>
      <w:r w:rsidR="009B48E8">
        <w:rPr>
          <w:lang w:val="it-IT"/>
        </w:rPr>
        <w:t>ë</w:t>
      </w:r>
      <w:r>
        <w:rPr>
          <w:lang w:val="it-IT"/>
        </w:rPr>
        <w:t>n totale 237,346,389 lek</w:t>
      </w:r>
      <w:r w:rsidR="009B48E8">
        <w:rPr>
          <w:lang w:val="it-IT"/>
        </w:rPr>
        <w:t>ë</w:t>
      </w:r>
      <w:r>
        <w:rPr>
          <w:lang w:val="it-IT"/>
        </w:rPr>
        <w:t xml:space="preserve"> (TVSH e kreditueshme n</w:t>
      </w:r>
      <w:r w:rsidR="009B48E8">
        <w:rPr>
          <w:lang w:val="it-IT"/>
        </w:rPr>
        <w:t>ë</w:t>
      </w:r>
      <w:r>
        <w:rPr>
          <w:lang w:val="it-IT"/>
        </w:rPr>
        <w:t xml:space="preserve"> vler</w:t>
      </w:r>
      <w:r w:rsidR="009B48E8">
        <w:rPr>
          <w:lang w:val="it-IT"/>
        </w:rPr>
        <w:t>ë</w:t>
      </w:r>
      <w:r>
        <w:rPr>
          <w:lang w:val="it-IT"/>
        </w:rPr>
        <w:t>n 47,469,277 lek</w:t>
      </w:r>
      <w:r w:rsidR="009B48E8">
        <w:rPr>
          <w:lang w:val="it-IT"/>
        </w:rPr>
        <w:t>ë</w:t>
      </w:r>
      <w:r>
        <w:rPr>
          <w:lang w:val="it-IT"/>
        </w:rPr>
        <w:t>).</w:t>
      </w:r>
    </w:p>
    <w:p w:rsidR="008E2DAE" w:rsidRDefault="008E2DAE" w:rsidP="00CE0EFE">
      <w:pPr>
        <w:widowControl w:val="0"/>
        <w:tabs>
          <w:tab w:val="left" w:pos="1260"/>
        </w:tabs>
        <w:spacing w:line="276" w:lineRule="auto"/>
        <w:jc w:val="both"/>
        <w:rPr>
          <w:lang w:val="it-IT"/>
        </w:rPr>
      </w:pPr>
      <w:r>
        <w:rPr>
          <w:lang w:val="it-IT"/>
        </w:rPr>
        <w:t>P</w:t>
      </w:r>
      <w:r w:rsidR="009B48E8">
        <w:rPr>
          <w:lang w:val="it-IT"/>
        </w:rPr>
        <w:t>ë</w:t>
      </w:r>
      <w:r>
        <w:rPr>
          <w:lang w:val="it-IT"/>
        </w:rPr>
        <w:t xml:space="preserve">r blerjet </w:t>
      </w:r>
      <w:r w:rsidR="009B48E8">
        <w:rPr>
          <w:lang w:val="it-IT"/>
        </w:rPr>
        <w:t>e tjera</w:t>
      </w:r>
      <w:r>
        <w:rPr>
          <w:lang w:val="it-IT"/>
        </w:rPr>
        <w:t>, t</w:t>
      </w:r>
      <w:r w:rsidR="009B48E8">
        <w:rPr>
          <w:lang w:val="it-IT"/>
        </w:rPr>
        <w:t>ë</w:t>
      </w:r>
      <w:r>
        <w:rPr>
          <w:lang w:val="it-IT"/>
        </w:rPr>
        <w:t xml:space="preserve"> cilat i sh</w:t>
      </w:r>
      <w:r w:rsidR="009B48E8">
        <w:rPr>
          <w:lang w:val="it-IT"/>
        </w:rPr>
        <w:t>ë</w:t>
      </w:r>
      <w:r>
        <w:rPr>
          <w:lang w:val="it-IT"/>
        </w:rPr>
        <w:t>rbejn</w:t>
      </w:r>
      <w:r w:rsidR="009B48E8">
        <w:rPr>
          <w:lang w:val="it-IT"/>
        </w:rPr>
        <w:t>ë</w:t>
      </w:r>
      <w:r>
        <w:rPr>
          <w:lang w:val="it-IT"/>
        </w:rPr>
        <w:t xml:space="preserve"> pjesërisht furnizimeve të tatueshme dhe pjesërisht furnizimeve të përjashtuara të shoqërisë, n</w:t>
      </w:r>
      <w:r w:rsidR="009B48E8">
        <w:rPr>
          <w:lang w:val="it-IT"/>
        </w:rPr>
        <w:t>ë</w:t>
      </w:r>
      <w:r>
        <w:rPr>
          <w:lang w:val="it-IT"/>
        </w:rPr>
        <w:t xml:space="preserve"> vler</w:t>
      </w:r>
      <w:r w:rsidR="009B48E8">
        <w:rPr>
          <w:lang w:val="it-IT"/>
        </w:rPr>
        <w:t>ë</w:t>
      </w:r>
      <w:r>
        <w:rPr>
          <w:lang w:val="it-IT"/>
        </w:rPr>
        <w:t>n totale 539,445 lek</w:t>
      </w:r>
      <w:r w:rsidR="009B48E8">
        <w:rPr>
          <w:lang w:val="it-IT"/>
        </w:rPr>
        <w:t>ë</w:t>
      </w:r>
      <w:r>
        <w:rPr>
          <w:lang w:val="it-IT"/>
        </w:rPr>
        <w:t>, TVSH n</w:t>
      </w:r>
      <w:r w:rsidR="009B48E8">
        <w:rPr>
          <w:lang w:val="it-IT"/>
        </w:rPr>
        <w:t>ë</w:t>
      </w:r>
      <w:r>
        <w:rPr>
          <w:lang w:val="it-IT"/>
        </w:rPr>
        <w:t xml:space="preserve"> vler</w:t>
      </w:r>
      <w:r w:rsidR="009B48E8">
        <w:rPr>
          <w:lang w:val="it-IT"/>
        </w:rPr>
        <w:t>ë</w:t>
      </w:r>
      <w:r>
        <w:rPr>
          <w:lang w:val="it-IT"/>
        </w:rPr>
        <w:t xml:space="preserve">n </w:t>
      </w:r>
      <w:r w:rsidR="009B48E8">
        <w:rPr>
          <w:lang w:val="it-IT"/>
        </w:rPr>
        <w:t xml:space="preserve">89,908 lekë </w:t>
      </w:r>
      <w:r>
        <w:rPr>
          <w:lang w:val="it-IT"/>
        </w:rPr>
        <w:t>tatimpaguesi g</w:t>
      </w:r>
      <w:r w:rsidR="009B48E8">
        <w:rPr>
          <w:lang w:val="it-IT"/>
        </w:rPr>
        <w:t>ë</w:t>
      </w:r>
      <w:r>
        <w:rPr>
          <w:lang w:val="it-IT"/>
        </w:rPr>
        <w:t>zon t</w:t>
      </w:r>
      <w:r w:rsidR="009B48E8">
        <w:rPr>
          <w:lang w:val="it-IT"/>
        </w:rPr>
        <w:t>ë</w:t>
      </w:r>
      <w:r>
        <w:rPr>
          <w:lang w:val="it-IT"/>
        </w:rPr>
        <w:t xml:space="preserve"> drejt</w:t>
      </w:r>
      <w:r w:rsidR="009B48E8">
        <w:rPr>
          <w:lang w:val="it-IT"/>
        </w:rPr>
        <w:t>ë</w:t>
      </w:r>
      <w:r>
        <w:rPr>
          <w:lang w:val="it-IT"/>
        </w:rPr>
        <w:t>n e kreditimit t</w:t>
      </w:r>
      <w:r w:rsidR="009B48E8">
        <w:rPr>
          <w:lang w:val="it-IT"/>
        </w:rPr>
        <w:t>ë</w:t>
      </w:r>
      <w:r>
        <w:rPr>
          <w:lang w:val="it-IT"/>
        </w:rPr>
        <w:t xml:space="preserve"> pjessh</w:t>
      </w:r>
      <w:r w:rsidR="009B48E8">
        <w:rPr>
          <w:lang w:val="it-IT"/>
        </w:rPr>
        <w:t>ë</w:t>
      </w:r>
      <w:r>
        <w:rPr>
          <w:lang w:val="it-IT"/>
        </w:rPr>
        <w:t>m t</w:t>
      </w:r>
      <w:r w:rsidR="009B48E8">
        <w:rPr>
          <w:lang w:val="it-IT"/>
        </w:rPr>
        <w:t>ë</w:t>
      </w:r>
      <w:r>
        <w:rPr>
          <w:lang w:val="it-IT"/>
        </w:rPr>
        <w:t xml:space="preserve"> TVSH-s</w:t>
      </w:r>
      <w:r w:rsidR="009B48E8">
        <w:rPr>
          <w:lang w:val="it-IT"/>
        </w:rPr>
        <w:t>ë</w:t>
      </w:r>
      <w:r>
        <w:rPr>
          <w:lang w:val="it-IT"/>
        </w:rPr>
        <w:t>, sipas koeficientit t</w:t>
      </w:r>
      <w:r w:rsidR="009B48E8">
        <w:rPr>
          <w:lang w:val="it-IT"/>
        </w:rPr>
        <w:t>ë</w:t>
      </w:r>
      <w:r>
        <w:rPr>
          <w:lang w:val="it-IT"/>
        </w:rPr>
        <w:t xml:space="preserve"> zbritjes 98.18%, n</w:t>
      </w:r>
      <w:r w:rsidR="009B48E8">
        <w:rPr>
          <w:lang w:val="it-IT"/>
        </w:rPr>
        <w:t>ë</w:t>
      </w:r>
      <w:r>
        <w:rPr>
          <w:lang w:val="it-IT"/>
        </w:rPr>
        <w:t xml:space="preserve"> vler</w:t>
      </w:r>
      <w:r w:rsidR="009B48E8">
        <w:rPr>
          <w:lang w:val="it-IT"/>
        </w:rPr>
        <w:t>ë</w:t>
      </w:r>
      <w:r>
        <w:rPr>
          <w:lang w:val="it-IT"/>
        </w:rPr>
        <w:t xml:space="preserve">n </w:t>
      </w:r>
      <w:r w:rsidR="009B48E8">
        <w:rPr>
          <w:lang w:val="it-IT"/>
        </w:rPr>
        <w:t>88,271 lekë (98.18% x 89,908 lekë) dhe për pjesën e mbetur në vlerën 1,636 lekë nuk gëzon të drejtën e kreditimit të TVSH-së, referuar trajtimit sipërcituar.</w:t>
      </w:r>
    </w:p>
    <w:p w:rsidR="009B48E8" w:rsidRDefault="009B48E8" w:rsidP="00CE0EFE">
      <w:pPr>
        <w:widowControl w:val="0"/>
        <w:spacing w:line="276" w:lineRule="auto"/>
        <w:jc w:val="both"/>
      </w:pPr>
    </w:p>
    <w:p w:rsidR="00954019" w:rsidRDefault="00954019" w:rsidP="00CE0EFE">
      <w:pPr>
        <w:widowControl w:val="0"/>
        <w:spacing w:line="276" w:lineRule="auto"/>
        <w:jc w:val="both"/>
      </w:pPr>
      <w:r w:rsidRPr="00FD480C">
        <w:t>Sa më sipër, Drejtoria e Apelimit Tatimor bazuar në Ligjin Nr.9920, datë 19.5.2008 “Për Procedurat Tatimore në R.Sh-së”, i ndryshuar, nenet 106, 107, 108 dhe Udhëzimin Nr.24, datë 02.09.2008 (i ndryshuar), në zbatim të tij, pika 108.3.3 gërma ç),</w:t>
      </w:r>
    </w:p>
    <w:p w:rsidR="00954019" w:rsidRPr="00FD480C" w:rsidRDefault="00954019" w:rsidP="00CE0EFE">
      <w:pPr>
        <w:widowControl w:val="0"/>
        <w:spacing w:line="276" w:lineRule="auto"/>
        <w:jc w:val="both"/>
      </w:pPr>
    </w:p>
    <w:p w:rsidR="00954019" w:rsidRDefault="00954019" w:rsidP="00CE0EFE">
      <w:pPr>
        <w:widowControl w:val="0"/>
        <w:spacing w:line="276" w:lineRule="auto"/>
        <w:jc w:val="center"/>
        <w:rPr>
          <w:b/>
          <w:bCs/>
          <w:u w:val="single"/>
        </w:rPr>
      </w:pPr>
      <w:r w:rsidRPr="00B752A8">
        <w:rPr>
          <w:b/>
          <w:bCs/>
          <w:u w:val="single"/>
        </w:rPr>
        <w:t>V</w:t>
      </w:r>
      <w:r>
        <w:rPr>
          <w:b/>
          <w:bCs/>
          <w:u w:val="single"/>
        </w:rPr>
        <w:t xml:space="preserve"> </w:t>
      </w:r>
      <w:r w:rsidRPr="00B752A8">
        <w:rPr>
          <w:b/>
          <w:bCs/>
          <w:u w:val="single"/>
        </w:rPr>
        <w:t>E</w:t>
      </w:r>
      <w:r>
        <w:rPr>
          <w:b/>
          <w:bCs/>
          <w:u w:val="single"/>
        </w:rPr>
        <w:t xml:space="preserve"> </w:t>
      </w:r>
      <w:r w:rsidRPr="00B752A8">
        <w:rPr>
          <w:b/>
          <w:bCs/>
          <w:u w:val="single"/>
        </w:rPr>
        <w:t>N</w:t>
      </w:r>
      <w:r>
        <w:rPr>
          <w:b/>
          <w:bCs/>
          <w:u w:val="single"/>
        </w:rPr>
        <w:t xml:space="preserve"> </w:t>
      </w:r>
      <w:r w:rsidRPr="00B752A8">
        <w:rPr>
          <w:b/>
          <w:bCs/>
          <w:u w:val="single"/>
        </w:rPr>
        <w:t>D</w:t>
      </w:r>
      <w:r>
        <w:rPr>
          <w:b/>
          <w:bCs/>
          <w:u w:val="single"/>
        </w:rPr>
        <w:t xml:space="preserve"> </w:t>
      </w:r>
      <w:r w:rsidRPr="00B752A8">
        <w:rPr>
          <w:b/>
          <w:bCs/>
          <w:u w:val="single"/>
        </w:rPr>
        <w:t>O</w:t>
      </w:r>
      <w:r>
        <w:rPr>
          <w:b/>
          <w:bCs/>
          <w:u w:val="single"/>
        </w:rPr>
        <w:t xml:space="preserve"> </w:t>
      </w:r>
      <w:r w:rsidRPr="00B752A8">
        <w:rPr>
          <w:b/>
          <w:bCs/>
          <w:u w:val="single"/>
        </w:rPr>
        <w:t>S</w:t>
      </w:r>
      <w:r>
        <w:rPr>
          <w:b/>
          <w:bCs/>
          <w:u w:val="single"/>
        </w:rPr>
        <w:t xml:space="preserve"> </w:t>
      </w:r>
      <w:r w:rsidRPr="00B752A8">
        <w:rPr>
          <w:b/>
          <w:bCs/>
          <w:u w:val="single"/>
        </w:rPr>
        <w:t>I:</w:t>
      </w:r>
    </w:p>
    <w:p w:rsidR="00954019" w:rsidRPr="00B752A8" w:rsidRDefault="00954019" w:rsidP="00CE0EFE">
      <w:pPr>
        <w:widowControl w:val="0"/>
        <w:spacing w:line="276" w:lineRule="auto"/>
        <w:jc w:val="center"/>
        <w:rPr>
          <w:b/>
          <w:bCs/>
          <w:u w:val="single"/>
        </w:rPr>
      </w:pPr>
    </w:p>
    <w:p w:rsidR="00954019" w:rsidRDefault="00954019" w:rsidP="00CE0EFE">
      <w:pPr>
        <w:widowControl w:val="0"/>
        <w:spacing w:line="276" w:lineRule="auto"/>
        <w:contextualSpacing/>
        <w:jc w:val="both"/>
      </w:pPr>
      <w:r w:rsidRPr="00B752A8">
        <w:t xml:space="preserve">Ndryshimin e aktit administrativ, </w:t>
      </w:r>
      <w:r w:rsidRPr="006934A6">
        <w:t>Njoftim Vlerësimi për detyrimet</w:t>
      </w:r>
      <w:r w:rsidR="00CE0EFE">
        <w:t>, si me poshte:</w:t>
      </w:r>
    </w:p>
    <w:p w:rsidR="00954019" w:rsidRPr="003939B5" w:rsidRDefault="00954019" w:rsidP="00CE0EFE">
      <w:pPr>
        <w:widowControl w:val="0"/>
        <w:spacing w:line="276" w:lineRule="auto"/>
        <w:contextualSpacing/>
        <w:jc w:val="both"/>
      </w:pPr>
    </w:p>
    <w:p w:rsidR="00954019" w:rsidRDefault="00954019" w:rsidP="00CE0EFE">
      <w:pPr>
        <w:widowControl w:val="0"/>
        <w:numPr>
          <w:ilvl w:val="0"/>
          <w:numId w:val="22"/>
        </w:numPr>
        <w:spacing w:line="276" w:lineRule="auto"/>
        <w:jc w:val="both"/>
      </w:pPr>
      <w:r w:rsidRPr="0053098B">
        <w:rPr>
          <w:b/>
        </w:rPr>
        <w:t>Lënien në fuqi</w:t>
      </w:r>
      <w:r>
        <w:t xml:space="preserve"> </w:t>
      </w:r>
      <w:r w:rsidRPr="00B752A8">
        <w:t xml:space="preserve">të </w:t>
      </w:r>
      <w:r w:rsidRPr="006934A6">
        <w:t>Njoftim Vlerësimi për detyrimet</w:t>
      </w:r>
      <w:r>
        <w:t xml:space="preserve">, </w:t>
      </w:r>
      <w:r w:rsidRPr="00B752A8">
        <w:t>si më poshtë:</w:t>
      </w:r>
    </w:p>
    <w:tbl>
      <w:tblPr>
        <w:tblW w:w="9730" w:type="dxa"/>
        <w:tblInd w:w="98" w:type="dxa"/>
        <w:tblLook w:val="04A0" w:firstRow="1" w:lastRow="0" w:firstColumn="1" w:lastColumn="0" w:noHBand="0" w:noVBand="1"/>
      </w:tblPr>
      <w:tblGrid>
        <w:gridCol w:w="540"/>
        <w:gridCol w:w="1360"/>
        <w:gridCol w:w="1106"/>
        <w:gridCol w:w="2535"/>
        <w:gridCol w:w="1536"/>
        <w:gridCol w:w="2653"/>
      </w:tblGrid>
      <w:tr w:rsidR="00954019" w:rsidRPr="00D34A7B" w:rsidTr="00954019">
        <w:trPr>
          <w:trHeight w:val="6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019" w:rsidRPr="00D34A7B" w:rsidRDefault="00954019" w:rsidP="00CE0EFE">
            <w:pPr>
              <w:widowControl w:val="0"/>
              <w:spacing w:line="276" w:lineRule="auto"/>
              <w:jc w:val="center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D34A7B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Nr.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019" w:rsidRPr="00D34A7B" w:rsidRDefault="00954019" w:rsidP="00CE0EFE">
            <w:pPr>
              <w:widowControl w:val="0"/>
              <w:spacing w:line="276" w:lineRule="auto"/>
              <w:jc w:val="center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D34A7B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Tatimi ose Kontributi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019" w:rsidRPr="00D34A7B" w:rsidRDefault="00954019" w:rsidP="00CE0EFE">
            <w:pPr>
              <w:widowControl w:val="0"/>
              <w:spacing w:line="276" w:lineRule="auto"/>
              <w:jc w:val="center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D34A7B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Periudha</w:t>
            </w: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019" w:rsidRPr="00D34A7B" w:rsidRDefault="00954019" w:rsidP="00CE0EFE">
            <w:pPr>
              <w:widowControl w:val="0"/>
              <w:spacing w:line="276" w:lineRule="auto"/>
              <w:jc w:val="center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D34A7B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Detyrimi p</w:t>
            </w: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ë</w:t>
            </w:r>
            <w:r w:rsidRPr="00D34A7B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r tu paguar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019" w:rsidRPr="00D34A7B" w:rsidRDefault="00954019" w:rsidP="00CE0EFE">
            <w:pPr>
              <w:widowControl w:val="0"/>
              <w:spacing w:line="276" w:lineRule="auto"/>
              <w:jc w:val="center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D34A7B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Lekë</w:t>
            </w:r>
          </w:p>
        </w:tc>
        <w:tc>
          <w:tcPr>
            <w:tcW w:w="2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019" w:rsidRPr="00D34A7B" w:rsidRDefault="00954019" w:rsidP="00CE0EFE">
            <w:pPr>
              <w:widowControl w:val="0"/>
              <w:spacing w:line="276" w:lineRule="auto"/>
              <w:jc w:val="center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D34A7B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Arsyet e detyrimit</w:t>
            </w:r>
          </w:p>
        </w:tc>
      </w:tr>
      <w:tr w:rsidR="00954019" w:rsidRPr="00D34A7B" w:rsidTr="00954019">
        <w:trPr>
          <w:cantSplit/>
          <w:trHeight w:hRule="exact" w:val="300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019" w:rsidRPr="00D34A7B" w:rsidRDefault="00954019" w:rsidP="00CE0EFE">
            <w:pPr>
              <w:widowControl w:val="0"/>
              <w:spacing w:line="276" w:lineRule="auto"/>
              <w:jc w:val="center"/>
              <w:rPr>
                <w:rFonts w:eastAsia="Times New Roman"/>
                <w:color w:val="000000"/>
                <w:lang w:val="en-US"/>
              </w:rPr>
            </w:pPr>
            <w:r w:rsidRPr="00D34A7B">
              <w:rPr>
                <w:rFonts w:eastAsia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019" w:rsidRPr="00D34A7B" w:rsidRDefault="00954019" w:rsidP="00CE0EFE">
            <w:pPr>
              <w:widowControl w:val="0"/>
              <w:spacing w:line="276" w:lineRule="auto"/>
              <w:jc w:val="center"/>
              <w:rPr>
                <w:rFonts w:eastAsia="Times New Roman"/>
                <w:color w:val="000000"/>
                <w:lang w:val="en-US"/>
              </w:rPr>
            </w:pPr>
            <w:r w:rsidRPr="00D34A7B">
              <w:rPr>
                <w:rFonts w:eastAsia="Times New Roman"/>
                <w:color w:val="000000"/>
                <w:sz w:val="22"/>
                <w:szCs w:val="22"/>
              </w:rPr>
              <w:t>Ulje gjendjes kreditore t</w:t>
            </w:r>
            <w:r>
              <w:rPr>
                <w:rFonts w:eastAsia="Times New Roman"/>
                <w:color w:val="000000"/>
                <w:sz w:val="22"/>
                <w:szCs w:val="22"/>
              </w:rPr>
              <w:t>ë</w:t>
            </w:r>
            <w:r w:rsidRPr="00D34A7B">
              <w:rPr>
                <w:rFonts w:eastAsia="Times New Roman"/>
                <w:color w:val="000000"/>
                <w:sz w:val="22"/>
                <w:szCs w:val="22"/>
              </w:rPr>
              <w:t xml:space="preserve"> TVSh-s</w:t>
            </w:r>
            <w:r>
              <w:rPr>
                <w:rFonts w:eastAsia="Times New Roman"/>
                <w:color w:val="000000"/>
                <w:sz w:val="22"/>
                <w:szCs w:val="22"/>
              </w:rPr>
              <w:t>ë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019" w:rsidRPr="00D34A7B" w:rsidRDefault="00954019" w:rsidP="00CE0EFE">
            <w:pPr>
              <w:widowControl w:val="0"/>
              <w:spacing w:line="276" w:lineRule="auto"/>
              <w:jc w:val="center"/>
              <w:rPr>
                <w:rFonts w:eastAsia="Times New Roman"/>
                <w:color w:val="000000"/>
                <w:lang w:val="en-US"/>
              </w:rPr>
            </w:pPr>
            <w:proofErr w:type="spellStart"/>
            <w:r w:rsidRPr="00D34A7B">
              <w:rPr>
                <w:rFonts w:eastAsia="Times New Roman"/>
                <w:color w:val="000000"/>
                <w:sz w:val="22"/>
                <w:szCs w:val="22"/>
                <w:lang w:val="en-US"/>
              </w:rPr>
              <w:t>Viti</w:t>
            </w:r>
            <w:proofErr w:type="spellEnd"/>
            <w:r w:rsidRPr="00D34A7B">
              <w:rPr>
                <w:rFonts w:eastAsia="Times New Roman"/>
                <w:color w:val="000000"/>
                <w:sz w:val="22"/>
                <w:szCs w:val="22"/>
                <w:lang w:val="en-US"/>
              </w:rPr>
              <w:t xml:space="preserve"> 2021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019" w:rsidRPr="00D34A7B" w:rsidRDefault="00954019" w:rsidP="00CE0EFE">
            <w:pPr>
              <w:widowControl w:val="0"/>
              <w:spacing w:line="276" w:lineRule="auto"/>
              <w:jc w:val="center"/>
              <w:rPr>
                <w:rFonts w:eastAsia="Times New Roman"/>
                <w:color w:val="000000"/>
                <w:lang w:val="en-US"/>
              </w:rPr>
            </w:pPr>
            <w:r w:rsidRPr="00D34A7B">
              <w:rPr>
                <w:rFonts w:eastAsia="Times New Roman"/>
                <w:color w:val="000000"/>
                <w:sz w:val="22"/>
                <w:szCs w:val="22"/>
              </w:rPr>
              <w:t>Tatim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019" w:rsidRPr="00D34A7B" w:rsidRDefault="00954019" w:rsidP="00CE0EFE">
            <w:pPr>
              <w:widowControl w:val="0"/>
              <w:spacing w:line="276" w:lineRule="auto"/>
              <w:rPr>
                <w:rFonts w:eastAsia="Times New Roman"/>
                <w:color w:val="000000"/>
                <w:lang w:val="en-US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/>
              </w:rPr>
              <w:t>1,636</w:t>
            </w:r>
            <w:r w:rsidRPr="00D34A7B">
              <w:rPr>
                <w:rFonts w:eastAsia="Times New Roman"/>
                <w:color w:val="000000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019" w:rsidRPr="00D34A7B" w:rsidRDefault="00954019" w:rsidP="00CE0EFE">
            <w:pPr>
              <w:widowControl w:val="0"/>
              <w:spacing w:line="276" w:lineRule="auto"/>
              <w:rPr>
                <w:rFonts w:eastAsia="Times New Roman"/>
                <w:color w:val="000000"/>
                <w:lang w:val="en-US"/>
              </w:rPr>
            </w:pPr>
            <w:proofErr w:type="spellStart"/>
            <w:r w:rsidRPr="00D34A7B">
              <w:rPr>
                <w:rFonts w:eastAsia="Times New Roman"/>
                <w:color w:val="000000"/>
                <w:sz w:val="22"/>
                <w:szCs w:val="22"/>
                <w:lang w:val="en-US"/>
              </w:rPr>
              <w:t>Sipas</w:t>
            </w:r>
            <w:proofErr w:type="spellEnd"/>
            <w:r w:rsidRPr="00D34A7B">
              <w:rPr>
                <w:rFonts w:eastAsia="Times New Roman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34A7B">
              <w:rPr>
                <w:rFonts w:eastAsia="Times New Roman"/>
                <w:color w:val="000000"/>
                <w:sz w:val="22"/>
                <w:szCs w:val="22"/>
                <w:lang w:val="en-US"/>
              </w:rPr>
              <w:t>Raport</w:t>
            </w:r>
            <w:proofErr w:type="spellEnd"/>
            <w:r w:rsidRPr="00D34A7B">
              <w:rPr>
                <w:rFonts w:eastAsia="Times New Roman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34A7B">
              <w:rPr>
                <w:rFonts w:eastAsia="Times New Roman"/>
                <w:color w:val="000000"/>
                <w:sz w:val="22"/>
                <w:szCs w:val="22"/>
                <w:lang w:val="en-US"/>
              </w:rPr>
              <w:t>Kontrollit</w:t>
            </w:r>
            <w:proofErr w:type="spellEnd"/>
          </w:p>
        </w:tc>
      </w:tr>
      <w:tr w:rsidR="00954019" w:rsidRPr="00D34A7B" w:rsidTr="00954019">
        <w:trPr>
          <w:trHeight w:val="468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019" w:rsidRPr="00D34A7B" w:rsidRDefault="00954019" w:rsidP="00CE0EFE">
            <w:pPr>
              <w:widowControl w:val="0"/>
              <w:spacing w:line="276" w:lineRule="auto"/>
              <w:rPr>
                <w:rFonts w:eastAsia="Times New Roman"/>
                <w:color w:val="000000"/>
                <w:lang w:val="en-US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019" w:rsidRPr="00D34A7B" w:rsidRDefault="00954019" w:rsidP="00CE0EFE">
            <w:pPr>
              <w:widowControl w:val="0"/>
              <w:spacing w:line="276" w:lineRule="auto"/>
              <w:rPr>
                <w:rFonts w:eastAsia="Times New Roman"/>
                <w:color w:val="000000"/>
                <w:lang w:val="en-US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019" w:rsidRPr="00D34A7B" w:rsidRDefault="00954019" w:rsidP="00CE0EFE">
            <w:pPr>
              <w:widowControl w:val="0"/>
              <w:spacing w:line="276" w:lineRule="auto"/>
              <w:rPr>
                <w:rFonts w:eastAsia="Times New Roman"/>
                <w:color w:val="000000"/>
                <w:lang w:val="en-US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019" w:rsidRPr="00D34A7B" w:rsidRDefault="00954019" w:rsidP="00CE0EFE">
            <w:pPr>
              <w:widowControl w:val="0"/>
              <w:spacing w:line="276" w:lineRule="auto"/>
              <w:jc w:val="center"/>
              <w:rPr>
                <w:rFonts w:eastAsia="Times New Roman"/>
                <w:color w:val="000000"/>
                <w:lang w:val="en-US"/>
              </w:rPr>
            </w:pPr>
            <w:r w:rsidRPr="00D34A7B">
              <w:rPr>
                <w:rFonts w:eastAsia="Times New Roman"/>
                <w:color w:val="000000"/>
                <w:sz w:val="22"/>
                <w:szCs w:val="22"/>
              </w:rPr>
              <w:t>Gjobë Inspektori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019" w:rsidRPr="00D34A7B" w:rsidRDefault="00954019" w:rsidP="00CE0EFE">
            <w:pPr>
              <w:widowControl w:val="0"/>
              <w:spacing w:line="276" w:lineRule="auto"/>
              <w:rPr>
                <w:rFonts w:eastAsia="Times New Roman"/>
                <w:color w:val="000000"/>
                <w:lang w:val="en-US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/>
              </w:rPr>
              <w:t>327</w:t>
            </w:r>
            <w:r w:rsidRPr="00D34A7B">
              <w:rPr>
                <w:rFonts w:eastAsia="Times New Roman"/>
                <w:color w:val="000000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019" w:rsidRPr="00D34A7B" w:rsidRDefault="00954019" w:rsidP="00CE0EFE">
            <w:pPr>
              <w:widowControl w:val="0"/>
              <w:spacing w:line="276" w:lineRule="auto"/>
              <w:rPr>
                <w:rFonts w:eastAsia="Times New Roman"/>
                <w:color w:val="000000"/>
                <w:lang w:val="en-US"/>
              </w:rPr>
            </w:pPr>
            <w:proofErr w:type="spellStart"/>
            <w:r w:rsidRPr="00D34A7B">
              <w:rPr>
                <w:rFonts w:eastAsia="Times New Roman"/>
                <w:color w:val="000000"/>
                <w:sz w:val="22"/>
                <w:szCs w:val="22"/>
                <w:lang w:val="en-US"/>
              </w:rPr>
              <w:t>Sipas</w:t>
            </w:r>
            <w:proofErr w:type="spellEnd"/>
            <w:r w:rsidRPr="00D34A7B">
              <w:rPr>
                <w:rFonts w:eastAsia="Times New Roman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34A7B">
              <w:rPr>
                <w:rFonts w:eastAsia="Times New Roman"/>
                <w:color w:val="000000"/>
                <w:sz w:val="22"/>
                <w:szCs w:val="22"/>
                <w:lang w:val="en-US"/>
              </w:rPr>
              <w:t>Raport</w:t>
            </w:r>
            <w:proofErr w:type="spellEnd"/>
            <w:r w:rsidRPr="00D34A7B">
              <w:rPr>
                <w:rFonts w:eastAsia="Times New Roman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34A7B">
              <w:rPr>
                <w:rFonts w:eastAsia="Times New Roman"/>
                <w:color w:val="000000"/>
                <w:sz w:val="22"/>
                <w:szCs w:val="22"/>
                <w:lang w:val="en-US"/>
              </w:rPr>
              <w:t>Kontrollit</w:t>
            </w:r>
            <w:proofErr w:type="spellEnd"/>
          </w:p>
        </w:tc>
      </w:tr>
      <w:tr w:rsidR="00954019" w:rsidRPr="00D34A7B" w:rsidTr="00954019">
        <w:trPr>
          <w:trHeight w:val="31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019" w:rsidRPr="00D34A7B" w:rsidRDefault="00954019" w:rsidP="00CE0EFE">
            <w:pPr>
              <w:widowControl w:val="0"/>
              <w:spacing w:line="276" w:lineRule="auto"/>
              <w:rPr>
                <w:rFonts w:eastAsia="Times New Roman"/>
                <w:color w:val="000000"/>
                <w:lang w:val="en-US"/>
              </w:rPr>
            </w:pPr>
            <w:r w:rsidRPr="00D34A7B">
              <w:rPr>
                <w:rFonts w:eastAsia="Times New Roman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019" w:rsidRPr="00D34A7B" w:rsidRDefault="00954019" w:rsidP="00CE0EFE">
            <w:pPr>
              <w:widowControl w:val="0"/>
              <w:spacing w:line="276" w:lineRule="auto"/>
              <w:rPr>
                <w:rFonts w:eastAsia="Times New Roman"/>
                <w:color w:val="000000"/>
                <w:lang w:val="en-US"/>
              </w:rPr>
            </w:pPr>
            <w:r w:rsidRPr="00D34A7B">
              <w:rPr>
                <w:rFonts w:eastAsia="Times New Roman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019" w:rsidRPr="00D34A7B" w:rsidRDefault="00954019" w:rsidP="00CE0EFE">
            <w:pPr>
              <w:widowControl w:val="0"/>
              <w:spacing w:line="276" w:lineRule="auto"/>
              <w:rPr>
                <w:rFonts w:eastAsia="Times New Roman"/>
                <w:color w:val="000000"/>
                <w:lang w:val="en-US"/>
              </w:rPr>
            </w:pPr>
            <w:r w:rsidRPr="00D34A7B">
              <w:rPr>
                <w:rFonts w:eastAsia="Times New Roman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019" w:rsidRPr="00D34A7B" w:rsidRDefault="00954019" w:rsidP="00CE0EFE">
            <w:pPr>
              <w:widowControl w:val="0"/>
              <w:spacing w:line="276" w:lineRule="auto"/>
              <w:jc w:val="center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D34A7B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019" w:rsidRPr="00D34A7B" w:rsidRDefault="00954019" w:rsidP="00CE0EFE">
            <w:pPr>
              <w:widowControl w:val="0"/>
              <w:spacing w:line="276" w:lineRule="auto"/>
              <w:rPr>
                <w:rFonts w:eastAsia="Times New Roman"/>
                <w:b/>
                <w:bCs/>
                <w:color w:val="000000"/>
                <w:lang w:val="en-US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1,964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019" w:rsidRPr="00D34A7B" w:rsidRDefault="00954019" w:rsidP="00CE0EFE">
            <w:pPr>
              <w:widowControl w:val="0"/>
              <w:spacing w:line="276" w:lineRule="auto"/>
              <w:rPr>
                <w:rFonts w:eastAsia="Times New Roman"/>
                <w:color w:val="000000"/>
                <w:lang w:val="en-US"/>
              </w:rPr>
            </w:pPr>
            <w:r w:rsidRPr="00D34A7B">
              <w:rPr>
                <w:rFonts w:eastAsia="Times New Roman"/>
                <w:color w:val="000000"/>
                <w:sz w:val="22"/>
                <w:szCs w:val="22"/>
                <w:lang w:val="en-US"/>
              </w:rPr>
              <w:t> </w:t>
            </w:r>
          </w:p>
        </w:tc>
      </w:tr>
    </w:tbl>
    <w:p w:rsidR="00954019" w:rsidRDefault="00954019" w:rsidP="00CE0EFE">
      <w:pPr>
        <w:widowControl w:val="0"/>
        <w:spacing w:line="276" w:lineRule="auto"/>
        <w:jc w:val="both"/>
      </w:pPr>
    </w:p>
    <w:p w:rsidR="00954019" w:rsidRDefault="00954019" w:rsidP="00CE0EFE">
      <w:pPr>
        <w:widowControl w:val="0"/>
        <w:numPr>
          <w:ilvl w:val="0"/>
          <w:numId w:val="22"/>
        </w:numPr>
        <w:spacing w:line="276" w:lineRule="auto"/>
        <w:jc w:val="both"/>
      </w:pPr>
      <w:r w:rsidRPr="0053098B">
        <w:rPr>
          <w:b/>
        </w:rPr>
        <w:t>Shfuqizimin</w:t>
      </w:r>
      <w:r>
        <w:t xml:space="preserve"> e</w:t>
      </w:r>
      <w:r w:rsidRPr="00B752A8">
        <w:t xml:space="preserve"> </w:t>
      </w:r>
      <w:r w:rsidRPr="00F67608">
        <w:t>Njoftim Vlerësimi për detyrimet</w:t>
      </w:r>
      <w:r>
        <w:t>,</w:t>
      </w:r>
      <w:r w:rsidRPr="00B752A8">
        <w:t xml:space="preserve"> si më poshtë:</w:t>
      </w:r>
    </w:p>
    <w:tbl>
      <w:tblPr>
        <w:tblW w:w="9730" w:type="dxa"/>
        <w:tblInd w:w="98" w:type="dxa"/>
        <w:tblLook w:val="04A0" w:firstRow="1" w:lastRow="0" w:firstColumn="1" w:lastColumn="0" w:noHBand="0" w:noVBand="1"/>
      </w:tblPr>
      <w:tblGrid>
        <w:gridCol w:w="540"/>
        <w:gridCol w:w="1360"/>
        <w:gridCol w:w="1106"/>
        <w:gridCol w:w="2535"/>
        <w:gridCol w:w="1536"/>
        <w:gridCol w:w="2653"/>
      </w:tblGrid>
      <w:tr w:rsidR="00954019" w:rsidRPr="00D34A7B" w:rsidTr="00954019">
        <w:trPr>
          <w:trHeight w:val="6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019" w:rsidRPr="00D34A7B" w:rsidRDefault="00954019" w:rsidP="00CE0EFE">
            <w:pPr>
              <w:widowControl w:val="0"/>
              <w:spacing w:line="276" w:lineRule="auto"/>
              <w:jc w:val="center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D34A7B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Nr.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019" w:rsidRPr="00D34A7B" w:rsidRDefault="00954019" w:rsidP="00CE0EFE">
            <w:pPr>
              <w:widowControl w:val="0"/>
              <w:spacing w:line="276" w:lineRule="auto"/>
              <w:jc w:val="center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D34A7B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Tatimi ose Kontributi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019" w:rsidRPr="00D34A7B" w:rsidRDefault="00954019" w:rsidP="00CE0EFE">
            <w:pPr>
              <w:widowControl w:val="0"/>
              <w:spacing w:line="276" w:lineRule="auto"/>
              <w:jc w:val="center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D34A7B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Periudha</w:t>
            </w: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019" w:rsidRPr="00D34A7B" w:rsidRDefault="00954019" w:rsidP="00CE0EFE">
            <w:pPr>
              <w:widowControl w:val="0"/>
              <w:spacing w:line="276" w:lineRule="auto"/>
              <w:jc w:val="center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D34A7B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Detyrimi p</w:t>
            </w: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ë</w:t>
            </w:r>
            <w:r w:rsidRPr="00D34A7B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r tu paguar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019" w:rsidRPr="00D34A7B" w:rsidRDefault="00954019" w:rsidP="00CE0EFE">
            <w:pPr>
              <w:widowControl w:val="0"/>
              <w:spacing w:line="276" w:lineRule="auto"/>
              <w:jc w:val="center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D34A7B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Lekë</w:t>
            </w:r>
          </w:p>
        </w:tc>
        <w:tc>
          <w:tcPr>
            <w:tcW w:w="2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019" w:rsidRPr="00D34A7B" w:rsidRDefault="00954019" w:rsidP="00CE0EFE">
            <w:pPr>
              <w:widowControl w:val="0"/>
              <w:spacing w:line="276" w:lineRule="auto"/>
              <w:jc w:val="center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D34A7B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Arsyet e detyrimit</w:t>
            </w:r>
          </w:p>
        </w:tc>
      </w:tr>
      <w:tr w:rsidR="00954019" w:rsidRPr="00D34A7B" w:rsidTr="00954019">
        <w:trPr>
          <w:cantSplit/>
          <w:trHeight w:hRule="exact" w:val="300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019" w:rsidRPr="00D34A7B" w:rsidRDefault="00954019" w:rsidP="00CE0EFE">
            <w:pPr>
              <w:widowControl w:val="0"/>
              <w:spacing w:line="276" w:lineRule="auto"/>
              <w:jc w:val="center"/>
              <w:rPr>
                <w:rFonts w:eastAsia="Times New Roman"/>
                <w:color w:val="000000"/>
                <w:lang w:val="en-US"/>
              </w:rPr>
            </w:pPr>
            <w:r w:rsidRPr="00D34A7B">
              <w:rPr>
                <w:rFonts w:eastAsia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019" w:rsidRPr="00D34A7B" w:rsidRDefault="00954019" w:rsidP="00CE0EFE">
            <w:pPr>
              <w:widowControl w:val="0"/>
              <w:spacing w:line="276" w:lineRule="auto"/>
              <w:jc w:val="center"/>
              <w:rPr>
                <w:rFonts w:eastAsia="Times New Roman"/>
                <w:color w:val="000000"/>
                <w:lang w:val="en-US"/>
              </w:rPr>
            </w:pPr>
            <w:r w:rsidRPr="00D34A7B">
              <w:rPr>
                <w:rFonts w:eastAsia="Times New Roman"/>
                <w:color w:val="000000"/>
                <w:sz w:val="22"/>
                <w:szCs w:val="22"/>
              </w:rPr>
              <w:t>Ulje gjendjes kreditore t</w:t>
            </w:r>
            <w:r>
              <w:rPr>
                <w:rFonts w:eastAsia="Times New Roman"/>
                <w:color w:val="000000"/>
                <w:sz w:val="22"/>
                <w:szCs w:val="22"/>
              </w:rPr>
              <w:t>ë</w:t>
            </w:r>
            <w:r w:rsidRPr="00D34A7B">
              <w:rPr>
                <w:rFonts w:eastAsia="Times New Roman"/>
                <w:color w:val="000000"/>
                <w:sz w:val="22"/>
                <w:szCs w:val="22"/>
              </w:rPr>
              <w:t xml:space="preserve"> TVSh-s</w:t>
            </w:r>
            <w:r>
              <w:rPr>
                <w:rFonts w:eastAsia="Times New Roman"/>
                <w:color w:val="000000"/>
                <w:sz w:val="22"/>
                <w:szCs w:val="22"/>
              </w:rPr>
              <w:t>ë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019" w:rsidRPr="00D34A7B" w:rsidRDefault="00954019" w:rsidP="00CE0EFE">
            <w:pPr>
              <w:widowControl w:val="0"/>
              <w:spacing w:line="276" w:lineRule="auto"/>
              <w:jc w:val="center"/>
              <w:rPr>
                <w:rFonts w:eastAsia="Times New Roman"/>
                <w:color w:val="000000"/>
                <w:lang w:val="en-US"/>
              </w:rPr>
            </w:pPr>
            <w:proofErr w:type="spellStart"/>
            <w:r w:rsidRPr="00D34A7B">
              <w:rPr>
                <w:rFonts w:eastAsia="Times New Roman"/>
                <w:color w:val="000000"/>
                <w:sz w:val="22"/>
                <w:szCs w:val="22"/>
                <w:lang w:val="en-US"/>
              </w:rPr>
              <w:t>Viti</w:t>
            </w:r>
            <w:proofErr w:type="spellEnd"/>
            <w:r w:rsidRPr="00D34A7B">
              <w:rPr>
                <w:rFonts w:eastAsia="Times New Roman"/>
                <w:color w:val="000000"/>
                <w:sz w:val="22"/>
                <w:szCs w:val="22"/>
                <w:lang w:val="en-US"/>
              </w:rPr>
              <w:t xml:space="preserve"> 2021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019" w:rsidRPr="00D34A7B" w:rsidRDefault="00954019" w:rsidP="00CE0EFE">
            <w:pPr>
              <w:widowControl w:val="0"/>
              <w:spacing w:line="276" w:lineRule="auto"/>
              <w:jc w:val="center"/>
              <w:rPr>
                <w:rFonts w:eastAsia="Times New Roman"/>
                <w:color w:val="000000"/>
                <w:lang w:val="en-US"/>
              </w:rPr>
            </w:pPr>
            <w:r w:rsidRPr="00D34A7B">
              <w:rPr>
                <w:rFonts w:eastAsia="Times New Roman"/>
                <w:color w:val="000000"/>
                <w:sz w:val="22"/>
                <w:szCs w:val="22"/>
              </w:rPr>
              <w:t>Tatim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019" w:rsidRPr="00D34A7B" w:rsidRDefault="00954019" w:rsidP="00CE0EFE">
            <w:pPr>
              <w:widowControl w:val="0"/>
              <w:spacing w:line="276" w:lineRule="auto"/>
              <w:rPr>
                <w:rFonts w:eastAsia="Times New Roman"/>
                <w:color w:val="000000"/>
                <w:lang w:val="en-US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/>
              </w:rPr>
              <w:t>863,941</w:t>
            </w:r>
            <w:r w:rsidRPr="00D34A7B">
              <w:rPr>
                <w:rFonts w:eastAsia="Times New Roman"/>
                <w:color w:val="000000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019" w:rsidRPr="00D34A7B" w:rsidRDefault="00954019" w:rsidP="00CE0EFE">
            <w:pPr>
              <w:widowControl w:val="0"/>
              <w:spacing w:line="276" w:lineRule="auto"/>
              <w:rPr>
                <w:rFonts w:eastAsia="Times New Roman"/>
                <w:color w:val="000000"/>
                <w:lang w:val="en-US"/>
              </w:rPr>
            </w:pPr>
            <w:proofErr w:type="spellStart"/>
            <w:r w:rsidRPr="00D34A7B">
              <w:rPr>
                <w:rFonts w:eastAsia="Times New Roman"/>
                <w:color w:val="000000"/>
                <w:sz w:val="22"/>
                <w:szCs w:val="22"/>
                <w:lang w:val="en-US"/>
              </w:rPr>
              <w:t>Sipas</w:t>
            </w:r>
            <w:proofErr w:type="spellEnd"/>
            <w:r w:rsidRPr="00D34A7B">
              <w:rPr>
                <w:rFonts w:eastAsia="Times New Roman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34A7B">
              <w:rPr>
                <w:rFonts w:eastAsia="Times New Roman"/>
                <w:color w:val="000000"/>
                <w:sz w:val="22"/>
                <w:szCs w:val="22"/>
                <w:lang w:val="en-US"/>
              </w:rPr>
              <w:t>Raport</w:t>
            </w:r>
            <w:proofErr w:type="spellEnd"/>
            <w:r w:rsidRPr="00D34A7B">
              <w:rPr>
                <w:rFonts w:eastAsia="Times New Roman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34A7B">
              <w:rPr>
                <w:rFonts w:eastAsia="Times New Roman"/>
                <w:color w:val="000000"/>
                <w:sz w:val="22"/>
                <w:szCs w:val="22"/>
                <w:lang w:val="en-US"/>
              </w:rPr>
              <w:t>Kontrollit</w:t>
            </w:r>
            <w:proofErr w:type="spellEnd"/>
          </w:p>
        </w:tc>
      </w:tr>
      <w:tr w:rsidR="00954019" w:rsidRPr="00D34A7B" w:rsidTr="00954019">
        <w:trPr>
          <w:trHeight w:val="468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019" w:rsidRPr="00D34A7B" w:rsidRDefault="00954019" w:rsidP="00CE0EFE">
            <w:pPr>
              <w:widowControl w:val="0"/>
              <w:spacing w:line="276" w:lineRule="auto"/>
              <w:rPr>
                <w:rFonts w:eastAsia="Times New Roman"/>
                <w:color w:val="000000"/>
                <w:lang w:val="en-US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019" w:rsidRPr="00D34A7B" w:rsidRDefault="00954019" w:rsidP="00CE0EFE">
            <w:pPr>
              <w:widowControl w:val="0"/>
              <w:spacing w:line="276" w:lineRule="auto"/>
              <w:rPr>
                <w:rFonts w:eastAsia="Times New Roman"/>
                <w:color w:val="000000"/>
                <w:lang w:val="en-US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019" w:rsidRPr="00D34A7B" w:rsidRDefault="00954019" w:rsidP="00CE0EFE">
            <w:pPr>
              <w:widowControl w:val="0"/>
              <w:spacing w:line="276" w:lineRule="auto"/>
              <w:rPr>
                <w:rFonts w:eastAsia="Times New Roman"/>
                <w:color w:val="000000"/>
                <w:lang w:val="en-US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019" w:rsidRPr="00D34A7B" w:rsidRDefault="00954019" w:rsidP="00CE0EFE">
            <w:pPr>
              <w:widowControl w:val="0"/>
              <w:spacing w:line="276" w:lineRule="auto"/>
              <w:jc w:val="center"/>
              <w:rPr>
                <w:rFonts w:eastAsia="Times New Roman"/>
                <w:color w:val="000000"/>
                <w:lang w:val="en-US"/>
              </w:rPr>
            </w:pPr>
            <w:r w:rsidRPr="00D34A7B">
              <w:rPr>
                <w:rFonts w:eastAsia="Times New Roman"/>
                <w:color w:val="000000"/>
                <w:sz w:val="22"/>
                <w:szCs w:val="22"/>
              </w:rPr>
              <w:t>Gjobë Inspektori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019" w:rsidRPr="00D34A7B" w:rsidRDefault="00954019" w:rsidP="00CE0EFE">
            <w:pPr>
              <w:widowControl w:val="0"/>
              <w:spacing w:line="276" w:lineRule="auto"/>
              <w:rPr>
                <w:rFonts w:eastAsia="Times New Roman"/>
                <w:color w:val="000000"/>
                <w:lang w:val="en-US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US"/>
              </w:rPr>
              <w:t>172,788</w:t>
            </w:r>
            <w:r w:rsidRPr="00D34A7B">
              <w:rPr>
                <w:rFonts w:eastAsia="Times New Roman"/>
                <w:color w:val="000000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019" w:rsidRPr="00D34A7B" w:rsidRDefault="00954019" w:rsidP="00CE0EFE">
            <w:pPr>
              <w:widowControl w:val="0"/>
              <w:spacing w:line="276" w:lineRule="auto"/>
              <w:rPr>
                <w:rFonts w:eastAsia="Times New Roman"/>
                <w:color w:val="000000"/>
                <w:lang w:val="en-US"/>
              </w:rPr>
            </w:pPr>
            <w:proofErr w:type="spellStart"/>
            <w:r w:rsidRPr="00D34A7B">
              <w:rPr>
                <w:rFonts w:eastAsia="Times New Roman"/>
                <w:color w:val="000000"/>
                <w:sz w:val="22"/>
                <w:szCs w:val="22"/>
                <w:lang w:val="en-US"/>
              </w:rPr>
              <w:t>Sipas</w:t>
            </w:r>
            <w:proofErr w:type="spellEnd"/>
            <w:r w:rsidRPr="00D34A7B">
              <w:rPr>
                <w:rFonts w:eastAsia="Times New Roman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34A7B">
              <w:rPr>
                <w:rFonts w:eastAsia="Times New Roman"/>
                <w:color w:val="000000"/>
                <w:sz w:val="22"/>
                <w:szCs w:val="22"/>
                <w:lang w:val="en-US"/>
              </w:rPr>
              <w:t>Raport</w:t>
            </w:r>
            <w:proofErr w:type="spellEnd"/>
            <w:r w:rsidRPr="00D34A7B">
              <w:rPr>
                <w:rFonts w:eastAsia="Times New Roman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34A7B">
              <w:rPr>
                <w:rFonts w:eastAsia="Times New Roman"/>
                <w:color w:val="000000"/>
                <w:sz w:val="22"/>
                <w:szCs w:val="22"/>
                <w:lang w:val="en-US"/>
              </w:rPr>
              <w:t>Kontrollit</w:t>
            </w:r>
            <w:proofErr w:type="spellEnd"/>
          </w:p>
        </w:tc>
      </w:tr>
      <w:tr w:rsidR="00954019" w:rsidRPr="00D34A7B" w:rsidTr="00954019">
        <w:trPr>
          <w:trHeight w:val="31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019" w:rsidRPr="00D34A7B" w:rsidRDefault="00954019" w:rsidP="00CE0EFE">
            <w:pPr>
              <w:widowControl w:val="0"/>
              <w:spacing w:line="276" w:lineRule="auto"/>
              <w:rPr>
                <w:rFonts w:eastAsia="Times New Roman"/>
                <w:color w:val="000000"/>
                <w:lang w:val="en-US"/>
              </w:rPr>
            </w:pPr>
            <w:r w:rsidRPr="00D34A7B">
              <w:rPr>
                <w:rFonts w:eastAsia="Times New Roman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019" w:rsidRPr="00D34A7B" w:rsidRDefault="00954019" w:rsidP="00CE0EFE">
            <w:pPr>
              <w:widowControl w:val="0"/>
              <w:spacing w:line="276" w:lineRule="auto"/>
              <w:rPr>
                <w:rFonts w:eastAsia="Times New Roman"/>
                <w:color w:val="000000"/>
                <w:lang w:val="en-US"/>
              </w:rPr>
            </w:pPr>
            <w:r w:rsidRPr="00D34A7B">
              <w:rPr>
                <w:rFonts w:eastAsia="Times New Roman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019" w:rsidRPr="00D34A7B" w:rsidRDefault="00954019" w:rsidP="00CE0EFE">
            <w:pPr>
              <w:widowControl w:val="0"/>
              <w:spacing w:line="276" w:lineRule="auto"/>
              <w:rPr>
                <w:rFonts w:eastAsia="Times New Roman"/>
                <w:color w:val="000000"/>
                <w:lang w:val="en-US"/>
              </w:rPr>
            </w:pPr>
            <w:r w:rsidRPr="00D34A7B">
              <w:rPr>
                <w:rFonts w:eastAsia="Times New Roman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019" w:rsidRPr="00D34A7B" w:rsidRDefault="00954019" w:rsidP="00CE0EFE">
            <w:pPr>
              <w:widowControl w:val="0"/>
              <w:spacing w:line="276" w:lineRule="auto"/>
              <w:jc w:val="center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D34A7B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019" w:rsidRPr="00D34A7B" w:rsidRDefault="00954019" w:rsidP="00CE0EFE">
            <w:pPr>
              <w:widowControl w:val="0"/>
              <w:spacing w:line="276" w:lineRule="auto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D34A7B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1,</w:t>
            </w: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036,729</w:t>
            </w:r>
            <w:r w:rsidRPr="00D34A7B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019" w:rsidRPr="00D34A7B" w:rsidRDefault="00954019" w:rsidP="00CE0EFE">
            <w:pPr>
              <w:widowControl w:val="0"/>
              <w:spacing w:line="276" w:lineRule="auto"/>
              <w:rPr>
                <w:rFonts w:eastAsia="Times New Roman"/>
                <w:color w:val="000000"/>
                <w:lang w:val="en-US"/>
              </w:rPr>
            </w:pPr>
            <w:r w:rsidRPr="00D34A7B">
              <w:rPr>
                <w:rFonts w:eastAsia="Times New Roman"/>
                <w:color w:val="000000"/>
                <w:sz w:val="22"/>
                <w:szCs w:val="22"/>
                <w:lang w:val="en-US"/>
              </w:rPr>
              <w:t> </w:t>
            </w:r>
          </w:p>
        </w:tc>
      </w:tr>
    </w:tbl>
    <w:p w:rsidR="00954019" w:rsidRPr="00B752A8" w:rsidRDefault="00954019" w:rsidP="00CE0EFE">
      <w:pPr>
        <w:widowControl w:val="0"/>
        <w:spacing w:line="276" w:lineRule="auto"/>
        <w:jc w:val="both"/>
      </w:pPr>
    </w:p>
    <w:p w:rsidR="00954019" w:rsidRPr="00B752A8" w:rsidRDefault="00954019" w:rsidP="00CE0EFE">
      <w:pPr>
        <w:widowControl w:val="0"/>
        <w:spacing w:line="276" w:lineRule="auto"/>
        <w:jc w:val="both"/>
      </w:pPr>
      <w:r w:rsidRPr="00B752A8">
        <w:t>Në zbatim të nenit 109, pika 2 dhe 3, të Ligjit Nr.9920 datë 19.05.2008, “Për Procedurat Tatimore në R.Sh”, i ndryshuar, tatimpaguesi mund ta kundërshtojë vendimin e Drejtorisë së Apelimit Tatimor në gjykatë, brenda 30 ditëve kalendarike nga data e mar</w:t>
      </w:r>
      <w:r>
        <w:t>rjes dijeni për këtë vendim. Ky</w:t>
      </w:r>
      <w:r w:rsidRPr="00B752A8">
        <w:t xml:space="preserve"> vendim është i detyrueshëm për zbatim nga organi i administratës tatimore që ka bërë vlerësimin tatimor dhe nuk apelohet prej tij.  </w:t>
      </w:r>
    </w:p>
    <w:p w:rsidR="00DE4063" w:rsidRPr="00106B8F" w:rsidRDefault="00DE4063" w:rsidP="00CE0EFE">
      <w:pPr>
        <w:widowControl w:val="0"/>
        <w:spacing w:line="276" w:lineRule="auto"/>
        <w:jc w:val="both"/>
      </w:pPr>
    </w:p>
    <w:p w:rsidR="00B21B38" w:rsidRPr="00C721EA" w:rsidRDefault="00954019" w:rsidP="00CE0EFE">
      <w:pPr>
        <w:widowControl w:val="0"/>
        <w:spacing w:line="276" w:lineRule="auto"/>
        <w:ind w:left="3600" w:firstLine="720"/>
        <w:jc w:val="both"/>
        <w:rPr>
          <w:b/>
        </w:rPr>
      </w:pPr>
      <w:r>
        <w:rPr>
          <w:b/>
        </w:rPr>
        <w:lastRenderedPageBreak/>
        <w:t xml:space="preserve">          </w:t>
      </w:r>
      <w:r w:rsidRPr="00106B8F">
        <w:rPr>
          <w:b/>
        </w:rPr>
        <w:t>DREJTOR I APELIMIT TATIMOR</w:t>
      </w:r>
    </w:p>
    <w:sectPr w:rsidR="00B21B38" w:rsidRPr="00C721EA" w:rsidSect="00265D72">
      <w:footerReference w:type="default" r:id="rId9"/>
      <w:pgSz w:w="12240" w:h="15840" w:code="1"/>
      <w:pgMar w:top="900" w:right="1350" w:bottom="540" w:left="1530" w:header="90" w:footer="54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4C02" w:rsidRDefault="00494C02" w:rsidP="00360998">
      <w:r>
        <w:separator/>
      </w:r>
    </w:p>
  </w:endnote>
  <w:endnote w:type="continuationSeparator" w:id="0">
    <w:p w:rsidR="00494C02" w:rsidRDefault="00494C02" w:rsidP="00360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4019" w:rsidRPr="00A560C5" w:rsidRDefault="00954019" w:rsidP="00F45A80">
    <w:pPr>
      <w:pStyle w:val="Footer"/>
      <w:pBdr>
        <w:top w:val="single" w:sz="4" w:space="8" w:color="4F81BD"/>
      </w:pBdr>
      <w:spacing w:before="360"/>
      <w:contextualSpacing/>
      <w:rPr>
        <w:noProof/>
        <w:color w:val="404040"/>
        <w:lang w:val="it-IT"/>
      </w:rPr>
    </w:pPr>
    <w:r w:rsidRPr="00A560C5">
      <w:rPr>
        <w:noProof/>
        <w:color w:val="404040"/>
        <w:lang w:val="it-IT"/>
      </w:rPr>
      <w:t>Bule</w:t>
    </w:r>
    <w:r>
      <w:rPr>
        <w:noProof/>
        <w:color w:val="404040"/>
        <w:lang w:val="it-IT"/>
      </w:rPr>
      <w:t>vardi “Dëshmorët e Kombit”, Nr.</w:t>
    </w:r>
    <w:r w:rsidRPr="00A560C5">
      <w:rPr>
        <w:noProof/>
        <w:color w:val="404040"/>
        <w:lang w:val="it-IT"/>
      </w:rPr>
      <w:t xml:space="preserve">3, </w:t>
    </w:r>
    <w:hyperlink r:id="rId1" w:history="1">
      <w:r w:rsidRPr="00A560C5">
        <w:rPr>
          <w:rStyle w:val="Hyperlink"/>
          <w:noProof/>
          <w:lang w:val="it-IT"/>
        </w:rPr>
        <w:t>www.financa.gov.al</w:t>
      </w:r>
    </w:hyperlink>
    <w:r>
      <w:t xml:space="preserve">                                                        </w:t>
    </w:r>
    <w:r w:rsidRPr="00646F3F">
      <w:rPr>
        <w:noProof/>
        <w:color w:val="404040"/>
      </w:rPr>
      <w:fldChar w:fldCharType="begin"/>
    </w:r>
    <w:r w:rsidRPr="00A560C5">
      <w:rPr>
        <w:noProof/>
        <w:color w:val="404040"/>
        <w:lang w:val="it-IT"/>
      </w:rPr>
      <w:instrText xml:space="preserve"> PAGE   \* MERGEFORMAT </w:instrText>
    </w:r>
    <w:r w:rsidRPr="00646F3F">
      <w:rPr>
        <w:noProof/>
        <w:color w:val="404040"/>
      </w:rPr>
      <w:fldChar w:fldCharType="separate"/>
    </w:r>
    <w:r w:rsidR="009D6B1B">
      <w:rPr>
        <w:noProof/>
        <w:color w:val="404040"/>
        <w:lang w:val="it-IT"/>
      </w:rPr>
      <w:t>9</w:t>
    </w:r>
    <w:r w:rsidRPr="00646F3F">
      <w:rPr>
        <w:noProof/>
        <w:color w:val="40404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4C02" w:rsidRDefault="00494C02" w:rsidP="00360998">
      <w:r>
        <w:separator/>
      </w:r>
    </w:p>
  </w:footnote>
  <w:footnote w:type="continuationSeparator" w:id="0">
    <w:p w:rsidR="00494C02" w:rsidRDefault="00494C02" w:rsidP="003609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F6EA19E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E56CC3"/>
    <w:multiLevelType w:val="hybridMultilevel"/>
    <w:tmpl w:val="289A0D6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942835"/>
    <w:multiLevelType w:val="hybridMultilevel"/>
    <w:tmpl w:val="4D8094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2C7DC5"/>
    <w:multiLevelType w:val="hybridMultilevel"/>
    <w:tmpl w:val="7EF620B0"/>
    <w:lvl w:ilvl="0" w:tplc="1FD4635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AA6A21"/>
    <w:multiLevelType w:val="hybridMultilevel"/>
    <w:tmpl w:val="7A6050DC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B9761D3"/>
    <w:multiLevelType w:val="hybridMultilevel"/>
    <w:tmpl w:val="69705B26"/>
    <w:lvl w:ilvl="0" w:tplc="827C4C8E"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0D662A61"/>
    <w:multiLevelType w:val="hybridMultilevel"/>
    <w:tmpl w:val="A740AD7A"/>
    <w:lvl w:ilvl="0" w:tplc="1FD4635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652CAD"/>
    <w:multiLevelType w:val="hybridMultilevel"/>
    <w:tmpl w:val="3790155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076FEF"/>
    <w:multiLevelType w:val="hybridMultilevel"/>
    <w:tmpl w:val="F166702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5922B6"/>
    <w:multiLevelType w:val="hybridMultilevel"/>
    <w:tmpl w:val="5DBA0E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44F4713"/>
    <w:multiLevelType w:val="hybridMultilevel"/>
    <w:tmpl w:val="3878CBC8"/>
    <w:lvl w:ilvl="0" w:tplc="062AC35C">
      <w:start w:val="5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A3E7A3C"/>
    <w:multiLevelType w:val="hybridMultilevel"/>
    <w:tmpl w:val="A15A72DA"/>
    <w:lvl w:ilvl="0" w:tplc="F322EA72">
      <w:start w:val="12"/>
      <w:numFmt w:val="bullet"/>
      <w:lvlText w:val=""/>
      <w:lvlJc w:val="left"/>
      <w:pPr>
        <w:ind w:left="4740" w:hanging="360"/>
      </w:pPr>
      <w:rPr>
        <w:rFonts w:ascii="Symbol" w:eastAsia="Batang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500" w:hanging="360"/>
      </w:pPr>
      <w:rPr>
        <w:rFonts w:ascii="Wingdings" w:hAnsi="Wingdings" w:hint="default"/>
      </w:rPr>
    </w:lvl>
  </w:abstractNum>
  <w:abstractNum w:abstractNumId="12">
    <w:nsid w:val="522B0842"/>
    <w:multiLevelType w:val="hybridMultilevel"/>
    <w:tmpl w:val="B7AA64FA"/>
    <w:lvl w:ilvl="0" w:tplc="5594A552">
      <w:start w:val="12"/>
      <w:numFmt w:val="bullet"/>
      <w:lvlText w:val=""/>
      <w:lvlJc w:val="left"/>
      <w:pPr>
        <w:ind w:left="4920" w:hanging="360"/>
      </w:pPr>
      <w:rPr>
        <w:rFonts w:ascii="Symbol" w:eastAsia="Batang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680" w:hanging="360"/>
      </w:pPr>
      <w:rPr>
        <w:rFonts w:ascii="Wingdings" w:hAnsi="Wingdings" w:hint="default"/>
      </w:rPr>
    </w:lvl>
  </w:abstractNum>
  <w:abstractNum w:abstractNumId="13">
    <w:nsid w:val="54074D29"/>
    <w:multiLevelType w:val="hybridMultilevel"/>
    <w:tmpl w:val="B4827AAE"/>
    <w:lvl w:ilvl="0" w:tplc="CAC8162A">
      <w:start w:val="329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AC158E"/>
    <w:multiLevelType w:val="hybridMultilevel"/>
    <w:tmpl w:val="6C12576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5AFB0B17"/>
    <w:multiLevelType w:val="hybridMultilevel"/>
    <w:tmpl w:val="282C7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B870653"/>
    <w:multiLevelType w:val="hybridMultilevel"/>
    <w:tmpl w:val="8152B20E"/>
    <w:lvl w:ilvl="0" w:tplc="42504D5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F1D144C"/>
    <w:multiLevelType w:val="hybridMultilevel"/>
    <w:tmpl w:val="BE100AF4"/>
    <w:lvl w:ilvl="0" w:tplc="1632ECE6">
      <w:start w:val="12"/>
      <w:numFmt w:val="bullet"/>
      <w:lvlText w:val=""/>
      <w:lvlJc w:val="left"/>
      <w:pPr>
        <w:ind w:left="4620" w:hanging="360"/>
      </w:pPr>
      <w:rPr>
        <w:rFonts w:ascii="Symbol" w:eastAsia="Batang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80" w:hanging="360"/>
      </w:pPr>
      <w:rPr>
        <w:rFonts w:ascii="Wingdings" w:hAnsi="Wingdings" w:hint="default"/>
      </w:rPr>
    </w:lvl>
  </w:abstractNum>
  <w:abstractNum w:abstractNumId="18">
    <w:nsid w:val="5F5630F9"/>
    <w:multiLevelType w:val="hybridMultilevel"/>
    <w:tmpl w:val="D4A07C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46A7BC1"/>
    <w:multiLevelType w:val="hybridMultilevel"/>
    <w:tmpl w:val="04769520"/>
    <w:lvl w:ilvl="0" w:tplc="BD1082EC">
      <w:start w:val="24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6671BBD"/>
    <w:multiLevelType w:val="hybridMultilevel"/>
    <w:tmpl w:val="7D967A00"/>
    <w:lvl w:ilvl="0" w:tplc="49886600">
      <w:start w:val="450"/>
      <w:numFmt w:val="bullet"/>
      <w:lvlText w:val=""/>
      <w:lvlJc w:val="left"/>
      <w:pPr>
        <w:ind w:left="4920" w:hanging="360"/>
      </w:pPr>
      <w:rPr>
        <w:rFonts w:ascii="Symbol" w:eastAsia="Batang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680" w:hanging="360"/>
      </w:pPr>
      <w:rPr>
        <w:rFonts w:ascii="Wingdings" w:hAnsi="Wingdings" w:hint="default"/>
      </w:rPr>
    </w:lvl>
  </w:abstractNum>
  <w:abstractNum w:abstractNumId="21">
    <w:nsid w:val="77B11CCB"/>
    <w:multiLevelType w:val="hybridMultilevel"/>
    <w:tmpl w:val="B9242F3A"/>
    <w:lvl w:ilvl="0" w:tplc="42D2E91A">
      <w:start w:val="40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19"/>
  </w:num>
  <w:num w:numId="5">
    <w:abstractNumId w:val="12"/>
  </w:num>
  <w:num w:numId="6">
    <w:abstractNumId w:val="11"/>
  </w:num>
  <w:num w:numId="7">
    <w:abstractNumId w:val="17"/>
  </w:num>
  <w:num w:numId="8">
    <w:abstractNumId w:val="20"/>
  </w:num>
  <w:num w:numId="9">
    <w:abstractNumId w:val="8"/>
  </w:num>
  <w:num w:numId="10">
    <w:abstractNumId w:val="3"/>
  </w:num>
  <w:num w:numId="11">
    <w:abstractNumId w:val="10"/>
  </w:num>
  <w:num w:numId="12">
    <w:abstractNumId w:val="14"/>
  </w:num>
  <w:num w:numId="13">
    <w:abstractNumId w:val="7"/>
  </w:num>
  <w:num w:numId="14">
    <w:abstractNumId w:val="13"/>
  </w:num>
  <w:num w:numId="15">
    <w:abstractNumId w:val="18"/>
  </w:num>
  <w:num w:numId="16">
    <w:abstractNumId w:val="5"/>
  </w:num>
  <w:num w:numId="17">
    <w:abstractNumId w:val="16"/>
  </w:num>
  <w:num w:numId="18">
    <w:abstractNumId w:val="4"/>
  </w:num>
  <w:num w:numId="19">
    <w:abstractNumId w:val="15"/>
  </w:num>
  <w:num w:numId="20">
    <w:abstractNumId w:val="21"/>
  </w:num>
  <w:num w:numId="21">
    <w:abstractNumId w:val="2"/>
  </w:num>
  <w:num w:numId="22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04F8"/>
    <w:rsid w:val="00003055"/>
    <w:rsid w:val="00007D61"/>
    <w:rsid w:val="0001096D"/>
    <w:rsid w:val="00010CE1"/>
    <w:rsid w:val="000132CA"/>
    <w:rsid w:val="00015BE8"/>
    <w:rsid w:val="00017117"/>
    <w:rsid w:val="00020033"/>
    <w:rsid w:val="000204A3"/>
    <w:rsid w:val="00021166"/>
    <w:rsid w:val="00021912"/>
    <w:rsid w:val="000224AE"/>
    <w:rsid w:val="000274B5"/>
    <w:rsid w:val="0003403D"/>
    <w:rsid w:val="00035317"/>
    <w:rsid w:val="000428B2"/>
    <w:rsid w:val="00045F8D"/>
    <w:rsid w:val="00046770"/>
    <w:rsid w:val="00047672"/>
    <w:rsid w:val="00050782"/>
    <w:rsid w:val="000551FC"/>
    <w:rsid w:val="0005650C"/>
    <w:rsid w:val="000618DE"/>
    <w:rsid w:val="00062E1E"/>
    <w:rsid w:val="000636A3"/>
    <w:rsid w:val="00063EF7"/>
    <w:rsid w:val="000649E5"/>
    <w:rsid w:val="000710C5"/>
    <w:rsid w:val="000715D9"/>
    <w:rsid w:val="00072635"/>
    <w:rsid w:val="00073DE2"/>
    <w:rsid w:val="00076011"/>
    <w:rsid w:val="00076330"/>
    <w:rsid w:val="0007641D"/>
    <w:rsid w:val="000834EB"/>
    <w:rsid w:val="000849DC"/>
    <w:rsid w:val="00085F70"/>
    <w:rsid w:val="00086717"/>
    <w:rsid w:val="00093E26"/>
    <w:rsid w:val="00094EAC"/>
    <w:rsid w:val="000A1B9B"/>
    <w:rsid w:val="000A25B9"/>
    <w:rsid w:val="000A2A86"/>
    <w:rsid w:val="000A3C14"/>
    <w:rsid w:val="000A3DCF"/>
    <w:rsid w:val="000A50BC"/>
    <w:rsid w:val="000B0965"/>
    <w:rsid w:val="000B2644"/>
    <w:rsid w:val="000B4002"/>
    <w:rsid w:val="000B5C6C"/>
    <w:rsid w:val="000B78B4"/>
    <w:rsid w:val="000C2464"/>
    <w:rsid w:val="000C2557"/>
    <w:rsid w:val="000C5572"/>
    <w:rsid w:val="000C57CE"/>
    <w:rsid w:val="000C7F6E"/>
    <w:rsid w:val="000D1592"/>
    <w:rsid w:val="000D3E5F"/>
    <w:rsid w:val="000D5F49"/>
    <w:rsid w:val="000D6733"/>
    <w:rsid w:val="000D6D2E"/>
    <w:rsid w:val="000E0CAD"/>
    <w:rsid w:val="000E117A"/>
    <w:rsid w:val="000E1EC5"/>
    <w:rsid w:val="000E2536"/>
    <w:rsid w:val="000F15E9"/>
    <w:rsid w:val="000F2632"/>
    <w:rsid w:val="000F283B"/>
    <w:rsid w:val="000F309D"/>
    <w:rsid w:val="000F393A"/>
    <w:rsid w:val="000F4618"/>
    <w:rsid w:val="000F4FA8"/>
    <w:rsid w:val="000F775A"/>
    <w:rsid w:val="000F7EC5"/>
    <w:rsid w:val="000F7EDD"/>
    <w:rsid w:val="00101B13"/>
    <w:rsid w:val="00103027"/>
    <w:rsid w:val="001041A6"/>
    <w:rsid w:val="00104358"/>
    <w:rsid w:val="00112E20"/>
    <w:rsid w:val="001131CD"/>
    <w:rsid w:val="001139DD"/>
    <w:rsid w:val="00115355"/>
    <w:rsid w:val="00117069"/>
    <w:rsid w:val="001173A4"/>
    <w:rsid w:val="00117B8E"/>
    <w:rsid w:val="00117C14"/>
    <w:rsid w:val="00121FE8"/>
    <w:rsid w:val="001229CD"/>
    <w:rsid w:val="00123F37"/>
    <w:rsid w:val="00124BF1"/>
    <w:rsid w:val="001267D5"/>
    <w:rsid w:val="00127016"/>
    <w:rsid w:val="001272B9"/>
    <w:rsid w:val="00127358"/>
    <w:rsid w:val="001307D5"/>
    <w:rsid w:val="001363F6"/>
    <w:rsid w:val="0014012B"/>
    <w:rsid w:val="00142E2C"/>
    <w:rsid w:val="00146558"/>
    <w:rsid w:val="00146F1B"/>
    <w:rsid w:val="001519A6"/>
    <w:rsid w:val="00154056"/>
    <w:rsid w:val="0015776C"/>
    <w:rsid w:val="00160FB3"/>
    <w:rsid w:val="00162281"/>
    <w:rsid w:val="001672FE"/>
    <w:rsid w:val="00170032"/>
    <w:rsid w:val="001702E7"/>
    <w:rsid w:val="00170A95"/>
    <w:rsid w:val="00174A8F"/>
    <w:rsid w:val="00175230"/>
    <w:rsid w:val="00175FEE"/>
    <w:rsid w:val="00176454"/>
    <w:rsid w:val="00181B49"/>
    <w:rsid w:val="00184C1B"/>
    <w:rsid w:val="0018564E"/>
    <w:rsid w:val="00191626"/>
    <w:rsid w:val="0019284A"/>
    <w:rsid w:val="0019734D"/>
    <w:rsid w:val="00197610"/>
    <w:rsid w:val="001A5FA0"/>
    <w:rsid w:val="001B09E1"/>
    <w:rsid w:val="001B0DCC"/>
    <w:rsid w:val="001B29F9"/>
    <w:rsid w:val="001B634F"/>
    <w:rsid w:val="001C0CD9"/>
    <w:rsid w:val="001C3661"/>
    <w:rsid w:val="001C5F52"/>
    <w:rsid w:val="001D2AA5"/>
    <w:rsid w:val="001D3F23"/>
    <w:rsid w:val="001D7CFD"/>
    <w:rsid w:val="001E00F3"/>
    <w:rsid w:val="001E0985"/>
    <w:rsid w:val="001E252F"/>
    <w:rsid w:val="001E4B74"/>
    <w:rsid w:val="001E5BF6"/>
    <w:rsid w:val="001E7B8D"/>
    <w:rsid w:val="001F05E8"/>
    <w:rsid w:val="001F392A"/>
    <w:rsid w:val="001F62FE"/>
    <w:rsid w:val="001F77DA"/>
    <w:rsid w:val="0020559F"/>
    <w:rsid w:val="00207B54"/>
    <w:rsid w:val="00215EF9"/>
    <w:rsid w:val="00216488"/>
    <w:rsid w:val="00216914"/>
    <w:rsid w:val="00216E80"/>
    <w:rsid w:val="002207CF"/>
    <w:rsid w:val="00221BFF"/>
    <w:rsid w:val="00222007"/>
    <w:rsid w:val="002226CF"/>
    <w:rsid w:val="002236AB"/>
    <w:rsid w:val="00225B5B"/>
    <w:rsid w:val="00231E68"/>
    <w:rsid w:val="00232497"/>
    <w:rsid w:val="002347CA"/>
    <w:rsid w:val="002373B1"/>
    <w:rsid w:val="00237AFF"/>
    <w:rsid w:val="002421CF"/>
    <w:rsid w:val="002471BA"/>
    <w:rsid w:val="00252F35"/>
    <w:rsid w:val="00254A5F"/>
    <w:rsid w:val="00255A2E"/>
    <w:rsid w:val="00256200"/>
    <w:rsid w:val="00256D14"/>
    <w:rsid w:val="002571AA"/>
    <w:rsid w:val="0025775B"/>
    <w:rsid w:val="00257BC6"/>
    <w:rsid w:val="00257E50"/>
    <w:rsid w:val="002612AD"/>
    <w:rsid w:val="00261ADE"/>
    <w:rsid w:val="00264032"/>
    <w:rsid w:val="00265D72"/>
    <w:rsid w:val="00266526"/>
    <w:rsid w:val="0026774B"/>
    <w:rsid w:val="0027124A"/>
    <w:rsid w:val="002756CF"/>
    <w:rsid w:val="0027598D"/>
    <w:rsid w:val="00277863"/>
    <w:rsid w:val="00277C08"/>
    <w:rsid w:val="00280B7B"/>
    <w:rsid w:val="00281061"/>
    <w:rsid w:val="00281C08"/>
    <w:rsid w:val="00282A9D"/>
    <w:rsid w:val="00284E33"/>
    <w:rsid w:val="002864B7"/>
    <w:rsid w:val="00287297"/>
    <w:rsid w:val="00290EA4"/>
    <w:rsid w:val="0029271A"/>
    <w:rsid w:val="00292D3B"/>
    <w:rsid w:val="00295126"/>
    <w:rsid w:val="0029768B"/>
    <w:rsid w:val="00297765"/>
    <w:rsid w:val="002A042C"/>
    <w:rsid w:val="002A0C18"/>
    <w:rsid w:val="002A1946"/>
    <w:rsid w:val="002A1DD7"/>
    <w:rsid w:val="002A5BEF"/>
    <w:rsid w:val="002A71CD"/>
    <w:rsid w:val="002A7C8C"/>
    <w:rsid w:val="002B004E"/>
    <w:rsid w:val="002B040D"/>
    <w:rsid w:val="002B53D2"/>
    <w:rsid w:val="002B5684"/>
    <w:rsid w:val="002C06CD"/>
    <w:rsid w:val="002C2872"/>
    <w:rsid w:val="002C3A02"/>
    <w:rsid w:val="002C4A00"/>
    <w:rsid w:val="002D3657"/>
    <w:rsid w:val="002D4367"/>
    <w:rsid w:val="002D4BEB"/>
    <w:rsid w:val="002E2ED4"/>
    <w:rsid w:val="002E452A"/>
    <w:rsid w:val="002F2AC7"/>
    <w:rsid w:val="002F2D21"/>
    <w:rsid w:val="002F39C8"/>
    <w:rsid w:val="002F45DB"/>
    <w:rsid w:val="002F5130"/>
    <w:rsid w:val="002F5521"/>
    <w:rsid w:val="002F7E8E"/>
    <w:rsid w:val="0030010C"/>
    <w:rsid w:val="00300579"/>
    <w:rsid w:val="00300673"/>
    <w:rsid w:val="00300D62"/>
    <w:rsid w:val="00300EB3"/>
    <w:rsid w:val="00301E6F"/>
    <w:rsid w:val="0030207C"/>
    <w:rsid w:val="0030259F"/>
    <w:rsid w:val="003102DB"/>
    <w:rsid w:val="0031053C"/>
    <w:rsid w:val="00311D67"/>
    <w:rsid w:val="00312DDE"/>
    <w:rsid w:val="00313E60"/>
    <w:rsid w:val="003140A2"/>
    <w:rsid w:val="0032191B"/>
    <w:rsid w:val="003238BB"/>
    <w:rsid w:val="0032648F"/>
    <w:rsid w:val="00327646"/>
    <w:rsid w:val="00330340"/>
    <w:rsid w:val="00331760"/>
    <w:rsid w:val="0033295F"/>
    <w:rsid w:val="00334412"/>
    <w:rsid w:val="00336D05"/>
    <w:rsid w:val="00337F51"/>
    <w:rsid w:val="003463B4"/>
    <w:rsid w:val="00347BC1"/>
    <w:rsid w:val="00352259"/>
    <w:rsid w:val="003525C3"/>
    <w:rsid w:val="00355D03"/>
    <w:rsid w:val="003565E0"/>
    <w:rsid w:val="003577C7"/>
    <w:rsid w:val="003604BA"/>
    <w:rsid w:val="00360998"/>
    <w:rsid w:val="00360B06"/>
    <w:rsid w:val="00361312"/>
    <w:rsid w:val="0036182B"/>
    <w:rsid w:val="003664F1"/>
    <w:rsid w:val="00366634"/>
    <w:rsid w:val="003672FF"/>
    <w:rsid w:val="0037181D"/>
    <w:rsid w:val="00373920"/>
    <w:rsid w:val="003749EA"/>
    <w:rsid w:val="0037545C"/>
    <w:rsid w:val="00376597"/>
    <w:rsid w:val="003769EA"/>
    <w:rsid w:val="00381311"/>
    <w:rsid w:val="00391BA8"/>
    <w:rsid w:val="00392738"/>
    <w:rsid w:val="003937A0"/>
    <w:rsid w:val="00396235"/>
    <w:rsid w:val="00397964"/>
    <w:rsid w:val="003A46B1"/>
    <w:rsid w:val="003A645F"/>
    <w:rsid w:val="003B0A42"/>
    <w:rsid w:val="003C23DA"/>
    <w:rsid w:val="003C2A68"/>
    <w:rsid w:val="003C4557"/>
    <w:rsid w:val="003C5427"/>
    <w:rsid w:val="003C552F"/>
    <w:rsid w:val="003C608A"/>
    <w:rsid w:val="003C6402"/>
    <w:rsid w:val="003C6481"/>
    <w:rsid w:val="003D04FE"/>
    <w:rsid w:val="003D3AF3"/>
    <w:rsid w:val="003E2FD7"/>
    <w:rsid w:val="003E38D0"/>
    <w:rsid w:val="003E5E22"/>
    <w:rsid w:val="003E7721"/>
    <w:rsid w:val="003E7DC0"/>
    <w:rsid w:val="003F1AA3"/>
    <w:rsid w:val="00400437"/>
    <w:rsid w:val="00400711"/>
    <w:rsid w:val="004009F9"/>
    <w:rsid w:val="00401035"/>
    <w:rsid w:val="00402B6E"/>
    <w:rsid w:val="00404CF9"/>
    <w:rsid w:val="00407285"/>
    <w:rsid w:val="00407741"/>
    <w:rsid w:val="00407E7B"/>
    <w:rsid w:val="00407F76"/>
    <w:rsid w:val="00410FED"/>
    <w:rsid w:val="00411CE6"/>
    <w:rsid w:val="00412B89"/>
    <w:rsid w:val="00414F2C"/>
    <w:rsid w:val="00415809"/>
    <w:rsid w:val="00415F63"/>
    <w:rsid w:val="004171E2"/>
    <w:rsid w:val="0042003D"/>
    <w:rsid w:val="004216B7"/>
    <w:rsid w:val="004222FE"/>
    <w:rsid w:val="004223E2"/>
    <w:rsid w:val="00423B5C"/>
    <w:rsid w:val="00424895"/>
    <w:rsid w:val="00426459"/>
    <w:rsid w:val="00430075"/>
    <w:rsid w:val="0043408F"/>
    <w:rsid w:val="0043736F"/>
    <w:rsid w:val="00437BA2"/>
    <w:rsid w:val="004420CE"/>
    <w:rsid w:val="00444145"/>
    <w:rsid w:val="004462A0"/>
    <w:rsid w:val="00451EBC"/>
    <w:rsid w:val="00452B9F"/>
    <w:rsid w:val="0045329E"/>
    <w:rsid w:val="00456C7E"/>
    <w:rsid w:val="00457DE2"/>
    <w:rsid w:val="00462F27"/>
    <w:rsid w:val="004677F9"/>
    <w:rsid w:val="00471506"/>
    <w:rsid w:val="00471742"/>
    <w:rsid w:val="004734DA"/>
    <w:rsid w:val="0047610D"/>
    <w:rsid w:val="004777B2"/>
    <w:rsid w:val="004800D8"/>
    <w:rsid w:val="00480972"/>
    <w:rsid w:val="00480DD7"/>
    <w:rsid w:val="00482806"/>
    <w:rsid w:val="00484E2F"/>
    <w:rsid w:val="004863E2"/>
    <w:rsid w:val="00486651"/>
    <w:rsid w:val="0048684B"/>
    <w:rsid w:val="004908D7"/>
    <w:rsid w:val="00490B7E"/>
    <w:rsid w:val="00492A83"/>
    <w:rsid w:val="004933E7"/>
    <w:rsid w:val="00493F71"/>
    <w:rsid w:val="00494C02"/>
    <w:rsid w:val="004968B5"/>
    <w:rsid w:val="004A106A"/>
    <w:rsid w:val="004A292A"/>
    <w:rsid w:val="004A3221"/>
    <w:rsid w:val="004A4F11"/>
    <w:rsid w:val="004A5881"/>
    <w:rsid w:val="004B18ED"/>
    <w:rsid w:val="004B2019"/>
    <w:rsid w:val="004B2873"/>
    <w:rsid w:val="004B2D63"/>
    <w:rsid w:val="004B45C4"/>
    <w:rsid w:val="004B7807"/>
    <w:rsid w:val="004C1082"/>
    <w:rsid w:val="004C3194"/>
    <w:rsid w:val="004C473D"/>
    <w:rsid w:val="004C501C"/>
    <w:rsid w:val="004C6691"/>
    <w:rsid w:val="004D2292"/>
    <w:rsid w:val="004D5E8C"/>
    <w:rsid w:val="004D6EB1"/>
    <w:rsid w:val="004D7F9F"/>
    <w:rsid w:val="004E0EDD"/>
    <w:rsid w:val="004E1DCF"/>
    <w:rsid w:val="004E3AA1"/>
    <w:rsid w:val="004E3C78"/>
    <w:rsid w:val="004E7F9D"/>
    <w:rsid w:val="004F386A"/>
    <w:rsid w:val="00501BC8"/>
    <w:rsid w:val="00502B1F"/>
    <w:rsid w:val="00504136"/>
    <w:rsid w:val="00504811"/>
    <w:rsid w:val="0050577F"/>
    <w:rsid w:val="005059DF"/>
    <w:rsid w:val="00507798"/>
    <w:rsid w:val="005117FC"/>
    <w:rsid w:val="00515A60"/>
    <w:rsid w:val="00520409"/>
    <w:rsid w:val="00521B21"/>
    <w:rsid w:val="00522F20"/>
    <w:rsid w:val="00522FA9"/>
    <w:rsid w:val="00526F60"/>
    <w:rsid w:val="00527E4C"/>
    <w:rsid w:val="00530055"/>
    <w:rsid w:val="0053017D"/>
    <w:rsid w:val="00531341"/>
    <w:rsid w:val="005316EA"/>
    <w:rsid w:val="00533228"/>
    <w:rsid w:val="005335DC"/>
    <w:rsid w:val="00535245"/>
    <w:rsid w:val="005369A0"/>
    <w:rsid w:val="005400EF"/>
    <w:rsid w:val="00542C54"/>
    <w:rsid w:val="00543779"/>
    <w:rsid w:val="00544147"/>
    <w:rsid w:val="00545694"/>
    <w:rsid w:val="00547431"/>
    <w:rsid w:val="005521CB"/>
    <w:rsid w:val="005539A6"/>
    <w:rsid w:val="0055572F"/>
    <w:rsid w:val="00555781"/>
    <w:rsid w:val="00562667"/>
    <w:rsid w:val="00566A75"/>
    <w:rsid w:val="00571269"/>
    <w:rsid w:val="00571CFA"/>
    <w:rsid w:val="005754D5"/>
    <w:rsid w:val="00575CD0"/>
    <w:rsid w:val="00576AF5"/>
    <w:rsid w:val="00580C1E"/>
    <w:rsid w:val="0058118C"/>
    <w:rsid w:val="00582CE4"/>
    <w:rsid w:val="00582FDA"/>
    <w:rsid w:val="00583C0C"/>
    <w:rsid w:val="00583F8D"/>
    <w:rsid w:val="00585A95"/>
    <w:rsid w:val="00585E5B"/>
    <w:rsid w:val="00586EFB"/>
    <w:rsid w:val="00587E6D"/>
    <w:rsid w:val="00590CFC"/>
    <w:rsid w:val="005929CF"/>
    <w:rsid w:val="0059377A"/>
    <w:rsid w:val="005942AF"/>
    <w:rsid w:val="005970A7"/>
    <w:rsid w:val="005A159E"/>
    <w:rsid w:val="005A33AA"/>
    <w:rsid w:val="005A6B59"/>
    <w:rsid w:val="005A7019"/>
    <w:rsid w:val="005B1AFC"/>
    <w:rsid w:val="005B3147"/>
    <w:rsid w:val="005B3C23"/>
    <w:rsid w:val="005B727A"/>
    <w:rsid w:val="005C31C1"/>
    <w:rsid w:val="005C5096"/>
    <w:rsid w:val="005C5B6A"/>
    <w:rsid w:val="005D07F1"/>
    <w:rsid w:val="005D5190"/>
    <w:rsid w:val="005D5688"/>
    <w:rsid w:val="005E048A"/>
    <w:rsid w:val="005E0FD1"/>
    <w:rsid w:val="005E5F17"/>
    <w:rsid w:val="005E76ED"/>
    <w:rsid w:val="005E7770"/>
    <w:rsid w:val="005E7B07"/>
    <w:rsid w:val="005F0414"/>
    <w:rsid w:val="005F1687"/>
    <w:rsid w:val="005F239E"/>
    <w:rsid w:val="005F3BE7"/>
    <w:rsid w:val="005F4FB7"/>
    <w:rsid w:val="005F7401"/>
    <w:rsid w:val="005F7698"/>
    <w:rsid w:val="006004F2"/>
    <w:rsid w:val="006028EA"/>
    <w:rsid w:val="00602C92"/>
    <w:rsid w:val="006039DA"/>
    <w:rsid w:val="006071C6"/>
    <w:rsid w:val="0060782D"/>
    <w:rsid w:val="0061119F"/>
    <w:rsid w:val="00615AB7"/>
    <w:rsid w:val="00620573"/>
    <w:rsid w:val="00626525"/>
    <w:rsid w:val="00626A57"/>
    <w:rsid w:val="006327ED"/>
    <w:rsid w:val="00633493"/>
    <w:rsid w:val="006366E4"/>
    <w:rsid w:val="0064117E"/>
    <w:rsid w:val="00641954"/>
    <w:rsid w:val="00642D72"/>
    <w:rsid w:val="00645D2C"/>
    <w:rsid w:val="0065097B"/>
    <w:rsid w:val="00651752"/>
    <w:rsid w:val="00652E2E"/>
    <w:rsid w:val="00656206"/>
    <w:rsid w:val="00660213"/>
    <w:rsid w:val="0066098E"/>
    <w:rsid w:val="006646C5"/>
    <w:rsid w:val="00666E47"/>
    <w:rsid w:val="00670499"/>
    <w:rsid w:val="006709CA"/>
    <w:rsid w:val="00670C58"/>
    <w:rsid w:val="0067194D"/>
    <w:rsid w:val="00672BAA"/>
    <w:rsid w:val="00674393"/>
    <w:rsid w:val="00676E26"/>
    <w:rsid w:val="006776CB"/>
    <w:rsid w:val="00683AA3"/>
    <w:rsid w:val="00684AC4"/>
    <w:rsid w:val="00685215"/>
    <w:rsid w:val="00685869"/>
    <w:rsid w:val="006904CD"/>
    <w:rsid w:val="006920C1"/>
    <w:rsid w:val="006940E1"/>
    <w:rsid w:val="006946F5"/>
    <w:rsid w:val="00694787"/>
    <w:rsid w:val="006A0347"/>
    <w:rsid w:val="006A04D0"/>
    <w:rsid w:val="006A6EFA"/>
    <w:rsid w:val="006A71FF"/>
    <w:rsid w:val="006B02FF"/>
    <w:rsid w:val="006B0C84"/>
    <w:rsid w:val="006B1A7D"/>
    <w:rsid w:val="006B246E"/>
    <w:rsid w:val="006B4A9A"/>
    <w:rsid w:val="006B5C1D"/>
    <w:rsid w:val="006B5FC9"/>
    <w:rsid w:val="006B7E66"/>
    <w:rsid w:val="006C0255"/>
    <w:rsid w:val="006C02D7"/>
    <w:rsid w:val="006C2968"/>
    <w:rsid w:val="006C462B"/>
    <w:rsid w:val="006D0660"/>
    <w:rsid w:val="006D0A26"/>
    <w:rsid w:val="006D1C6F"/>
    <w:rsid w:val="006D1FBA"/>
    <w:rsid w:val="006D33E5"/>
    <w:rsid w:val="006D37D5"/>
    <w:rsid w:val="006D3D3A"/>
    <w:rsid w:val="006D5A3A"/>
    <w:rsid w:val="006D7599"/>
    <w:rsid w:val="006E5C2E"/>
    <w:rsid w:val="006F0C1A"/>
    <w:rsid w:val="006F1016"/>
    <w:rsid w:val="006F120B"/>
    <w:rsid w:val="00700D4F"/>
    <w:rsid w:val="007017C1"/>
    <w:rsid w:val="00703F72"/>
    <w:rsid w:val="007045C4"/>
    <w:rsid w:val="00704D49"/>
    <w:rsid w:val="00710675"/>
    <w:rsid w:val="00712A0C"/>
    <w:rsid w:val="007140A8"/>
    <w:rsid w:val="00714A69"/>
    <w:rsid w:val="007203F9"/>
    <w:rsid w:val="00722F2A"/>
    <w:rsid w:val="007317E7"/>
    <w:rsid w:val="00732AA4"/>
    <w:rsid w:val="0073420E"/>
    <w:rsid w:val="0073468A"/>
    <w:rsid w:val="007353DE"/>
    <w:rsid w:val="0074187E"/>
    <w:rsid w:val="00742121"/>
    <w:rsid w:val="00742918"/>
    <w:rsid w:val="0074364B"/>
    <w:rsid w:val="00744627"/>
    <w:rsid w:val="007447B2"/>
    <w:rsid w:val="00745008"/>
    <w:rsid w:val="00751B41"/>
    <w:rsid w:val="00752307"/>
    <w:rsid w:val="00753ED0"/>
    <w:rsid w:val="0075467D"/>
    <w:rsid w:val="00755A46"/>
    <w:rsid w:val="007567B3"/>
    <w:rsid w:val="00760C5C"/>
    <w:rsid w:val="007612E8"/>
    <w:rsid w:val="00761F1A"/>
    <w:rsid w:val="00761F28"/>
    <w:rsid w:val="00762A7A"/>
    <w:rsid w:val="00764446"/>
    <w:rsid w:val="00765897"/>
    <w:rsid w:val="0077133D"/>
    <w:rsid w:val="00771BAE"/>
    <w:rsid w:val="007763CB"/>
    <w:rsid w:val="007766BF"/>
    <w:rsid w:val="00776806"/>
    <w:rsid w:val="0078016B"/>
    <w:rsid w:val="00783D6F"/>
    <w:rsid w:val="00784378"/>
    <w:rsid w:val="0078506A"/>
    <w:rsid w:val="0078510C"/>
    <w:rsid w:val="0078630B"/>
    <w:rsid w:val="00787381"/>
    <w:rsid w:val="00787B69"/>
    <w:rsid w:val="00791707"/>
    <w:rsid w:val="007930DF"/>
    <w:rsid w:val="007943F7"/>
    <w:rsid w:val="00797D8B"/>
    <w:rsid w:val="007A00C3"/>
    <w:rsid w:val="007A2A44"/>
    <w:rsid w:val="007A4107"/>
    <w:rsid w:val="007A4CF6"/>
    <w:rsid w:val="007A6703"/>
    <w:rsid w:val="007B00FC"/>
    <w:rsid w:val="007B0100"/>
    <w:rsid w:val="007B1C61"/>
    <w:rsid w:val="007B1F8E"/>
    <w:rsid w:val="007B3621"/>
    <w:rsid w:val="007B386B"/>
    <w:rsid w:val="007C0C28"/>
    <w:rsid w:val="007C2CFC"/>
    <w:rsid w:val="007C50EC"/>
    <w:rsid w:val="007C577F"/>
    <w:rsid w:val="007C7358"/>
    <w:rsid w:val="007D0A0C"/>
    <w:rsid w:val="007D332C"/>
    <w:rsid w:val="007D6703"/>
    <w:rsid w:val="007D6F9F"/>
    <w:rsid w:val="007E0754"/>
    <w:rsid w:val="007E0BC8"/>
    <w:rsid w:val="007E1622"/>
    <w:rsid w:val="007E27FA"/>
    <w:rsid w:val="007E4B75"/>
    <w:rsid w:val="007E6E09"/>
    <w:rsid w:val="007E6E18"/>
    <w:rsid w:val="007F784D"/>
    <w:rsid w:val="007F7DB9"/>
    <w:rsid w:val="008020A6"/>
    <w:rsid w:val="00803E8A"/>
    <w:rsid w:val="00806C1E"/>
    <w:rsid w:val="00807260"/>
    <w:rsid w:val="00807321"/>
    <w:rsid w:val="00811604"/>
    <w:rsid w:val="00812565"/>
    <w:rsid w:val="008139F2"/>
    <w:rsid w:val="00814A07"/>
    <w:rsid w:val="00815DFD"/>
    <w:rsid w:val="008170B6"/>
    <w:rsid w:val="00823F41"/>
    <w:rsid w:val="00824607"/>
    <w:rsid w:val="00824998"/>
    <w:rsid w:val="00824A60"/>
    <w:rsid w:val="00836EB9"/>
    <w:rsid w:val="00837B86"/>
    <w:rsid w:val="008420DD"/>
    <w:rsid w:val="00843511"/>
    <w:rsid w:val="00844458"/>
    <w:rsid w:val="00845A49"/>
    <w:rsid w:val="008472B1"/>
    <w:rsid w:val="00847C72"/>
    <w:rsid w:val="00847CFA"/>
    <w:rsid w:val="00850BD6"/>
    <w:rsid w:val="008534B2"/>
    <w:rsid w:val="008559C8"/>
    <w:rsid w:val="0085766A"/>
    <w:rsid w:val="008601DE"/>
    <w:rsid w:val="00860959"/>
    <w:rsid w:val="00862827"/>
    <w:rsid w:val="00862D1E"/>
    <w:rsid w:val="008647DD"/>
    <w:rsid w:val="0086796E"/>
    <w:rsid w:val="00867D58"/>
    <w:rsid w:val="008712B8"/>
    <w:rsid w:val="008763A1"/>
    <w:rsid w:val="008766D2"/>
    <w:rsid w:val="00880A5B"/>
    <w:rsid w:val="008831A8"/>
    <w:rsid w:val="00883E1A"/>
    <w:rsid w:val="0088448F"/>
    <w:rsid w:val="00887C02"/>
    <w:rsid w:val="0089454D"/>
    <w:rsid w:val="008A2540"/>
    <w:rsid w:val="008A38B8"/>
    <w:rsid w:val="008A39B1"/>
    <w:rsid w:val="008A44E9"/>
    <w:rsid w:val="008A4F49"/>
    <w:rsid w:val="008A5565"/>
    <w:rsid w:val="008A55F7"/>
    <w:rsid w:val="008A7099"/>
    <w:rsid w:val="008B3B3A"/>
    <w:rsid w:val="008B3C0E"/>
    <w:rsid w:val="008B4759"/>
    <w:rsid w:val="008B4ECB"/>
    <w:rsid w:val="008B5143"/>
    <w:rsid w:val="008B5FE3"/>
    <w:rsid w:val="008B6065"/>
    <w:rsid w:val="008C22A6"/>
    <w:rsid w:val="008C439A"/>
    <w:rsid w:val="008C4529"/>
    <w:rsid w:val="008C6B8B"/>
    <w:rsid w:val="008D0942"/>
    <w:rsid w:val="008D21E2"/>
    <w:rsid w:val="008E2DAE"/>
    <w:rsid w:val="008E6994"/>
    <w:rsid w:val="008F19E3"/>
    <w:rsid w:val="008F20C3"/>
    <w:rsid w:val="008F3306"/>
    <w:rsid w:val="008F7BE4"/>
    <w:rsid w:val="00900112"/>
    <w:rsid w:val="00902B3F"/>
    <w:rsid w:val="009040F4"/>
    <w:rsid w:val="00904666"/>
    <w:rsid w:val="00905144"/>
    <w:rsid w:val="009057D7"/>
    <w:rsid w:val="00910B51"/>
    <w:rsid w:val="009126DC"/>
    <w:rsid w:val="009151FA"/>
    <w:rsid w:val="009154D4"/>
    <w:rsid w:val="00920434"/>
    <w:rsid w:val="00921AE8"/>
    <w:rsid w:val="00922B09"/>
    <w:rsid w:val="009236BF"/>
    <w:rsid w:val="0092717D"/>
    <w:rsid w:val="00930619"/>
    <w:rsid w:val="009313CA"/>
    <w:rsid w:val="0093170B"/>
    <w:rsid w:val="00933259"/>
    <w:rsid w:val="009338B8"/>
    <w:rsid w:val="00934D6F"/>
    <w:rsid w:val="00936C24"/>
    <w:rsid w:val="009414EE"/>
    <w:rsid w:val="00942FE9"/>
    <w:rsid w:val="00945114"/>
    <w:rsid w:val="009512B4"/>
    <w:rsid w:val="009519DB"/>
    <w:rsid w:val="009537DD"/>
    <w:rsid w:val="00954019"/>
    <w:rsid w:val="00954D96"/>
    <w:rsid w:val="0095649B"/>
    <w:rsid w:val="00956E1C"/>
    <w:rsid w:val="0096323F"/>
    <w:rsid w:val="00963AAD"/>
    <w:rsid w:val="00963BF4"/>
    <w:rsid w:val="009647EC"/>
    <w:rsid w:val="00966144"/>
    <w:rsid w:val="00967D2A"/>
    <w:rsid w:val="00970CCB"/>
    <w:rsid w:val="0097282E"/>
    <w:rsid w:val="009728D0"/>
    <w:rsid w:val="009768F6"/>
    <w:rsid w:val="009820FE"/>
    <w:rsid w:val="00983570"/>
    <w:rsid w:val="009908EF"/>
    <w:rsid w:val="00990FA9"/>
    <w:rsid w:val="009925D8"/>
    <w:rsid w:val="00992ABA"/>
    <w:rsid w:val="0099406A"/>
    <w:rsid w:val="00994076"/>
    <w:rsid w:val="00995360"/>
    <w:rsid w:val="009A1094"/>
    <w:rsid w:val="009A4CD6"/>
    <w:rsid w:val="009A4DC3"/>
    <w:rsid w:val="009A6450"/>
    <w:rsid w:val="009B3616"/>
    <w:rsid w:val="009B48E8"/>
    <w:rsid w:val="009B5EF0"/>
    <w:rsid w:val="009B785D"/>
    <w:rsid w:val="009C02F2"/>
    <w:rsid w:val="009C1E6E"/>
    <w:rsid w:val="009C2755"/>
    <w:rsid w:val="009C4853"/>
    <w:rsid w:val="009D2467"/>
    <w:rsid w:val="009D5326"/>
    <w:rsid w:val="009D6B1B"/>
    <w:rsid w:val="009E0443"/>
    <w:rsid w:val="009E1455"/>
    <w:rsid w:val="009E2FE4"/>
    <w:rsid w:val="009E3782"/>
    <w:rsid w:val="009E381E"/>
    <w:rsid w:val="009E467E"/>
    <w:rsid w:val="009F3C62"/>
    <w:rsid w:val="009F3F42"/>
    <w:rsid w:val="009F7769"/>
    <w:rsid w:val="009F7A8D"/>
    <w:rsid w:val="009F7AA6"/>
    <w:rsid w:val="00A018BE"/>
    <w:rsid w:val="00A037A9"/>
    <w:rsid w:val="00A03B8C"/>
    <w:rsid w:val="00A053C5"/>
    <w:rsid w:val="00A05C41"/>
    <w:rsid w:val="00A114A3"/>
    <w:rsid w:val="00A15AA2"/>
    <w:rsid w:val="00A16CE2"/>
    <w:rsid w:val="00A17705"/>
    <w:rsid w:val="00A23225"/>
    <w:rsid w:val="00A23304"/>
    <w:rsid w:val="00A23522"/>
    <w:rsid w:val="00A244C7"/>
    <w:rsid w:val="00A244ED"/>
    <w:rsid w:val="00A25EBD"/>
    <w:rsid w:val="00A304CC"/>
    <w:rsid w:val="00A3145D"/>
    <w:rsid w:val="00A32A90"/>
    <w:rsid w:val="00A337D4"/>
    <w:rsid w:val="00A33DAE"/>
    <w:rsid w:val="00A33F98"/>
    <w:rsid w:val="00A34BB7"/>
    <w:rsid w:val="00A40074"/>
    <w:rsid w:val="00A401C2"/>
    <w:rsid w:val="00A41709"/>
    <w:rsid w:val="00A41885"/>
    <w:rsid w:val="00A42FCC"/>
    <w:rsid w:val="00A43530"/>
    <w:rsid w:val="00A5282A"/>
    <w:rsid w:val="00A536BB"/>
    <w:rsid w:val="00A54174"/>
    <w:rsid w:val="00A551DD"/>
    <w:rsid w:val="00A560C5"/>
    <w:rsid w:val="00A56FAC"/>
    <w:rsid w:val="00A61997"/>
    <w:rsid w:val="00A61B03"/>
    <w:rsid w:val="00A6427F"/>
    <w:rsid w:val="00A651CB"/>
    <w:rsid w:val="00A66B24"/>
    <w:rsid w:val="00A76177"/>
    <w:rsid w:val="00A765EF"/>
    <w:rsid w:val="00A76EB0"/>
    <w:rsid w:val="00A829E1"/>
    <w:rsid w:val="00A83DF0"/>
    <w:rsid w:val="00A8601A"/>
    <w:rsid w:val="00A87BA4"/>
    <w:rsid w:val="00A91465"/>
    <w:rsid w:val="00A92F2D"/>
    <w:rsid w:val="00A933C0"/>
    <w:rsid w:val="00A956C8"/>
    <w:rsid w:val="00A9768F"/>
    <w:rsid w:val="00AA085B"/>
    <w:rsid w:val="00AA1D92"/>
    <w:rsid w:val="00AA4E07"/>
    <w:rsid w:val="00AA6771"/>
    <w:rsid w:val="00AA70CB"/>
    <w:rsid w:val="00AB0457"/>
    <w:rsid w:val="00AB0EB7"/>
    <w:rsid w:val="00AB11E2"/>
    <w:rsid w:val="00AB21C4"/>
    <w:rsid w:val="00AB29A8"/>
    <w:rsid w:val="00AB2DE5"/>
    <w:rsid w:val="00AB3F4B"/>
    <w:rsid w:val="00AB4590"/>
    <w:rsid w:val="00AB7965"/>
    <w:rsid w:val="00AC10B9"/>
    <w:rsid w:val="00AC1EFD"/>
    <w:rsid w:val="00AC581C"/>
    <w:rsid w:val="00AC6134"/>
    <w:rsid w:val="00AC613C"/>
    <w:rsid w:val="00AD1935"/>
    <w:rsid w:val="00AD45D8"/>
    <w:rsid w:val="00AD6CFB"/>
    <w:rsid w:val="00AD6FCA"/>
    <w:rsid w:val="00AE072F"/>
    <w:rsid w:val="00AE2AAD"/>
    <w:rsid w:val="00AE31BD"/>
    <w:rsid w:val="00AE35AF"/>
    <w:rsid w:val="00AE56E6"/>
    <w:rsid w:val="00AE63D4"/>
    <w:rsid w:val="00AE648C"/>
    <w:rsid w:val="00AE77E1"/>
    <w:rsid w:val="00AF0672"/>
    <w:rsid w:val="00AF2364"/>
    <w:rsid w:val="00AF480F"/>
    <w:rsid w:val="00AF514E"/>
    <w:rsid w:val="00AF731C"/>
    <w:rsid w:val="00AF77A4"/>
    <w:rsid w:val="00B01888"/>
    <w:rsid w:val="00B0193B"/>
    <w:rsid w:val="00B01984"/>
    <w:rsid w:val="00B06284"/>
    <w:rsid w:val="00B111FB"/>
    <w:rsid w:val="00B12783"/>
    <w:rsid w:val="00B1320B"/>
    <w:rsid w:val="00B13CDA"/>
    <w:rsid w:val="00B146B1"/>
    <w:rsid w:val="00B155E4"/>
    <w:rsid w:val="00B16A9F"/>
    <w:rsid w:val="00B21B38"/>
    <w:rsid w:val="00B21B87"/>
    <w:rsid w:val="00B23BCF"/>
    <w:rsid w:val="00B2459A"/>
    <w:rsid w:val="00B24FEC"/>
    <w:rsid w:val="00B2781D"/>
    <w:rsid w:val="00B27BE3"/>
    <w:rsid w:val="00B31BFA"/>
    <w:rsid w:val="00B323BB"/>
    <w:rsid w:val="00B34A6D"/>
    <w:rsid w:val="00B3653A"/>
    <w:rsid w:val="00B3663B"/>
    <w:rsid w:val="00B41BF6"/>
    <w:rsid w:val="00B44272"/>
    <w:rsid w:val="00B44EA0"/>
    <w:rsid w:val="00B4764C"/>
    <w:rsid w:val="00B47DF7"/>
    <w:rsid w:val="00B51097"/>
    <w:rsid w:val="00B51812"/>
    <w:rsid w:val="00B51FEA"/>
    <w:rsid w:val="00B522EE"/>
    <w:rsid w:val="00B542DA"/>
    <w:rsid w:val="00B62247"/>
    <w:rsid w:val="00B6555D"/>
    <w:rsid w:val="00B65CD3"/>
    <w:rsid w:val="00B704BB"/>
    <w:rsid w:val="00B724DE"/>
    <w:rsid w:val="00B732C8"/>
    <w:rsid w:val="00B739F4"/>
    <w:rsid w:val="00B771CF"/>
    <w:rsid w:val="00B813C2"/>
    <w:rsid w:val="00B81BD6"/>
    <w:rsid w:val="00B8207D"/>
    <w:rsid w:val="00B84730"/>
    <w:rsid w:val="00B852F3"/>
    <w:rsid w:val="00B87F9F"/>
    <w:rsid w:val="00B906CA"/>
    <w:rsid w:val="00B90B6C"/>
    <w:rsid w:val="00B92705"/>
    <w:rsid w:val="00B92FD9"/>
    <w:rsid w:val="00B94CF2"/>
    <w:rsid w:val="00BA040F"/>
    <w:rsid w:val="00BA195D"/>
    <w:rsid w:val="00BA21F7"/>
    <w:rsid w:val="00BA3789"/>
    <w:rsid w:val="00BB2748"/>
    <w:rsid w:val="00BB3A55"/>
    <w:rsid w:val="00BB50FC"/>
    <w:rsid w:val="00BB5CD3"/>
    <w:rsid w:val="00BB6704"/>
    <w:rsid w:val="00BB6758"/>
    <w:rsid w:val="00BB6760"/>
    <w:rsid w:val="00BB78C4"/>
    <w:rsid w:val="00BB7A15"/>
    <w:rsid w:val="00BC0567"/>
    <w:rsid w:val="00BC1336"/>
    <w:rsid w:val="00BC3745"/>
    <w:rsid w:val="00BC5978"/>
    <w:rsid w:val="00BC6421"/>
    <w:rsid w:val="00BD2984"/>
    <w:rsid w:val="00BD2FFC"/>
    <w:rsid w:val="00BD4766"/>
    <w:rsid w:val="00BD537B"/>
    <w:rsid w:val="00BD591B"/>
    <w:rsid w:val="00BD5E18"/>
    <w:rsid w:val="00BD7127"/>
    <w:rsid w:val="00BD719E"/>
    <w:rsid w:val="00BD7748"/>
    <w:rsid w:val="00BE368D"/>
    <w:rsid w:val="00BE5164"/>
    <w:rsid w:val="00BE6019"/>
    <w:rsid w:val="00BE7059"/>
    <w:rsid w:val="00BF1040"/>
    <w:rsid w:val="00BF1725"/>
    <w:rsid w:val="00BF1E68"/>
    <w:rsid w:val="00BF4BAD"/>
    <w:rsid w:val="00C02A2F"/>
    <w:rsid w:val="00C05799"/>
    <w:rsid w:val="00C07F6F"/>
    <w:rsid w:val="00C10BB8"/>
    <w:rsid w:val="00C119D9"/>
    <w:rsid w:val="00C251C8"/>
    <w:rsid w:val="00C26BE5"/>
    <w:rsid w:val="00C26F51"/>
    <w:rsid w:val="00C27CF6"/>
    <w:rsid w:val="00C27F2E"/>
    <w:rsid w:val="00C30626"/>
    <w:rsid w:val="00C31D34"/>
    <w:rsid w:val="00C32C69"/>
    <w:rsid w:val="00C370D3"/>
    <w:rsid w:val="00C4291B"/>
    <w:rsid w:val="00C43D88"/>
    <w:rsid w:val="00C45C4D"/>
    <w:rsid w:val="00C474E0"/>
    <w:rsid w:val="00C51387"/>
    <w:rsid w:val="00C51852"/>
    <w:rsid w:val="00C523C5"/>
    <w:rsid w:val="00C5267C"/>
    <w:rsid w:val="00C54D68"/>
    <w:rsid w:val="00C6025B"/>
    <w:rsid w:val="00C60BE1"/>
    <w:rsid w:val="00C611CE"/>
    <w:rsid w:val="00C61ADD"/>
    <w:rsid w:val="00C65474"/>
    <w:rsid w:val="00C677CD"/>
    <w:rsid w:val="00C70639"/>
    <w:rsid w:val="00C716C2"/>
    <w:rsid w:val="00C721EA"/>
    <w:rsid w:val="00C73E7F"/>
    <w:rsid w:val="00C7559E"/>
    <w:rsid w:val="00C75D3D"/>
    <w:rsid w:val="00C766C7"/>
    <w:rsid w:val="00C7732A"/>
    <w:rsid w:val="00C7748A"/>
    <w:rsid w:val="00C834A2"/>
    <w:rsid w:val="00C83EC9"/>
    <w:rsid w:val="00C8735F"/>
    <w:rsid w:val="00C91820"/>
    <w:rsid w:val="00C91F25"/>
    <w:rsid w:val="00C92298"/>
    <w:rsid w:val="00C92C87"/>
    <w:rsid w:val="00C93775"/>
    <w:rsid w:val="00C94D69"/>
    <w:rsid w:val="00C95080"/>
    <w:rsid w:val="00C972E6"/>
    <w:rsid w:val="00CA0CCA"/>
    <w:rsid w:val="00CA71B2"/>
    <w:rsid w:val="00CB1DCB"/>
    <w:rsid w:val="00CB6927"/>
    <w:rsid w:val="00CB6D04"/>
    <w:rsid w:val="00CC22C6"/>
    <w:rsid w:val="00CC30CD"/>
    <w:rsid w:val="00CC33DE"/>
    <w:rsid w:val="00CC3C73"/>
    <w:rsid w:val="00CC67FF"/>
    <w:rsid w:val="00CC6C09"/>
    <w:rsid w:val="00CD2F4A"/>
    <w:rsid w:val="00CD3F67"/>
    <w:rsid w:val="00CE0C40"/>
    <w:rsid w:val="00CE0EFE"/>
    <w:rsid w:val="00CE38BE"/>
    <w:rsid w:val="00CE69F5"/>
    <w:rsid w:val="00CE70E0"/>
    <w:rsid w:val="00CF0075"/>
    <w:rsid w:val="00CF1E47"/>
    <w:rsid w:val="00CF4F4E"/>
    <w:rsid w:val="00CF6870"/>
    <w:rsid w:val="00CF77C2"/>
    <w:rsid w:val="00D00B71"/>
    <w:rsid w:val="00D04564"/>
    <w:rsid w:val="00D05F4E"/>
    <w:rsid w:val="00D065D2"/>
    <w:rsid w:val="00D0693B"/>
    <w:rsid w:val="00D06F44"/>
    <w:rsid w:val="00D16201"/>
    <w:rsid w:val="00D177C3"/>
    <w:rsid w:val="00D2046B"/>
    <w:rsid w:val="00D23600"/>
    <w:rsid w:val="00D2669A"/>
    <w:rsid w:val="00D327B3"/>
    <w:rsid w:val="00D331A0"/>
    <w:rsid w:val="00D3399B"/>
    <w:rsid w:val="00D34440"/>
    <w:rsid w:val="00D34A7B"/>
    <w:rsid w:val="00D34C2B"/>
    <w:rsid w:val="00D41C20"/>
    <w:rsid w:val="00D52113"/>
    <w:rsid w:val="00D53E9B"/>
    <w:rsid w:val="00D543F2"/>
    <w:rsid w:val="00D57BF7"/>
    <w:rsid w:val="00D6164F"/>
    <w:rsid w:val="00D62E4E"/>
    <w:rsid w:val="00D66046"/>
    <w:rsid w:val="00D670EB"/>
    <w:rsid w:val="00D67389"/>
    <w:rsid w:val="00D7603E"/>
    <w:rsid w:val="00D761FA"/>
    <w:rsid w:val="00D77963"/>
    <w:rsid w:val="00D803D5"/>
    <w:rsid w:val="00D8088D"/>
    <w:rsid w:val="00D81255"/>
    <w:rsid w:val="00D81272"/>
    <w:rsid w:val="00D817A3"/>
    <w:rsid w:val="00D82B71"/>
    <w:rsid w:val="00D85F0C"/>
    <w:rsid w:val="00D867C7"/>
    <w:rsid w:val="00D86ABC"/>
    <w:rsid w:val="00D91623"/>
    <w:rsid w:val="00D93967"/>
    <w:rsid w:val="00D94EDF"/>
    <w:rsid w:val="00D953C5"/>
    <w:rsid w:val="00DA13BE"/>
    <w:rsid w:val="00DA31A8"/>
    <w:rsid w:val="00DA7939"/>
    <w:rsid w:val="00DB088C"/>
    <w:rsid w:val="00DB479C"/>
    <w:rsid w:val="00DB5BEA"/>
    <w:rsid w:val="00DB77B5"/>
    <w:rsid w:val="00DC331B"/>
    <w:rsid w:val="00DC355A"/>
    <w:rsid w:val="00DC47D1"/>
    <w:rsid w:val="00DC738A"/>
    <w:rsid w:val="00DD1979"/>
    <w:rsid w:val="00DD1D36"/>
    <w:rsid w:val="00DD3294"/>
    <w:rsid w:val="00DD49D9"/>
    <w:rsid w:val="00DD6BC5"/>
    <w:rsid w:val="00DE0745"/>
    <w:rsid w:val="00DE2F99"/>
    <w:rsid w:val="00DE31E7"/>
    <w:rsid w:val="00DE4063"/>
    <w:rsid w:val="00DE45E3"/>
    <w:rsid w:val="00DE5012"/>
    <w:rsid w:val="00DF04F8"/>
    <w:rsid w:val="00DF2F72"/>
    <w:rsid w:val="00DF342A"/>
    <w:rsid w:val="00DF55D3"/>
    <w:rsid w:val="00DF5C32"/>
    <w:rsid w:val="00DF7F76"/>
    <w:rsid w:val="00E101F5"/>
    <w:rsid w:val="00E1361A"/>
    <w:rsid w:val="00E14A03"/>
    <w:rsid w:val="00E164D1"/>
    <w:rsid w:val="00E25783"/>
    <w:rsid w:val="00E27BBB"/>
    <w:rsid w:val="00E305F8"/>
    <w:rsid w:val="00E33449"/>
    <w:rsid w:val="00E35379"/>
    <w:rsid w:val="00E36649"/>
    <w:rsid w:val="00E36771"/>
    <w:rsid w:val="00E37F99"/>
    <w:rsid w:val="00E40551"/>
    <w:rsid w:val="00E41696"/>
    <w:rsid w:val="00E42023"/>
    <w:rsid w:val="00E4378E"/>
    <w:rsid w:val="00E45598"/>
    <w:rsid w:val="00E502BD"/>
    <w:rsid w:val="00E50D79"/>
    <w:rsid w:val="00E51F2C"/>
    <w:rsid w:val="00E5297F"/>
    <w:rsid w:val="00E540B6"/>
    <w:rsid w:val="00E57E4D"/>
    <w:rsid w:val="00E6187C"/>
    <w:rsid w:val="00E6389D"/>
    <w:rsid w:val="00E64F94"/>
    <w:rsid w:val="00E651B7"/>
    <w:rsid w:val="00E6600F"/>
    <w:rsid w:val="00E733AC"/>
    <w:rsid w:val="00E766BE"/>
    <w:rsid w:val="00E76B51"/>
    <w:rsid w:val="00E80B82"/>
    <w:rsid w:val="00E81596"/>
    <w:rsid w:val="00E82B5A"/>
    <w:rsid w:val="00E82D02"/>
    <w:rsid w:val="00E85D8A"/>
    <w:rsid w:val="00E86200"/>
    <w:rsid w:val="00E90105"/>
    <w:rsid w:val="00E909F3"/>
    <w:rsid w:val="00E91E34"/>
    <w:rsid w:val="00E96FF4"/>
    <w:rsid w:val="00EA0A57"/>
    <w:rsid w:val="00EA0F5D"/>
    <w:rsid w:val="00EA4288"/>
    <w:rsid w:val="00EA5612"/>
    <w:rsid w:val="00EA62EF"/>
    <w:rsid w:val="00EB0BD1"/>
    <w:rsid w:val="00EB27DB"/>
    <w:rsid w:val="00EB2F68"/>
    <w:rsid w:val="00EB45C7"/>
    <w:rsid w:val="00EB77AD"/>
    <w:rsid w:val="00EC394E"/>
    <w:rsid w:val="00ED04C7"/>
    <w:rsid w:val="00ED2FA8"/>
    <w:rsid w:val="00ED2FE9"/>
    <w:rsid w:val="00EE172A"/>
    <w:rsid w:val="00EE31CD"/>
    <w:rsid w:val="00EE3D11"/>
    <w:rsid w:val="00EE454D"/>
    <w:rsid w:val="00EF1495"/>
    <w:rsid w:val="00EF1783"/>
    <w:rsid w:val="00EF1870"/>
    <w:rsid w:val="00EF1B73"/>
    <w:rsid w:val="00EF5CAA"/>
    <w:rsid w:val="00EF6CE1"/>
    <w:rsid w:val="00F0196C"/>
    <w:rsid w:val="00F01E95"/>
    <w:rsid w:val="00F04C30"/>
    <w:rsid w:val="00F05C59"/>
    <w:rsid w:val="00F06FEE"/>
    <w:rsid w:val="00F104D1"/>
    <w:rsid w:val="00F11C0B"/>
    <w:rsid w:val="00F1224A"/>
    <w:rsid w:val="00F12F8C"/>
    <w:rsid w:val="00F13E0A"/>
    <w:rsid w:val="00F13E7A"/>
    <w:rsid w:val="00F14BA4"/>
    <w:rsid w:val="00F14DF3"/>
    <w:rsid w:val="00F14F6B"/>
    <w:rsid w:val="00F157B1"/>
    <w:rsid w:val="00F17DE4"/>
    <w:rsid w:val="00F21FE3"/>
    <w:rsid w:val="00F23B90"/>
    <w:rsid w:val="00F2660F"/>
    <w:rsid w:val="00F27167"/>
    <w:rsid w:val="00F33513"/>
    <w:rsid w:val="00F34D69"/>
    <w:rsid w:val="00F3515E"/>
    <w:rsid w:val="00F36FBF"/>
    <w:rsid w:val="00F40066"/>
    <w:rsid w:val="00F40068"/>
    <w:rsid w:val="00F40702"/>
    <w:rsid w:val="00F43B1C"/>
    <w:rsid w:val="00F45A80"/>
    <w:rsid w:val="00F45E06"/>
    <w:rsid w:val="00F50B83"/>
    <w:rsid w:val="00F5160F"/>
    <w:rsid w:val="00F5324C"/>
    <w:rsid w:val="00F56422"/>
    <w:rsid w:val="00F60583"/>
    <w:rsid w:val="00F612B1"/>
    <w:rsid w:val="00F61828"/>
    <w:rsid w:val="00F61A03"/>
    <w:rsid w:val="00F62A13"/>
    <w:rsid w:val="00F62DE0"/>
    <w:rsid w:val="00F62DE2"/>
    <w:rsid w:val="00F63C84"/>
    <w:rsid w:val="00F65590"/>
    <w:rsid w:val="00F67939"/>
    <w:rsid w:val="00F70307"/>
    <w:rsid w:val="00F7077D"/>
    <w:rsid w:val="00F7493D"/>
    <w:rsid w:val="00F81D5F"/>
    <w:rsid w:val="00F82CD3"/>
    <w:rsid w:val="00F84DE1"/>
    <w:rsid w:val="00F85107"/>
    <w:rsid w:val="00F865D4"/>
    <w:rsid w:val="00F87CD9"/>
    <w:rsid w:val="00F937FF"/>
    <w:rsid w:val="00F94E5E"/>
    <w:rsid w:val="00F965A9"/>
    <w:rsid w:val="00F9665B"/>
    <w:rsid w:val="00F96BC5"/>
    <w:rsid w:val="00F9735F"/>
    <w:rsid w:val="00F977F3"/>
    <w:rsid w:val="00FA013D"/>
    <w:rsid w:val="00FA32EC"/>
    <w:rsid w:val="00FA3C84"/>
    <w:rsid w:val="00FA46D4"/>
    <w:rsid w:val="00FA583D"/>
    <w:rsid w:val="00FB0488"/>
    <w:rsid w:val="00FB30A1"/>
    <w:rsid w:val="00FC0942"/>
    <w:rsid w:val="00FC4296"/>
    <w:rsid w:val="00FC55A2"/>
    <w:rsid w:val="00FC6952"/>
    <w:rsid w:val="00FD1773"/>
    <w:rsid w:val="00FD290E"/>
    <w:rsid w:val="00FD3FD0"/>
    <w:rsid w:val="00FD44DF"/>
    <w:rsid w:val="00FD4B27"/>
    <w:rsid w:val="00FE0257"/>
    <w:rsid w:val="00FE07D0"/>
    <w:rsid w:val="00FE243B"/>
    <w:rsid w:val="00FE422C"/>
    <w:rsid w:val="00FE7B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B3437F1-07EF-46E0-AAF5-3F1177909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1061"/>
    <w:pPr>
      <w:spacing w:after="0" w:line="240" w:lineRule="auto"/>
    </w:pPr>
    <w:rPr>
      <w:rFonts w:ascii="Times New Roman" w:eastAsia="Batang" w:hAnsi="Times New Roman" w:cs="Times New Roman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677F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uiPriority w:val="9"/>
    <w:rsid w:val="004677F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paragraph" w:styleId="Header">
    <w:name w:val="header"/>
    <w:aliases w:val=" Char,Char,Intestazione.int,Header1"/>
    <w:basedOn w:val="Normal"/>
    <w:link w:val="HeaderChar"/>
    <w:rsid w:val="004677F9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 Char Char,Char Char,Intestazione.int Char,Header1 Char"/>
    <w:basedOn w:val="DefaultParagraphFont"/>
    <w:link w:val="Header"/>
    <w:rsid w:val="004677F9"/>
    <w:rPr>
      <w:rFonts w:ascii="Times New Roman" w:eastAsia="Batang" w:hAnsi="Times New Roman" w:cs="Times New Roman"/>
      <w:sz w:val="24"/>
      <w:szCs w:val="24"/>
      <w:lang w:val="en-GB"/>
    </w:rPr>
  </w:style>
  <w:style w:type="paragraph" w:styleId="Subtitle">
    <w:name w:val="Subtitle"/>
    <w:basedOn w:val="Normal"/>
    <w:link w:val="SubtitleChar"/>
    <w:qFormat/>
    <w:rsid w:val="004677F9"/>
    <w:pPr>
      <w:jc w:val="center"/>
    </w:pPr>
    <w:rPr>
      <w:rFonts w:eastAsia="Times New Roman"/>
      <w:b/>
      <w:bCs/>
      <w:lang w:val="it-IT"/>
    </w:rPr>
  </w:style>
  <w:style w:type="character" w:customStyle="1" w:styleId="SubtitleChar">
    <w:name w:val="Subtitle Char"/>
    <w:basedOn w:val="DefaultParagraphFont"/>
    <w:link w:val="Subtitle"/>
    <w:rsid w:val="004677F9"/>
    <w:rPr>
      <w:rFonts w:ascii="Times New Roman" w:eastAsia="Times New Roman" w:hAnsi="Times New Roman" w:cs="Times New Roman"/>
      <w:b/>
      <w:bCs/>
      <w:sz w:val="24"/>
      <w:szCs w:val="24"/>
      <w:lang w:val="it-IT"/>
    </w:rPr>
  </w:style>
  <w:style w:type="paragraph" w:styleId="Footer">
    <w:name w:val="footer"/>
    <w:basedOn w:val="Normal"/>
    <w:link w:val="FooterChar"/>
    <w:uiPriority w:val="99"/>
    <w:unhideWhenUsed/>
    <w:rsid w:val="0036099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0998"/>
    <w:rPr>
      <w:rFonts w:ascii="Times New Roman" w:eastAsia="Batang" w:hAnsi="Times New Roman" w:cs="Times New Roman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1F05E8"/>
    <w:pPr>
      <w:ind w:left="720"/>
      <w:contextualSpacing/>
    </w:pPr>
  </w:style>
  <w:style w:type="table" w:styleId="TableGrid">
    <w:name w:val="Table Grid"/>
    <w:basedOn w:val="TableNormal"/>
    <w:uiPriority w:val="59"/>
    <w:rsid w:val="008A5565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DefaultParagraphFont"/>
    <w:rsid w:val="008A5565"/>
  </w:style>
  <w:style w:type="paragraph" w:styleId="BodyText">
    <w:name w:val="Body Text"/>
    <w:basedOn w:val="Normal"/>
    <w:link w:val="BodyTextChar"/>
    <w:rsid w:val="00585E5B"/>
    <w:pPr>
      <w:jc w:val="both"/>
    </w:pPr>
    <w:rPr>
      <w:rFonts w:eastAsia="MS Mincho"/>
    </w:rPr>
  </w:style>
  <w:style w:type="character" w:customStyle="1" w:styleId="BodyTextChar">
    <w:name w:val="Body Text Char"/>
    <w:basedOn w:val="DefaultParagraphFont"/>
    <w:link w:val="BodyText"/>
    <w:rsid w:val="00585E5B"/>
    <w:rPr>
      <w:rFonts w:ascii="Times New Roman" w:eastAsia="MS Mincho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4D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4D69"/>
    <w:rPr>
      <w:rFonts w:ascii="Tahoma" w:eastAsia="Batang" w:hAnsi="Tahoma" w:cs="Tahoma"/>
      <w:sz w:val="16"/>
      <w:szCs w:val="16"/>
      <w:lang w:val="en-GB"/>
    </w:rPr>
  </w:style>
  <w:style w:type="character" w:styleId="Hyperlink">
    <w:name w:val="Hyperlink"/>
    <w:unhideWhenUsed/>
    <w:rsid w:val="00086717"/>
    <w:rPr>
      <w:color w:val="0000FF"/>
      <w:u w:val="single"/>
    </w:rPr>
  </w:style>
  <w:style w:type="paragraph" w:customStyle="1" w:styleId="Default">
    <w:name w:val="Default"/>
    <w:rsid w:val="00E766B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C65474"/>
    <w:rPr>
      <w:i/>
      <w:iCs/>
    </w:rPr>
  </w:style>
  <w:style w:type="character" w:customStyle="1" w:styleId="NoSpacingChar">
    <w:name w:val="No Spacing Char"/>
    <w:basedOn w:val="DefaultParagraphFont"/>
    <w:link w:val="NoSpacing"/>
    <w:locked/>
    <w:rsid w:val="00396235"/>
    <w:rPr>
      <w:rFonts w:ascii="Calibri" w:eastAsia="Times New Roman" w:hAnsi="Calibri" w:cs="Times New Roman"/>
    </w:rPr>
  </w:style>
  <w:style w:type="paragraph" w:styleId="NoSpacing">
    <w:name w:val="No Spacing"/>
    <w:link w:val="NoSpacingChar"/>
    <w:qFormat/>
    <w:rsid w:val="0039623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MessageHeaderLabel">
    <w:name w:val="Message Header Label"/>
    <w:rsid w:val="00207B54"/>
    <w:rPr>
      <w:rFonts w:ascii="Arial Black" w:hAnsi="Arial Black" w:hint="default"/>
      <w:spacing w:val="-10"/>
      <w:sz w:val="18"/>
    </w:rPr>
  </w:style>
  <w:style w:type="paragraph" w:styleId="ListBullet">
    <w:name w:val="List Bullet"/>
    <w:basedOn w:val="Normal"/>
    <w:uiPriority w:val="99"/>
    <w:unhideWhenUsed/>
    <w:rsid w:val="00207B54"/>
    <w:pPr>
      <w:numPr>
        <w:numId w:val="3"/>
      </w:numPr>
      <w:contextualSpacing/>
    </w:pPr>
    <w:rPr>
      <w:rFonts w:eastAsia="SimSun"/>
      <w:noProof/>
      <w:lang w:eastAsia="zh-CN"/>
    </w:rPr>
  </w:style>
  <w:style w:type="character" w:customStyle="1" w:styleId="fontstyle01">
    <w:name w:val="fontstyle01"/>
    <w:basedOn w:val="DefaultParagraphFont"/>
    <w:rsid w:val="000F15E9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32191B"/>
    <w:rPr>
      <w:rFonts w:ascii="Georgia" w:hAnsi="Georgia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6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inanca.gov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237518-50A2-48C2-873C-49108B066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2717</TotalTime>
  <Pages>9</Pages>
  <Words>3307</Words>
  <Characters>18856</Characters>
  <Application>Microsoft Office Word</Application>
  <DocSecurity>0</DocSecurity>
  <Lines>157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rajmonda selimaj</dc:creator>
  <cp:lastModifiedBy>julvit shazivari</cp:lastModifiedBy>
  <cp:revision>248</cp:revision>
  <cp:lastPrinted>2022-07-26T10:59:00Z</cp:lastPrinted>
  <dcterms:created xsi:type="dcterms:W3CDTF">2018-01-30T13:31:00Z</dcterms:created>
  <dcterms:modified xsi:type="dcterms:W3CDTF">2022-09-20T12:01:00Z</dcterms:modified>
</cp:coreProperties>
</file>