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F5" w:rsidRPr="005C4895" w:rsidRDefault="00B318DB" w:rsidP="00C33F20">
      <w:pPr>
        <w:widowControl w:val="0"/>
        <w:spacing w:after="0" w:line="276" w:lineRule="auto"/>
        <w:jc w:val="center"/>
        <w:rPr>
          <w:rFonts w:ascii="Times New Roman" w:hAnsi="Times New Roman" w:cs="Times New Roman"/>
          <w:b/>
          <w:sz w:val="24"/>
          <w:szCs w:val="24"/>
        </w:rPr>
      </w:pPr>
      <w:r w:rsidRPr="005C4895">
        <w:rPr>
          <w:rFonts w:ascii="Times New Roman" w:hAnsi="Times New Roman" w:cs="Times New Roman"/>
          <w:noProof/>
          <w:sz w:val="24"/>
          <w:szCs w:val="24"/>
          <w:lang w:eastAsia="sq-AL"/>
        </w:rPr>
        <w:drawing>
          <wp:anchor distT="0" distB="0" distL="114300" distR="114300" simplePos="0" relativeHeight="251659264" behindDoc="0" locked="0" layoutInCell="1" allowOverlap="1" wp14:anchorId="2AF0FEE5" wp14:editId="7A6F6736">
            <wp:simplePos x="0" y="0"/>
            <wp:positionH relativeFrom="margin">
              <wp:posOffset>-313690</wp:posOffset>
            </wp:positionH>
            <wp:positionV relativeFrom="paragraph">
              <wp:posOffset>-373558</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anchor>
        </w:drawing>
      </w:r>
      <w:r w:rsidR="00C62507" w:rsidRPr="005C4895">
        <w:rPr>
          <w:rFonts w:ascii="Times New Roman" w:hAnsi="Times New Roman" w:cs="Times New Roman"/>
          <w:b/>
          <w:sz w:val="24"/>
          <w:szCs w:val="24"/>
        </w:rPr>
        <w:t>MINISTRIA E FINANCAVE</w:t>
      </w:r>
      <w:r w:rsidR="00AB69F5" w:rsidRPr="005C4895">
        <w:rPr>
          <w:rFonts w:ascii="Times New Roman" w:hAnsi="Times New Roman" w:cs="Times New Roman"/>
          <w:b/>
          <w:sz w:val="24"/>
          <w:szCs w:val="24"/>
        </w:rPr>
        <w:t xml:space="preserve"> </w:t>
      </w:r>
      <w:r w:rsidR="004A1FAE" w:rsidRPr="005C4895">
        <w:rPr>
          <w:rFonts w:ascii="Times New Roman" w:hAnsi="Times New Roman" w:cs="Times New Roman"/>
          <w:b/>
          <w:sz w:val="24"/>
          <w:szCs w:val="24"/>
        </w:rPr>
        <w:t>DHE EKONOMISË</w:t>
      </w:r>
    </w:p>
    <w:p w:rsidR="00C62507" w:rsidRPr="005C4895" w:rsidRDefault="00C62507" w:rsidP="00C33F20">
      <w:pPr>
        <w:widowControl w:val="0"/>
        <w:spacing w:after="0" w:line="276" w:lineRule="auto"/>
        <w:jc w:val="center"/>
        <w:rPr>
          <w:rFonts w:ascii="Times New Roman" w:hAnsi="Times New Roman" w:cs="Times New Roman"/>
          <w:b/>
          <w:sz w:val="24"/>
          <w:szCs w:val="24"/>
        </w:rPr>
      </w:pPr>
      <w:r w:rsidRPr="005C4895">
        <w:rPr>
          <w:rFonts w:ascii="Times New Roman" w:hAnsi="Times New Roman" w:cs="Times New Roman"/>
          <w:b/>
          <w:sz w:val="24"/>
          <w:szCs w:val="24"/>
        </w:rPr>
        <w:t>DREJTORIA E APELIMIT TATIMOR</w:t>
      </w:r>
    </w:p>
    <w:p w:rsidR="00C62507" w:rsidRPr="005C4895" w:rsidRDefault="00C62507" w:rsidP="00C33F20">
      <w:pPr>
        <w:widowControl w:val="0"/>
        <w:spacing w:after="0" w:line="276" w:lineRule="auto"/>
        <w:jc w:val="center"/>
        <w:rPr>
          <w:rFonts w:ascii="Times New Roman" w:hAnsi="Times New Roman" w:cs="Times New Roman"/>
          <w:b/>
          <w:sz w:val="24"/>
          <w:szCs w:val="24"/>
        </w:rPr>
      </w:pPr>
    </w:p>
    <w:p w:rsidR="00C62507" w:rsidRPr="005C4895" w:rsidRDefault="00C62507" w:rsidP="00C33F20">
      <w:pPr>
        <w:widowControl w:val="0"/>
        <w:spacing w:after="0" w:line="276" w:lineRule="auto"/>
        <w:jc w:val="both"/>
        <w:rPr>
          <w:rFonts w:ascii="Times New Roman" w:hAnsi="Times New Roman" w:cs="Times New Roman"/>
          <w:sz w:val="24"/>
          <w:szCs w:val="24"/>
        </w:rPr>
      </w:pPr>
      <w:r w:rsidRPr="005C4895">
        <w:rPr>
          <w:rFonts w:ascii="Times New Roman" w:hAnsi="Times New Roman" w:cs="Times New Roman"/>
          <w:sz w:val="24"/>
          <w:szCs w:val="24"/>
        </w:rPr>
        <w:t>Nr.</w:t>
      </w:r>
      <w:r w:rsidR="00133C4E" w:rsidRPr="005C4895">
        <w:rPr>
          <w:rFonts w:ascii="Times New Roman" w:hAnsi="Times New Roman" w:cs="Times New Roman"/>
          <w:sz w:val="24"/>
          <w:szCs w:val="24"/>
        </w:rPr>
        <w:t xml:space="preserve"> </w:t>
      </w:r>
      <w:r w:rsidR="008B6064">
        <w:rPr>
          <w:rFonts w:ascii="Times New Roman" w:hAnsi="Times New Roman" w:cs="Times New Roman"/>
          <w:sz w:val="24"/>
          <w:szCs w:val="24"/>
        </w:rPr>
        <w:t>____</w:t>
      </w:r>
      <w:r w:rsidR="00DF46B8">
        <w:rPr>
          <w:rFonts w:ascii="Times New Roman" w:hAnsi="Times New Roman" w:cs="Times New Roman"/>
          <w:sz w:val="24"/>
          <w:szCs w:val="24"/>
        </w:rPr>
        <w:t xml:space="preserve"> </w:t>
      </w:r>
      <w:r w:rsidR="009A42C3" w:rsidRPr="005C4895">
        <w:rPr>
          <w:rFonts w:ascii="Times New Roman" w:hAnsi="Times New Roman" w:cs="Times New Roman"/>
          <w:sz w:val="24"/>
          <w:szCs w:val="24"/>
        </w:rPr>
        <w:t xml:space="preserve">/           </w:t>
      </w:r>
      <w:r w:rsidRPr="005C4895">
        <w:rPr>
          <w:rFonts w:ascii="Times New Roman" w:hAnsi="Times New Roman" w:cs="Times New Roman"/>
          <w:sz w:val="24"/>
          <w:szCs w:val="24"/>
        </w:rPr>
        <w:t>prot.</w:t>
      </w:r>
      <w:r w:rsidRPr="005C4895">
        <w:rPr>
          <w:rFonts w:ascii="Times New Roman" w:hAnsi="Times New Roman" w:cs="Times New Roman"/>
          <w:sz w:val="24"/>
          <w:szCs w:val="24"/>
        </w:rPr>
        <w:tab/>
      </w:r>
      <w:r w:rsidRPr="005C4895">
        <w:rPr>
          <w:rFonts w:ascii="Times New Roman" w:hAnsi="Times New Roman" w:cs="Times New Roman"/>
          <w:sz w:val="24"/>
          <w:szCs w:val="24"/>
        </w:rPr>
        <w:tab/>
      </w:r>
      <w:r w:rsidRPr="005C4895">
        <w:rPr>
          <w:rFonts w:ascii="Times New Roman" w:hAnsi="Times New Roman" w:cs="Times New Roman"/>
          <w:sz w:val="24"/>
          <w:szCs w:val="24"/>
        </w:rPr>
        <w:tab/>
      </w:r>
      <w:r w:rsidRPr="005C4895">
        <w:rPr>
          <w:rFonts w:ascii="Times New Roman" w:hAnsi="Times New Roman" w:cs="Times New Roman"/>
          <w:sz w:val="24"/>
          <w:szCs w:val="24"/>
        </w:rPr>
        <w:tab/>
      </w:r>
      <w:r w:rsidRPr="005C4895">
        <w:rPr>
          <w:rFonts w:ascii="Times New Roman" w:hAnsi="Times New Roman" w:cs="Times New Roman"/>
          <w:sz w:val="24"/>
          <w:szCs w:val="24"/>
        </w:rPr>
        <w:tab/>
      </w:r>
      <w:r w:rsidRPr="005C4895">
        <w:rPr>
          <w:rFonts w:ascii="Times New Roman" w:hAnsi="Times New Roman" w:cs="Times New Roman"/>
          <w:sz w:val="24"/>
          <w:szCs w:val="24"/>
        </w:rPr>
        <w:tab/>
        <w:t xml:space="preserve">    </w:t>
      </w:r>
      <w:r w:rsidR="00133C4E" w:rsidRPr="005C4895">
        <w:rPr>
          <w:rFonts w:ascii="Times New Roman" w:hAnsi="Times New Roman" w:cs="Times New Roman"/>
          <w:sz w:val="24"/>
          <w:szCs w:val="24"/>
        </w:rPr>
        <w:t xml:space="preserve">                </w:t>
      </w:r>
      <w:r w:rsidRPr="005C4895">
        <w:rPr>
          <w:rFonts w:ascii="Times New Roman" w:hAnsi="Times New Roman" w:cs="Times New Roman"/>
          <w:sz w:val="24"/>
          <w:szCs w:val="24"/>
        </w:rPr>
        <w:t>Tiran</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m</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___.___.20</w:t>
      </w:r>
      <w:r w:rsidR="00B318DB" w:rsidRPr="005C4895">
        <w:rPr>
          <w:rFonts w:ascii="Times New Roman" w:hAnsi="Times New Roman" w:cs="Times New Roman"/>
          <w:sz w:val="24"/>
          <w:szCs w:val="24"/>
        </w:rPr>
        <w:t>21</w:t>
      </w:r>
    </w:p>
    <w:p w:rsidR="00C62507" w:rsidRDefault="00C62507" w:rsidP="00C33F20">
      <w:pPr>
        <w:widowControl w:val="0"/>
        <w:spacing w:after="0" w:line="276" w:lineRule="auto"/>
        <w:jc w:val="both"/>
        <w:rPr>
          <w:rFonts w:ascii="Times New Roman" w:hAnsi="Times New Roman" w:cs="Times New Roman"/>
          <w:sz w:val="24"/>
          <w:szCs w:val="24"/>
        </w:rPr>
      </w:pPr>
    </w:p>
    <w:p w:rsidR="00F20E35" w:rsidRPr="005C4895" w:rsidRDefault="00E20F5F" w:rsidP="00C33F20">
      <w:pPr>
        <w:widowControl w:val="0"/>
        <w:spacing w:after="0" w:line="276" w:lineRule="auto"/>
        <w:jc w:val="center"/>
        <w:rPr>
          <w:rFonts w:ascii="Times New Roman" w:hAnsi="Times New Roman" w:cs="Times New Roman"/>
          <w:b/>
          <w:sz w:val="24"/>
          <w:szCs w:val="24"/>
        </w:rPr>
      </w:pPr>
      <w:r w:rsidRPr="005C4895">
        <w:rPr>
          <w:rFonts w:ascii="Times New Roman" w:hAnsi="Times New Roman" w:cs="Times New Roman"/>
          <w:b/>
          <w:sz w:val="24"/>
          <w:szCs w:val="24"/>
        </w:rPr>
        <w:t>V E N D I M</w:t>
      </w:r>
    </w:p>
    <w:p w:rsidR="00FB32DE" w:rsidRPr="005C4895" w:rsidRDefault="00FB32DE" w:rsidP="00C33F20">
      <w:pPr>
        <w:widowControl w:val="0"/>
        <w:spacing w:after="0" w:line="276" w:lineRule="auto"/>
        <w:jc w:val="center"/>
        <w:rPr>
          <w:rFonts w:ascii="Times New Roman" w:hAnsi="Times New Roman" w:cs="Times New Roman"/>
          <w:b/>
          <w:sz w:val="24"/>
          <w:szCs w:val="24"/>
        </w:rPr>
      </w:pPr>
    </w:p>
    <w:p w:rsidR="00CF4388" w:rsidRPr="005C4895" w:rsidRDefault="00CF4388" w:rsidP="00C33F20">
      <w:pPr>
        <w:widowControl w:val="0"/>
        <w:spacing w:after="0" w:line="276" w:lineRule="auto"/>
        <w:jc w:val="both"/>
        <w:rPr>
          <w:rFonts w:ascii="Times New Roman" w:hAnsi="Times New Roman" w:cs="Times New Roman"/>
          <w:sz w:val="24"/>
          <w:szCs w:val="24"/>
        </w:rPr>
      </w:pPr>
      <w:r w:rsidRPr="005C4895">
        <w:rPr>
          <w:rFonts w:ascii="Times New Roman" w:hAnsi="Times New Roman" w:cs="Times New Roman"/>
          <w:sz w:val="24"/>
          <w:szCs w:val="24"/>
        </w:rPr>
        <w:t>Drejtoria e Apelimit Tatimor, n</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 zbatim t</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 kreut XIII t</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 Ligjit nr. 9920, dat</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 19.05.2008 “P</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r Procedurat Tatimore n</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 RSH”, mori n</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 shqyrtim k</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rkes</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n </w:t>
      </w:r>
      <w:r w:rsidR="00A20D4D" w:rsidRPr="005C4895">
        <w:rPr>
          <w:rFonts w:ascii="Times New Roman" w:hAnsi="Times New Roman" w:cs="Times New Roman"/>
          <w:sz w:val="24"/>
          <w:szCs w:val="24"/>
        </w:rPr>
        <w:t>ankimore</w:t>
      </w:r>
      <w:r w:rsidRPr="005C4895">
        <w:rPr>
          <w:rFonts w:ascii="Times New Roman" w:hAnsi="Times New Roman" w:cs="Times New Roman"/>
          <w:sz w:val="24"/>
          <w:szCs w:val="24"/>
        </w:rPr>
        <w:t>, q</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 i p</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rket:</w:t>
      </w:r>
    </w:p>
    <w:p w:rsidR="00CF4388" w:rsidRPr="005C4895" w:rsidRDefault="00CF4388" w:rsidP="00C33F20">
      <w:pPr>
        <w:widowControl w:val="0"/>
        <w:spacing w:after="0" w:line="276" w:lineRule="auto"/>
        <w:jc w:val="both"/>
        <w:rPr>
          <w:rFonts w:ascii="Times New Roman" w:hAnsi="Times New Roman" w:cs="Times New Roman"/>
          <w:sz w:val="24"/>
          <w:szCs w:val="24"/>
        </w:rPr>
      </w:pPr>
    </w:p>
    <w:p w:rsidR="00CF4388" w:rsidRPr="005C4895" w:rsidRDefault="00CF4388" w:rsidP="00C33F20">
      <w:pPr>
        <w:widowControl w:val="0"/>
        <w:spacing w:after="0" w:line="276" w:lineRule="auto"/>
        <w:rPr>
          <w:rFonts w:ascii="Times New Roman" w:hAnsi="Times New Roman" w:cs="Times New Roman"/>
          <w:sz w:val="24"/>
          <w:szCs w:val="24"/>
        </w:rPr>
      </w:pPr>
      <w:r w:rsidRPr="005C4895">
        <w:rPr>
          <w:rFonts w:ascii="Times New Roman" w:hAnsi="Times New Roman" w:cs="Times New Roman"/>
          <w:sz w:val="24"/>
          <w:szCs w:val="24"/>
        </w:rPr>
        <w:t>K</w:t>
      </w:r>
      <w:r w:rsidR="00E5790F" w:rsidRPr="005C4895">
        <w:rPr>
          <w:rFonts w:ascii="Times New Roman" w:hAnsi="Times New Roman" w:cs="Times New Roman"/>
          <w:sz w:val="24"/>
          <w:szCs w:val="24"/>
        </w:rPr>
        <w:t>Ë</w:t>
      </w:r>
      <w:r w:rsidRPr="005C4895">
        <w:rPr>
          <w:rFonts w:ascii="Times New Roman" w:hAnsi="Times New Roman" w:cs="Times New Roman"/>
          <w:sz w:val="24"/>
          <w:szCs w:val="24"/>
        </w:rPr>
        <w:t xml:space="preserve">RKUES: </w:t>
      </w:r>
      <w:r w:rsidR="006725DD" w:rsidRPr="005C4895">
        <w:rPr>
          <w:rFonts w:ascii="Times New Roman" w:hAnsi="Times New Roman" w:cs="Times New Roman"/>
          <w:sz w:val="24"/>
          <w:szCs w:val="24"/>
        </w:rPr>
        <w:tab/>
      </w:r>
      <w:r w:rsidR="00417112">
        <w:rPr>
          <w:rFonts w:ascii="Times New Roman" w:hAnsi="Times New Roman" w:cs="Times New Roman"/>
          <w:sz w:val="24"/>
          <w:szCs w:val="24"/>
        </w:rPr>
        <w:t>________</w:t>
      </w:r>
    </w:p>
    <w:p w:rsidR="00D172F8" w:rsidRPr="005C4895" w:rsidRDefault="00CF4388" w:rsidP="00C33F20">
      <w:pPr>
        <w:widowControl w:val="0"/>
        <w:spacing w:after="0" w:line="276" w:lineRule="auto"/>
        <w:ind w:left="1440" w:hanging="1440"/>
        <w:rPr>
          <w:rFonts w:ascii="Times New Roman" w:hAnsi="Times New Roman" w:cs="Times New Roman"/>
          <w:b/>
          <w:sz w:val="24"/>
          <w:szCs w:val="24"/>
        </w:rPr>
      </w:pPr>
      <w:r w:rsidRPr="005C4895">
        <w:rPr>
          <w:rFonts w:ascii="Times New Roman" w:hAnsi="Times New Roman" w:cs="Times New Roman"/>
          <w:sz w:val="24"/>
          <w:szCs w:val="24"/>
        </w:rPr>
        <w:t xml:space="preserve">OBJEKTI: </w:t>
      </w:r>
      <w:r w:rsidR="006725DD" w:rsidRPr="005C4895">
        <w:rPr>
          <w:rFonts w:ascii="Times New Roman" w:hAnsi="Times New Roman" w:cs="Times New Roman"/>
          <w:sz w:val="24"/>
          <w:szCs w:val="24"/>
        </w:rPr>
        <w:tab/>
      </w:r>
      <w:r w:rsidR="00C30548" w:rsidRPr="005C4895">
        <w:rPr>
          <w:rFonts w:ascii="Times New Roman" w:hAnsi="Times New Roman" w:cs="Times New Roman"/>
          <w:sz w:val="24"/>
          <w:szCs w:val="24"/>
        </w:rPr>
        <w:t xml:space="preserve">Ankim ndaj </w:t>
      </w:r>
      <w:r w:rsidR="00133C4E" w:rsidRPr="005C4895">
        <w:rPr>
          <w:rFonts w:ascii="Times New Roman" w:hAnsi="Times New Roman" w:cs="Times New Roman"/>
          <w:sz w:val="24"/>
          <w:szCs w:val="24"/>
        </w:rPr>
        <w:t>mosrimbursimit t</w:t>
      </w:r>
      <w:r w:rsidR="00DF46B8">
        <w:rPr>
          <w:rFonts w:ascii="Times New Roman" w:hAnsi="Times New Roman" w:cs="Times New Roman"/>
          <w:sz w:val="24"/>
          <w:szCs w:val="24"/>
        </w:rPr>
        <w:t>ë</w:t>
      </w:r>
      <w:r w:rsidR="00133C4E" w:rsidRPr="005C4895">
        <w:rPr>
          <w:rFonts w:ascii="Times New Roman" w:hAnsi="Times New Roman" w:cs="Times New Roman"/>
          <w:sz w:val="24"/>
          <w:szCs w:val="24"/>
        </w:rPr>
        <w:t xml:space="preserve"> TVSH-s</w:t>
      </w:r>
      <w:r w:rsidR="00DF46B8">
        <w:rPr>
          <w:rFonts w:ascii="Times New Roman" w:hAnsi="Times New Roman" w:cs="Times New Roman"/>
          <w:sz w:val="24"/>
          <w:szCs w:val="24"/>
        </w:rPr>
        <w:t>ë</w:t>
      </w:r>
      <w:r w:rsidR="00133C4E" w:rsidRPr="005C4895">
        <w:rPr>
          <w:rFonts w:ascii="Times New Roman" w:hAnsi="Times New Roman" w:cs="Times New Roman"/>
          <w:sz w:val="24"/>
          <w:szCs w:val="24"/>
        </w:rPr>
        <w:t xml:space="preserve"> </w:t>
      </w:r>
    </w:p>
    <w:p w:rsidR="00C32026" w:rsidRPr="005C4895" w:rsidRDefault="00C32026" w:rsidP="00C33F20">
      <w:pPr>
        <w:widowControl w:val="0"/>
        <w:spacing w:after="0" w:line="276" w:lineRule="auto"/>
        <w:ind w:left="1440" w:hanging="1440"/>
        <w:rPr>
          <w:rFonts w:ascii="Times New Roman" w:hAnsi="Times New Roman" w:cs="Times New Roman"/>
          <w:sz w:val="24"/>
          <w:szCs w:val="24"/>
        </w:rPr>
      </w:pPr>
    </w:p>
    <w:p w:rsidR="000717D4" w:rsidRPr="005C4895" w:rsidRDefault="000717D4" w:rsidP="00C33F20">
      <w:pPr>
        <w:widowControl w:val="0"/>
        <w:spacing w:after="0" w:line="276" w:lineRule="auto"/>
        <w:jc w:val="both"/>
        <w:rPr>
          <w:rFonts w:ascii="Times New Roman" w:hAnsi="Times New Roman" w:cs="Times New Roman"/>
          <w:sz w:val="24"/>
          <w:szCs w:val="24"/>
        </w:rPr>
      </w:pPr>
      <w:r w:rsidRPr="005C4895">
        <w:rPr>
          <w:rFonts w:ascii="Times New Roman" w:hAnsi="Times New Roman" w:cs="Times New Roman"/>
          <w:sz w:val="24"/>
          <w:szCs w:val="24"/>
        </w:rPr>
        <w:t xml:space="preserve">Tatimpaguesi ka ankimuar mosrimbursimin e TVSH-së </w:t>
      </w:r>
      <w:r w:rsidR="00204B8A" w:rsidRPr="005C4895">
        <w:rPr>
          <w:rFonts w:ascii="Times New Roman" w:hAnsi="Times New Roman" w:cs="Times New Roman"/>
          <w:sz w:val="24"/>
          <w:szCs w:val="24"/>
        </w:rPr>
        <w:t>sipas Raport Kon</w:t>
      </w:r>
      <w:r w:rsidR="00903C85">
        <w:rPr>
          <w:rFonts w:ascii="Times New Roman" w:hAnsi="Times New Roman" w:cs="Times New Roman"/>
          <w:sz w:val="24"/>
          <w:szCs w:val="24"/>
        </w:rPr>
        <w:t>trollit</w:t>
      </w:r>
      <w:r w:rsidRPr="005C4895">
        <w:rPr>
          <w:rFonts w:ascii="Times New Roman" w:hAnsi="Times New Roman" w:cs="Times New Roman"/>
          <w:sz w:val="24"/>
          <w:szCs w:val="24"/>
        </w:rPr>
        <w:t>.</w:t>
      </w:r>
    </w:p>
    <w:p w:rsidR="00133C4E" w:rsidRPr="005C4895" w:rsidRDefault="00133C4E" w:rsidP="00C33F20">
      <w:pPr>
        <w:widowControl w:val="0"/>
        <w:spacing w:after="0" w:line="276" w:lineRule="auto"/>
        <w:jc w:val="both"/>
        <w:rPr>
          <w:rFonts w:ascii="Times New Roman" w:hAnsi="Times New Roman" w:cs="Times New Roman"/>
          <w:sz w:val="24"/>
          <w:szCs w:val="24"/>
        </w:rPr>
      </w:pPr>
    </w:p>
    <w:p w:rsidR="00204B8A" w:rsidRPr="005C4895" w:rsidRDefault="00204B8A" w:rsidP="00C33F20">
      <w:pPr>
        <w:widowControl w:val="0"/>
        <w:spacing w:after="0" w:line="276" w:lineRule="auto"/>
        <w:jc w:val="both"/>
        <w:rPr>
          <w:rFonts w:ascii="Times New Roman" w:hAnsi="Times New Roman" w:cs="Times New Roman"/>
          <w:sz w:val="24"/>
          <w:szCs w:val="24"/>
        </w:rPr>
      </w:pPr>
      <w:r w:rsidRPr="005C4895">
        <w:rPr>
          <w:rFonts w:ascii="Times New Roman" w:hAnsi="Times New Roman" w:cs="Times New Roman"/>
          <w:sz w:val="24"/>
          <w:szCs w:val="24"/>
        </w:rPr>
        <w:t xml:space="preserve">Nga shqyrtimi paraprak i kërkesës për apelim, konstatojmë se janë plotësuar kërkesat ligjore për marrjen në shqyrtim, kërkesa këto të përcaktuara në pikat 1, 2 dhe 3 të nenit 106, neni 107 dhe Udhëzimin e MF nr. 24, datë 02.09.2008 pika 106 e në vijim, pasi: </w:t>
      </w:r>
    </w:p>
    <w:p w:rsidR="00133C4E" w:rsidRPr="005C4895" w:rsidRDefault="00133C4E" w:rsidP="00C33F20">
      <w:pPr>
        <w:widowControl w:val="0"/>
        <w:numPr>
          <w:ilvl w:val="0"/>
          <w:numId w:val="12"/>
        </w:numPr>
        <w:spacing w:after="0" w:line="276" w:lineRule="auto"/>
        <w:jc w:val="both"/>
        <w:rPr>
          <w:rFonts w:ascii="Times New Roman" w:hAnsi="Times New Roman" w:cs="Times New Roman"/>
          <w:i/>
          <w:sz w:val="24"/>
          <w:szCs w:val="24"/>
        </w:rPr>
      </w:pPr>
      <w:r w:rsidRPr="005C4895">
        <w:rPr>
          <w:rFonts w:ascii="Times New Roman" w:hAnsi="Times New Roman" w:cs="Times New Roman"/>
          <w:sz w:val="24"/>
          <w:szCs w:val="24"/>
        </w:rPr>
        <w:t xml:space="preserve">Akti administrativ i ankimuar plotëson kushtet për t’u bërë objekt ankimi pranë kësaj drejtorie, referuar Ligjit nr. 9920/2008, i ndryshuar, neni 106, pika 1 dhe Udhëzimit nr. 24, datë 02.09.2008 (24/2008) në zbatim të ligjit, paragrafi 106.1.2 gërma (c), ku përcaktohet </w:t>
      </w:r>
      <w:r w:rsidRPr="005C4895">
        <w:rPr>
          <w:rFonts w:ascii="Times New Roman" w:hAnsi="Times New Roman" w:cs="Times New Roman"/>
          <w:i/>
          <w:sz w:val="24"/>
          <w:szCs w:val="24"/>
        </w:rPr>
        <w:t xml:space="preserve">“Shembuj të vendimeve administrative që mund të ankimohen lidhur me tatimpaguesin dhe detyrimin e tij tatimor përfshijnë...:  c) çdo akt që ndikon kërkesën e tij për rimbursim </w:t>
      </w:r>
      <w:r w:rsidRPr="005C4895">
        <w:rPr>
          <w:rFonts w:ascii="Times New Roman" w:hAnsi="Times New Roman" w:cs="Times New Roman"/>
          <w:sz w:val="24"/>
          <w:szCs w:val="24"/>
        </w:rPr>
        <w:t>dhe paragrafit 75/1, pika 2.7, ku citojmë: “</w:t>
      </w:r>
      <w:r w:rsidRPr="005C4895">
        <w:rPr>
          <w:rFonts w:ascii="Times New Roman" w:hAnsi="Times New Roman" w:cs="Times New Roman"/>
          <w:i/>
          <w:sz w:val="24"/>
          <w:szCs w:val="24"/>
        </w:rPr>
        <w:t>Në raste të refuzimit ose të mosmiratimit të një kërkese për rimbursim, plotësisht ose pjesërisht, për arsye që kanë të bëjnë me rezultatet e kontrollit ose me shkelje të tjera ligjore, personi i tatueshëm ndaj çdo refuzimi ose mosmiratimi për rimbursim, ka të drejtë të apelojë në përputhje me dispozitat e ligjit nr. 9920, datë 19.5.2008, "Për procedurat tatimore në Republikën e Shqipërisë", të ndryshuar”.</w:t>
      </w:r>
      <w:r w:rsidRPr="005C4895">
        <w:rPr>
          <w:rFonts w:ascii="Times New Roman" w:hAnsi="Times New Roman" w:cs="Times New Roman"/>
          <w:sz w:val="24"/>
          <w:szCs w:val="24"/>
        </w:rPr>
        <w:t xml:space="preserve"> </w:t>
      </w:r>
    </w:p>
    <w:p w:rsidR="00204B8A" w:rsidRPr="005C4895" w:rsidRDefault="00204B8A" w:rsidP="00C33F20">
      <w:pPr>
        <w:widowControl w:val="0"/>
        <w:numPr>
          <w:ilvl w:val="0"/>
          <w:numId w:val="12"/>
        </w:numPr>
        <w:spacing w:after="0" w:line="276" w:lineRule="auto"/>
        <w:jc w:val="both"/>
        <w:rPr>
          <w:rFonts w:ascii="Times New Roman" w:hAnsi="Times New Roman" w:cs="Times New Roman"/>
          <w:sz w:val="24"/>
          <w:szCs w:val="24"/>
        </w:rPr>
      </w:pPr>
      <w:r w:rsidRPr="005C4895">
        <w:rPr>
          <w:rFonts w:ascii="Times New Roman" w:hAnsi="Times New Roman" w:cs="Times New Roman"/>
          <w:sz w:val="24"/>
          <w:szCs w:val="24"/>
        </w:rPr>
        <w:t xml:space="preserve">Kërkesa për apelim është paraqitur brenda afatit të përcaktuar në nenin 106, pika 3 të Ligjit nr. 9920, datë 19.05.2008 "Për Procedurat Tatimore në RSH". Akti administrativ ku është përcaktuar mosrimbursimi i TVSH-së mban datën </w:t>
      </w:r>
      <w:r w:rsidR="00285555">
        <w:rPr>
          <w:rFonts w:ascii="Times New Roman" w:hAnsi="Times New Roman" w:cs="Times New Roman"/>
          <w:sz w:val="24"/>
          <w:szCs w:val="24"/>
        </w:rPr>
        <w:t>05.10</w:t>
      </w:r>
      <w:r w:rsidR="00A50541" w:rsidRPr="005C4895">
        <w:rPr>
          <w:rFonts w:ascii="Times New Roman" w:hAnsi="Times New Roman" w:cs="Times New Roman"/>
          <w:sz w:val="24"/>
          <w:szCs w:val="24"/>
        </w:rPr>
        <w:t>.2021</w:t>
      </w:r>
      <w:r w:rsidRPr="005C4895">
        <w:rPr>
          <w:rFonts w:ascii="Times New Roman" w:hAnsi="Times New Roman" w:cs="Times New Roman"/>
          <w:sz w:val="24"/>
          <w:szCs w:val="24"/>
        </w:rPr>
        <w:t>,</w:t>
      </w:r>
      <w:r w:rsidR="003918AC">
        <w:rPr>
          <w:rFonts w:ascii="Times New Roman" w:hAnsi="Times New Roman" w:cs="Times New Roman"/>
          <w:sz w:val="24"/>
          <w:szCs w:val="24"/>
        </w:rPr>
        <w:t xml:space="preserve"> </w:t>
      </w:r>
      <w:r w:rsidR="00285555">
        <w:rPr>
          <w:rFonts w:ascii="Times New Roman" w:hAnsi="Times New Roman" w:cs="Times New Roman"/>
          <w:sz w:val="24"/>
          <w:szCs w:val="24"/>
        </w:rPr>
        <w:t>është marrë në dorëzim nga tatimpaguesi në datë 06.10.2021, referuar fotokopjes së zafit bashkëlidhur kërkesës ankimore RR650399879AA,</w:t>
      </w:r>
      <w:r w:rsidRPr="005C4895">
        <w:rPr>
          <w:rFonts w:ascii="Times New Roman" w:hAnsi="Times New Roman" w:cs="Times New Roman"/>
          <w:sz w:val="24"/>
          <w:szCs w:val="24"/>
        </w:rPr>
        <w:t xml:space="preserve"> ndërsa ankimi është dorëzuar në shërbimin postar në datën </w:t>
      </w:r>
      <w:r w:rsidR="00285555">
        <w:rPr>
          <w:rFonts w:ascii="Times New Roman" w:hAnsi="Times New Roman" w:cs="Times New Roman"/>
          <w:sz w:val="24"/>
          <w:szCs w:val="24"/>
        </w:rPr>
        <w:t>05</w:t>
      </w:r>
      <w:r w:rsidR="00A50541" w:rsidRPr="005C4895">
        <w:rPr>
          <w:rFonts w:ascii="Times New Roman" w:hAnsi="Times New Roman" w:cs="Times New Roman"/>
          <w:sz w:val="24"/>
          <w:szCs w:val="24"/>
        </w:rPr>
        <w:t>.11.2021</w:t>
      </w:r>
    </w:p>
    <w:p w:rsidR="00204B8A" w:rsidRPr="005C4895" w:rsidRDefault="00204B8A" w:rsidP="00C33F20">
      <w:pPr>
        <w:pStyle w:val="Header"/>
        <w:widowControl w:val="0"/>
        <w:tabs>
          <w:tab w:val="left" w:pos="720"/>
        </w:tabs>
        <w:spacing w:line="276" w:lineRule="auto"/>
        <w:jc w:val="both"/>
        <w:rPr>
          <w:rFonts w:ascii="Times New Roman" w:hAnsi="Times New Roman" w:cs="Times New Roman"/>
          <w:sz w:val="24"/>
          <w:szCs w:val="24"/>
        </w:rPr>
      </w:pPr>
    </w:p>
    <w:p w:rsidR="00204B8A" w:rsidRPr="005C4895" w:rsidRDefault="00204B8A" w:rsidP="00C33F20">
      <w:pPr>
        <w:pStyle w:val="Header"/>
        <w:widowControl w:val="0"/>
        <w:tabs>
          <w:tab w:val="left" w:pos="720"/>
        </w:tabs>
        <w:spacing w:line="276" w:lineRule="auto"/>
        <w:jc w:val="both"/>
        <w:rPr>
          <w:rFonts w:ascii="Times New Roman" w:hAnsi="Times New Roman" w:cs="Times New Roman"/>
          <w:bCs/>
          <w:sz w:val="24"/>
          <w:szCs w:val="24"/>
        </w:rPr>
      </w:pPr>
      <w:r w:rsidRPr="005C4895">
        <w:rPr>
          <w:rFonts w:ascii="Times New Roman" w:hAnsi="Times New Roman" w:cs="Times New Roman"/>
          <w:bCs/>
          <w:sz w:val="24"/>
          <w:szCs w:val="24"/>
        </w:rPr>
        <w:t xml:space="preserve">Me shkresën </w:t>
      </w:r>
      <w:r w:rsidR="00A50541" w:rsidRPr="005C4895">
        <w:rPr>
          <w:rFonts w:ascii="Times New Roman" w:hAnsi="Times New Roman" w:cs="Times New Roman"/>
          <w:bCs/>
          <w:sz w:val="24"/>
          <w:szCs w:val="24"/>
        </w:rPr>
        <w:t xml:space="preserve">e </w:t>
      </w:r>
      <w:r w:rsidRPr="005C4895">
        <w:rPr>
          <w:rFonts w:ascii="Times New Roman" w:hAnsi="Times New Roman" w:cs="Times New Roman"/>
          <w:bCs/>
          <w:sz w:val="24"/>
          <w:szCs w:val="24"/>
        </w:rPr>
        <w:t xml:space="preserve">protokolluar në Drejtorinë e Përgjithshme të Tatimeve, shoqëria ka kërkuar rimbursimin e TVSH kreditore. Në zbatim të pikës 75/1 të Udhëzimit nr. 24, datë 02.09.2008 “Për Procedurat Tatimore në RSH”, të ndryshuar, dhe Rregullores së Rimbursimit të TVSH-së nr. 29097/14 prot, datë 23.10.2015, pika 10, </w:t>
      </w:r>
      <w:r w:rsidR="00A50541" w:rsidRPr="005C4895">
        <w:rPr>
          <w:rFonts w:ascii="Times New Roman" w:hAnsi="Times New Roman" w:cs="Times New Roman"/>
          <w:bCs/>
          <w:sz w:val="24"/>
          <w:szCs w:val="24"/>
        </w:rPr>
        <w:t>me Njoftim Kontrolli</w:t>
      </w:r>
      <w:r w:rsidRPr="005C4895">
        <w:rPr>
          <w:rFonts w:ascii="Times New Roman" w:hAnsi="Times New Roman" w:cs="Times New Roman"/>
          <w:bCs/>
          <w:sz w:val="24"/>
          <w:szCs w:val="24"/>
        </w:rPr>
        <w:t xml:space="preserve"> </w:t>
      </w:r>
      <w:r w:rsidR="00A50541" w:rsidRPr="005C4895">
        <w:rPr>
          <w:rFonts w:ascii="Times New Roman" w:hAnsi="Times New Roman" w:cs="Times New Roman"/>
          <w:bCs/>
          <w:sz w:val="24"/>
          <w:szCs w:val="24"/>
        </w:rPr>
        <w:t>është kontrolluar tatimpaguesi sipas kërkesës së bërë</w:t>
      </w:r>
      <w:r w:rsidRPr="005C4895">
        <w:rPr>
          <w:rFonts w:ascii="Times New Roman" w:hAnsi="Times New Roman" w:cs="Times New Roman"/>
          <w:bCs/>
          <w:sz w:val="24"/>
          <w:szCs w:val="24"/>
        </w:rPr>
        <w:t>. Periudha e krij</w:t>
      </w:r>
      <w:r w:rsidR="00150FFB">
        <w:rPr>
          <w:rFonts w:ascii="Times New Roman" w:hAnsi="Times New Roman" w:cs="Times New Roman"/>
          <w:bCs/>
          <w:sz w:val="24"/>
          <w:szCs w:val="24"/>
        </w:rPr>
        <w:t>imit të TVSH-së kreditore është 2018/11-2020/11</w:t>
      </w:r>
      <w:r w:rsidRPr="005C4895">
        <w:rPr>
          <w:rFonts w:ascii="Times New Roman" w:hAnsi="Times New Roman" w:cs="Times New Roman"/>
          <w:bCs/>
          <w:sz w:val="24"/>
          <w:szCs w:val="24"/>
        </w:rPr>
        <w:t>.</w:t>
      </w:r>
    </w:p>
    <w:p w:rsidR="00CC36EA" w:rsidRPr="005C4895" w:rsidRDefault="00CC36EA" w:rsidP="00C33F20">
      <w:pPr>
        <w:pStyle w:val="Default"/>
        <w:widowControl w:val="0"/>
        <w:spacing w:line="276" w:lineRule="auto"/>
        <w:jc w:val="both"/>
        <w:rPr>
          <w:rFonts w:ascii="Times New Roman" w:hAnsi="Times New Roman" w:cs="Times New Roman"/>
          <w:bCs/>
          <w:color w:val="auto"/>
          <w:szCs w:val="22"/>
          <w:lang w:val="sq-AL"/>
        </w:rPr>
      </w:pPr>
      <w:r w:rsidRPr="005C4895">
        <w:rPr>
          <w:rFonts w:ascii="Times New Roman" w:hAnsi="Times New Roman" w:cs="Times New Roman"/>
          <w:bCs/>
          <w:color w:val="auto"/>
          <w:szCs w:val="22"/>
          <w:lang w:val="sq-AL"/>
        </w:rPr>
        <w:t>Nga kontrolli është arritur në konkluzion se kërkesa për rimbursim bërë n</w:t>
      </w:r>
      <w:r w:rsidR="00150FFB">
        <w:rPr>
          <w:rFonts w:ascii="Times New Roman" w:hAnsi="Times New Roman" w:cs="Times New Roman"/>
          <w:bCs/>
          <w:color w:val="auto"/>
          <w:szCs w:val="22"/>
          <w:lang w:val="sq-AL"/>
        </w:rPr>
        <w:t xml:space="preserve">ga shoqeria </w:t>
      </w:r>
      <w:r w:rsidRPr="005C4895">
        <w:rPr>
          <w:rFonts w:ascii="Times New Roman" w:hAnsi="Times New Roman" w:cs="Times New Roman"/>
          <w:bCs/>
          <w:color w:val="auto"/>
          <w:szCs w:val="22"/>
          <w:lang w:val="sq-AL"/>
        </w:rPr>
        <w:t xml:space="preserve">rezulton se është në përputhje me Nenin 77 “Rimbursimi i TVSH-së”, Pika 1 dhe Pika 3 e Ligjit </w:t>
      </w:r>
      <w:r w:rsidR="00133C4E" w:rsidRPr="005C4895">
        <w:rPr>
          <w:rFonts w:ascii="Times New Roman" w:hAnsi="Times New Roman" w:cs="Times New Roman"/>
          <w:bCs/>
          <w:color w:val="auto"/>
          <w:szCs w:val="22"/>
          <w:lang w:val="sq-AL"/>
        </w:rPr>
        <w:t>n</w:t>
      </w:r>
      <w:r w:rsidRPr="005C4895">
        <w:rPr>
          <w:rFonts w:ascii="Times New Roman" w:hAnsi="Times New Roman" w:cs="Times New Roman"/>
          <w:bCs/>
          <w:color w:val="auto"/>
          <w:szCs w:val="22"/>
          <w:lang w:val="sq-AL"/>
        </w:rPr>
        <w:t xml:space="preserve">r. 92/2014 </w:t>
      </w:r>
      <w:r w:rsidRPr="005C4895">
        <w:rPr>
          <w:rFonts w:ascii="Times New Roman" w:hAnsi="Times New Roman" w:cs="Times New Roman"/>
          <w:bCs/>
          <w:color w:val="auto"/>
          <w:szCs w:val="22"/>
          <w:lang w:val="sq-AL"/>
        </w:rPr>
        <w:lastRenderedPageBreak/>
        <w:t xml:space="preserve">“Për Tatimin mbi Vlerën e Shtuar” i ndryshuar, si dhe shoqëria kategorizohet në bazë të VKM Nr. 953, datë 29.12.2014, Për dispozitat zbatuese të Ligjit Nr. 92/2014 “Për Tatimin mbi Vlerën e Shtuar” i ndryshuar, Neni 10 “Përcaktimi i kategorisë së eksportuesve për qëllim të rimbursimit të TVSH-së”, </w:t>
      </w:r>
      <w:r w:rsidR="003918AC">
        <w:rPr>
          <w:rFonts w:ascii="Times New Roman" w:hAnsi="Times New Roman" w:cs="Times New Roman"/>
          <w:bCs/>
          <w:color w:val="auto"/>
          <w:szCs w:val="22"/>
          <w:lang w:val="sq-AL"/>
        </w:rPr>
        <w:t>p</w:t>
      </w:r>
      <w:r w:rsidRPr="005C4895">
        <w:rPr>
          <w:rFonts w:ascii="Times New Roman" w:hAnsi="Times New Roman" w:cs="Times New Roman"/>
          <w:bCs/>
          <w:color w:val="auto"/>
          <w:szCs w:val="22"/>
          <w:lang w:val="sq-AL"/>
        </w:rPr>
        <w:t xml:space="preserve">ika 1 shkronja </w:t>
      </w:r>
      <w:r w:rsidR="003918AC">
        <w:rPr>
          <w:rFonts w:ascii="Times New Roman" w:hAnsi="Times New Roman" w:cs="Times New Roman"/>
          <w:bCs/>
          <w:color w:val="auto"/>
          <w:szCs w:val="22"/>
          <w:lang w:val="sq-AL"/>
        </w:rPr>
        <w:t>(</w:t>
      </w:r>
      <w:r w:rsidRPr="005C4895">
        <w:rPr>
          <w:rFonts w:ascii="Times New Roman" w:hAnsi="Times New Roman" w:cs="Times New Roman"/>
          <w:bCs/>
          <w:color w:val="auto"/>
          <w:szCs w:val="22"/>
          <w:lang w:val="sq-AL"/>
        </w:rPr>
        <w:t>b) Kanë aktivitet eksportues mbi 1</w:t>
      </w:r>
      <w:r w:rsidR="00133C4E" w:rsidRPr="005C4895">
        <w:rPr>
          <w:rFonts w:ascii="Times New Roman" w:hAnsi="Times New Roman" w:cs="Times New Roman"/>
          <w:bCs/>
          <w:color w:val="auto"/>
          <w:szCs w:val="22"/>
          <w:lang w:val="sq-AL"/>
        </w:rPr>
        <w:t xml:space="preserve"> </w:t>
      </w:r>
      <w:r w:rsidRPr="005C4895">
        <w:rPr>
          <w:rFonts w:ascii="Times New Roman" w:hAnsi="Times New Roman" w:cs="Times New Roman"/>
          <w:bCs/>
          <w:color w:val="auto"/>
          <w:szCs w:val="22"/>
          <w:lang w:val="sq-AL"/>
        </w:rPr>
        <w:t xml:space="preserve">vit. Në bazë të legjislacionit të mësipërm shoqerisë shuma </w:t>
      </w:r>
      <w:r w:rsidR="00903C85">
        <w:rPr>
          <w:rFonts w:ascii="Times New Roman" w:hAnsi="Times New Roman" w:cs="Times New Roman"/>
          <w:bCs/>
          <w:color w:val="auto"/>
          <w:szCs w:val="22"/>
          <w:lang w:val="sq-AL"/>
        </w:rPr>
        <w:t>e</w:t>
      </w:r>
      <w:r w:rsidRPr="005C4895">
        <w:rPr>
          <w:rFonts w:ascii="Times New Roman" w:hAnsi="Times New Roman" w:cs="Times New Roman"/>
          <w:bCs/>
          <w:color w:val="auto"/>
          <w:szCs w:val="22"/>
          <w:lang w:val="sq-AL"/>
        </w:rPr>
        <w:t xml:space="preserve"> kërkuar prej saj nuk i miratohet per rimbursim me arsyetimin e meposhtem:</w:t>
      </w:r>
    </w:p>
    <w:p w:rsidR="000D7DC2" w:rsidRDefault="00CC36EA" w:rsidP="00C33F20">
      <w:pPr>
        <w:pStyle w:val="Default"/>
        <w:widowControl w:val="0"/>
        <w:spacing w:line="276" w:lineRule="auto"/>
        <w:jc w:val="both"/>
        <w:rPr>
          <w:rFonts w:ascii="Times New Roman" w:hAnsi="Times New Roman" w:cs="Times New Roman"/>
          <w:color w:val="000000" w:themeColor="text1"/>
          <w:szCs w:val="22"/>
          <w:lang w:val="sq-AL"/>
        </w:rPr>
      </w:pPr>
      <w:r w:rsidRPr="005C4895">
        <w:rPr>
          <w:rFonts w:ascii="Times New Roman" w:hAnsi="Times New Roman" w:cs="Times New Roman"/>
          <w:color w:val="000000" w:themeColor="text1"/>
          <w:szCs w:val="22"/>
          <w:lang w:val="sq-AL"/>
        </w:rPr>
        <w:t>Gj</w:t>
      </w:r>
      <w:r w:rsidR="00C33F20">
        <w:rPr>
          <w:rFonts w:ascii="Times New Roman" w:hAnsi="Times New Roman" w:cs="Times New Roman"/>
          <w:color w:val="000000" w:themeColor="text1"/>
          <w:szCs w:val="22"/>
          <w:lang w:val="sq-AL"/>
        </w:rPr>
        <w:t>e</w:t>
      </w:r>
      <w:r w:rsidRPr="005C4895">
        <w:rPr>
          <w:rFonts w:ascii="Times New Roman" w:hAnsi="Times New Roman" w:cs="Times New Roman"/>
          <w:color w:val="000000" w:themeColor="text1"/>
          <w:szCs w:val="22"/>
          <w:lang w:val="sq-AL"/>
        </w:rPr>
        <w:t>ndja kreditore vjen si rezultat i shtimit t</w:t>
      </w:r>
      <w:r w:rsidR="00054C82">
        <w:rPr>
          <w:rFonts w:ascii="Times New Roman" w:hAnsi="Times New Roman" w:cs="Times New Roman"/>
          <w:color w:val="000000" w:themeColor="text1"/>
          <w:szCs w:val="22"/>
          <w:lang w:val="sq-AL"/>
        </w:rPr>
        <w:t>ë</w:t>
      </w:r>
      <w:r w:rsidRPr="005C4895">
        <w:rPr>
          <w:rFonts w:ascii="Times New Roman" w:hAnsi="Times New Roman" w:cs="Times New Roman"/>
          <w:color w:val="000000" w:themeColor="text1"/>
          <w:szCs w:val="22"/>
          <w:lang w:val="sq-AL"/>
        </w:rPr>
        <w:t xml:space="preserve"> inventarit fizik t</w:t>
      </w:r>
      <w:r w:rsidR="00054C82">
        <w:rPr>
          <w:rFonts w:ascii="Times New Roman" w:hAnsi="Times New Roman" w:cs="Times New Roman"/>
          <w:color w:val="000000" w:themeColor="text1"/>
          <w:szCs w:val="22"/>
          <w:lang w:val="sq-AL"/>
        </w:rPr>
        <w:t>ë</w:t>
      </w:r>
      <w:r w:rsidRPr="005C4895">
        <w:rPr>
          <w:rFonts w:ascii="Times New Roman" w:hAnsi="Times New Roman" w:cs="Times New Roman"/>
          <w:color w:val="000000" w:themeColor="text1"/>
          <w:szCs w:val="22"/>
          <w:lang w:val="sq-AL"/>
        </w:rPr>
        <w:t xml:space="preserve"> mallrave p</w:t>
      </w:r>
      <w:r w:rsidR="00054C82">
        <w:rPr>
          <w:rFonts w:ascii="Times New Roman" w:hAnsi="Times New Roman" w:cs="Times New Roman"/>
          <w:color w:val="000000" w:themeColor="text1"/>
          <w:szCs w:val="22"/>
          <w:lang w:val="sq-AL"/>
        </w:rPr>
        <w:t>ë</w:t>
      </w:r>
      <w:r w:rsidRPr="005C4895">
        <w:rPr>
          <w:rFonts w:ascii="Times New Roman" w:hAnsi="Times New Roman" w:cs="Times New Roman"/>
          <w:color w:val="000000" w:themeColor="text1"/>
          <w:szCs w:val="22"/>
          <w:lang w:val="sq-AL"/>
        </w:rPr>
        <w:t xml:space="preserve">r rishitje, </w:t>
      </w:r>
      <w:r w:rsidR="00150FFB">
        <w:rPr>
          <w:rFonts w:ascii="Times New Roman" w:hAnsi="Times New Roman" w:cs="Times New Roman"/>
          <w:color w:val="000000" w:themeColor="text1"/>
          <w:szCs w:val="22"/>
          <w:lang w:val="sq-AL"/>
        </w:rPr>
        <w:t xml:space="preserve">nga analiza e kryer e </w:t>
      </w:r>
      <w:r w:rsidRPr="005C4895">
        <w:rPr>
          <w:rFonts w:ascii="Times New Roman" w:hAnsi="Times New Roman" w:cs="Times New Roman"/>
          <w:color w:val="000000" w:themeColor="text1"/>
          <w:szCs w:val="22"/>
          <w:lang w:val="sq-AL"/>
        </w:rPr>
        <w:t xml:space="preserve"> artikuj</w:t>
      </w:r>
      <w:r w:rsidR="00150FFB">
        <w:rPr>
          <w:rFonts w:ascii="Times New Roman" w:hAnsi="Times New Roman" w:cs="Times New Roman"/>
          <w:color w:val="000000" w:themeColor="text1"/>
          <w:szCs w:val="22"/>
          <w:lang w:val="sq-AL"/>
        </w:rPr>
        <w:t>ve</w:t>
      </w:r>
      <w:r w:rsidRPr="005C4895">
        <w:rPr>
          <w:rFonts w:ascii="Times New Roman" w:hAnsi="Times New Roman" w:cs="Times New Roman"/>
          <w:color w:val="000000" w:themeColor="text1"/>
          <w:szCs w:val="22"/>
          <w:lang w:val="sq-AL"/>
        </w:rPr>
        <w:t xml:space="preserve"> </w:t>
      </w:r>
      <w:r w:rsidR="00150FFB">
        <w:rPr>
          <w:rFonts w:ascii="Times New Roman" w:hAnsi="Times New Roman" w:cs="Times New Roman"/>
          <w:color w:val="000000" w:themeColor="text1"/>
          <w:szCs w:val="22"/>
          <w:lang w:val="sq-AL"/>
        </w:rPr>
        <w:t>kryesor</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me pesh</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specifike m</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t</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madhe n</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qarkullim </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sht</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gaz ftoh</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s sipas kodeve</w:t>
      </w:r>
      <w:r w:rsidRPr="005C4895">
        <w:rPr>
          <w:rFonts w:ascii="Times New Roman" w:hAnsi="Times New Roman" w:cs="Times New Roman"/>
          <w:color w:val="000000" w:themeColor="text1"/>
          <w:szCs w:val="22"/>
          <w:lang w:val="sq-AL"/>
        </w:rPr>
        <w:t>.</w:t>
      </w:r>
      <w:r w:rsidR="00150FFB">
        <w:rPr>
          <w:rFonts w:ascii="Times New Roman" w:hAnsi="Times New Roman" w:cs="Times New Roman"/>
          <w:color w:val="000000" w:themeColor="text1"/>
          <w:szCs w:val="22"/>
          <w:lang w:val="sq-AL"/>
        </w:rPr>
        <w:t xml:space="preserve"> Shoq</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ria ka patur gj</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ndje n</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magazin</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n</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fillim t</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 periudh</w:t>
      </w:r>
      <w:r w:rsidR="00054C82">
        <w:rPr>
          <w:rFonts w:ascii="Times New Roman" w:hAnsi="Times New Roman" w:cs="Times New Roman"/>
          <w:color w:val="000000" w:themeColor="text1"/>
          <w:szCs w:val="22"/>
          <w:lang w:val="sq-AL"/>
        </w:rPr>
        <w:t>ë</w:t>
      </w:r>
      <w:r w:rsidR="00150FFB">
        <w:rPr>
          <w:rFonts w:ascii="Times New Roman" w:hAnsi="Times New Roman" w:cs="Times New Roman"/>
          <w:color w:val="000000" w:themeColor="text1"/>
          <w:szCs w:val="22"/>
          <w:lang w:val="sq-AL"/>
        </w:rPr>
        <w:t xml:space="preserve">s </w:t>
      </w:r>
      <w:r w:rsidR="003D6474">
        <w:rPr>
          <w:rFonts w:ascii="Times New Roman" w:hAnsi="Times New Roman" w:cs="Times New Roman"/>
          <w:color w:val="000000" w:themeColor="text1"/>
          <w:szCs w:val="22"/>
          <w:lang w:val="sq-AL"/>
        </w:rPr>
        <w:t>s</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kontrolluar 2018/11, 22.866 cop</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bombula gazi ftoh</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s,, ka bler</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35.836 cop</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p</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r periudh</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n e kontrolluar (2018/11-2020/11) dhe ka shitur 21.395 cop</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bombula. Gjendje n</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fund t</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periudh</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s jan</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37.307 cop</w:t>
      </w:r>
      <w:r w:rsidR="00054C82">
        <w:rPr>
          <w:rFonts w:ascii="Times New Roman" w:hAnsi="Times New Roman" w:cs="Times New Roman"/>
          <w:color w:val="000000" w:themeColor="text1"/>
          <w:szCs w:val="22"/>
          <w:lang w:val="sq-AL"/>
        </w:rPr>
        <w:t>ë</w:t>
      </w:r>
      <w:r w:rsidR="003D6474">
        <w:rPr>
          <w:rFonts w:ascii="Times New Roman" w:hAnsi="Times New Roman" w:cs="Times New Roman"/>
          <w:color w:val="000000" w:themeColor="text1"/>
          <w:szCs w:val="22"/>
          <w:lang w:val="sq-AL"/>
        </w:rPr>
        <w:t xml:space="preserve"> bombula.</w:t>
      </w:r>
      <w:r w:rsidR="00C33F20">
        <w:rPr>
          <w:rFonts w:ascii="Times New Roman" w:hAnsi="Times New Roman" w:cs="Times New Roman"/>
          <w:color w:val="000000" w:themeColor="text1"/>
          <w:szCs w:val="22"/>
          <w:lang w:val="sq-AL"/>
        </w:rPr>
        <w:t xml:space="preserve"> </w:t>
      </w:r>
      <w:r w:rsidRPr="005C4895">
        <w:rPr>
          <w:rFonts w:ascii="Times New Roman" w:hAnsi="Times New Roman" w:cs="Times New Roman"/>
          <w:color w:val="000000" w:themeColor="text1"/>
          <w:szCs w:val="22"/>
          <w:lang w:val="sq-AL"/>
        </w:rPr>
        <w:t xml:space="preserve">Subjekti blen te njejtat artikuj te cilet i ka gjendje qe nga fillimi i periudhes se kontrolluar, eshte strategji e subjektit ne lidhje me studimet e tregut qe ben me prioritet stokun qe krijon, por qe nuk e justifikon kerkimin te </w:t>
      </w:r>
      <w:r w:rsidR="003918AC" w:rsidRPr="005C4895">
        <w:rPr>
          <w:rFonts w:ascii="Times New Roman" w:hAnsi="Times New Roman" w:cs="Times New Roman"/>
          <w:color w:val="000000" w:themeColor="text1"/>
          <w:szCs w:val="22"/>
          <w:lang w:val="sq-AL"/>
        </w:rPr>
        <w:t>TVSH</w:t>
      </w:r>
      <w:r w:rsidRPr="005C4895">
        <w:rPr>
          <w:rFonts w:ascii="Times New Roman" w:hAnsi="Times New Roman" w:cs="Times New Roman"/>
          <w:color w:val="000000" w:themeColor="text1"/>
          <w:szCs w:val="22"/>
          <w:lang w:val="sq-AL"/>
        </w:rPr>
        <w:t>-se se inventarit stok.</w:t>
      </w:r>
    </w:p>
    <w:p w:rsidR="00CC36EA" w:rsidRDefault="000D7DC2" w:rsidP="00C33F20">
      <w:pPr>
        <w:pStyle w:val="Default"/>
        <w:widowControl w:val="0"/>
        <w:spacing w:line="276" w:lineRule="auto"/>
        <w:jc w:val="both"/>
        <w:rPr>
          <w:rFonts w:ascii="Times New Roman" w:hAnsi="Times New Roman" w:cs="Times New Roman"/>
          <w:color w:val="000000" w:themeColor="text1"/>
          <w:szCs w:val="22"/>
          <w:lang w:val="sq-AL"/>
        </w:rPr>
      </w:pPr>
      <w:r>
        <w:rPr>
          <w:rFonts w:ascii="Times New Roman" w:hAnsi="Times New Roman" w:cs="Times New Roman"/>
          <w:color w:val="000000" w:themeColor="text1"/>
          <w:szCs w:val="22"/>
          <w:lang w:val="sq-AL"/>
        </w:rPr>
        <w:t>Subjekti ka gj</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ndje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magazin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artikuj t</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cil</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t kan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periudh</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t</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gjat</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inventar,</w:t>
      </w:r>
      <w:r w:rsidR="003918AC">
        <w:rPr>
          <w:rFonts w:ascii="Times New Roman" w:hAnsi="Times New Roman" w:cs="Times New Roman"/>
          <w:color w:val="000000" w:themeColor="text1"/>
          <w:szCs w:val="22"/>
          <w:lang w:val="sq-AL"/>
        </w:rPr>
        <w:t xml:space="preserve"> </w:t>
      </w:r>
      <w:r>
        <w:rPr>
          <w:rFonts w:ascii="Times New Roman" w:hAnsi="Times New Roman" w:cs="Times New Roman"/>
          <w:color w:val="000000" w:themeColor="text1"/>
          <w:szCs w:val="22"/>
          <w:lang w:val="sq-AL"/>
        </w:rPr>
        <w:t>artikuj t</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cil</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t kan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nj</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afat skadimi apo zhvler</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simi nga q</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ndrimi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magazin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dhe q</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kan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pesh</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specifike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tvsh-n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kreditore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blerjet e subjektit, arsyetim q</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e b</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n subjektin me risk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lidhje me shitjen e k</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tyre produkteve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periudhat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vijim.</w:t>
      </w:r>
      <w:r w:rsidR="00C33F20">
        <w:rPr>
          <w:rFonts w:ascii="Times New Roman" w:hAnsi="Times New Roman" w:cs="Times New Roman"/>
          <w:color w:val="000000" w:themeColor="text1"/>
          <w:szCs w:val="22"/>
          <w:lang w:val="sq-AL"/>
        </w:rPr>
        <w:t xml:space="preserve"> </w:t>
      </w:r>
      <w:r>
        <w:rPr>
          <w:rFonts w:ascii="Times New Roman" w:hAnsi="Times New Roman" w:cs="Times New Roman"/>
          <w:color w:val="000000" w:themeColor="text1"/>
          <w:szCs w:val="22"/>
          <w:lang w:val="sq-AL"/>
        </w:rPr>
        <w:t>Sipas k</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tyre argumentave shoq</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ris</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nuk i miratohet k</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rkesa p</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r rimbursim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lidhje me inventarin gj</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ndje n</w:t>
      </w:r>
      <w:r w:rsidR="00054C82">
        <w:rPr>
          <w:rFonts w:ascii="Times New Roman" w:hAnsi="Times New Roman" w:cs="Times New Roman"/>
          <w:color w:val="000000" w:themeColor="text1"/>
          <w:szCs w:val="22"/>
          <w:lang w:val="sq-AL"/>
        </w:rPr>
        <w:t>ë</w:t>
      </w:r>
      <w:r>
        <w:rPr>
          <w:rFonts w:ascii="Times New Roman" w:hAnsi="Times New Roman" w:cs="Times New Roman"/>
          <w:color w:val="000000" w:themeColor="text1"/>
          <w:szCs w:val="22"/>
          <w:lang w:val="sq-AL"/>
        </w:rPr>
        <w:t xml:space="preserve"> magazine</w:t>
      </w:r>
      <w:r w:rsidR="003918AC">
        <w:rPr>
          <w:rFonts w:ascii="Times New Roman" w:hAnsi="Times New Roman" w:cs="Times New Roman"/>
          <w:color w:val="000000" w:themeColor="text1"/>
          <w:szCs w:val="22"/>
          <w:lang w:val="sq-AL"/>
        </w:rPr>
        <w:t>.</w:t>
      </w:r>
    </w:p>
    <w:p w:rsidR="003918AC" w:rsidRPr="000D7DC2" w:rsidRDefault="003918AC" w:rsidP="00C33F20">
      <w:pPr>
        <w:pStyle w:val="Default"/>
        <w:widowControl w:val="0"/>
        <w:spacing w:line="276" w:lineRule="auto"/>
        <w:jc w:val="both"/>
        <w:rPr>
          <w:rFonts w:ascii="Times New Roman" w:hAnsi="Times New Roman" w:cs="Times New Roman"/>
          <w:color w:val="000000" w:themeColor="text1"/>
          <w:szCs w:val="22"/>
          <w:lang w:val="sq-AL"/>
        </w:rPr>
      </w:pPr>
    </w:p>
    <w:p w:rsidR="00CC36EA" w:rsidRPr="005C4895" w:rsidRDefault="00CC36EA" w:rsidP="00C33F20">
      <w:pPr>
        <w:pStyle w:val="Default"/>
        <w:widowControl w:val="0"/>
        <w:spacing w:line="276" w:lineRule="auto"/>
        <w:jc w:val="center"/>
        <w:rPr>
          <w:rFonts w:ascii="Times New Roman" w:hAnsi="Times New Roman" w:cs="Times New Roman"/>
          <w:bCs/>
          <w:color w:val="000000" w:themeColor="text1"/>
          <w:szCs w:val="22"/>
          <w:lang w:val="sq-AL"/>
        </w:rPr>
      </w:pPr>
      <w:r w:rsidRPr="005C4895">
        <w:rPr>
          <w:rFonts w:ascii="Times New Roman" w:hAnsi="Times New Roman" w:cs="Times New Roman"/>
          <w:bCs/>
          <w:color w:val="000000" w:themeColor="text1"/>
          <w:szCs w:val="22"/>
          <w:lang w:val="sq-AL"/>
        </w:rPr>
        <w:t>*</w:t>
      </w:r>
      <w:r w:rsidR="00273078" w:rsidRPr="005C4895">
        <w:rPr>
          <w:rFonts w:ascii="Times New Roman" w:hAnsi="Times New Roman" w:cs="Times New Roman"/>
          <w:bCs/>
          <w:color w:val="000000" w:themeColor="text1"/>
          <w:szCs w:val="22"/>
          <w:lang w:val="sq-AL"/>
        </w:rPr>
        <w:t xml:space="preserve"> </w:t>
      </w:r>
      <w:r w:rsidRPr="005C4895">
        <w:rPr>
          <w:rFonts w:ascii="Times New Roman" w:hAnsi="Times New Roman" w:cs="Times New Roman"/>
          <w:bCs/>
          <w:color w:val="000000" w:themeColor="text1"/>
          <w:szCs w:val="22"/>
          <w:lang w:val="sq-AL"/>
        </w:rPr>
        <w:t>*</w:t>
      </w:r>
      <w:r w:rsidR="00273078" w:rsidRPr="005C4895">
        <w:rPr>
          <w:rFonts w:ascii="Times New Roman" w:hAnsi="Times New Roman" w:cs="Times New Roman"/>
          <w:bCs/>
          <w:color w:val="000000" w:themeColor="text1"/>
          <w:szCs w:val="22"/>
          <w:lang w:val="sq-AL"/>
        </w:rPr>
        <w:t xml:space="preserve"> </w:t>
      </w:r>
      <w:r w:rsidRPr="005C4895">
        <w:rPr>
          <w:rFonts w:ascii="Times New Roman" w:hAnsi="Times New Roman" w:cs="Times New Roman"/>
          <w:bCs/>
          <w:color w:val="000000" w:themeColor="text1"/>
          <w:szCs w:val="22"/>
          <w:lang w:val="sq-AL"/>
        </w:rPr>
        <w:t>*</w:t>
      </w:r>
    </w:p>
    <w:p w:rsidR="00C33F20" w:rsidRDefault="00C33F20" w:rsidP="00C33F20">
      <w:pPr>
        <w:pStyle w:val="Default"/>
        <w:widowControl w:val="0"/>
        <w:spacing w:line="276" w:lineRule="auto"/>
        <w:jc w:val="both"/>
        <w:rPr>
          <w:rFonts w:ascii="Times New Roman" w:hAnsi="Times New Roman" w:cs="Times New Roman"/>
          <w:bCs/>
          <w:color w:val="000000" w:themeColor="text1"/>
          <w:szCs w:val="22"/>
          <w:lang w:val="sq-AL"/>
        </w:rPr>
      </w:pPr>
    </w:p>
    <w:p w:rsidR="00272678" w:rsidRPr="00417112" w:rsidRDefault="006E0B9D" w:rsidP="00C33F20">
      <w:pPr>
        <w:widowControl w:val="0"/>
        <w:tabs>
          <w:tab w:val="left" w:pos="1335"/>
        </w:tabs>
        <w:spacing w:after="0"/>
        <w:jc w:val="both"/>
        <w:rPr>
          <w:rFonts w:ascii="Times New Roman" w:hAnsi="Times New Roman" w:cs="Times New Roman"/>
          <w:bCs/>
          <w:color w:val="000000" w:themeColor="text1"/>
          <w:sz w:val="24"/>
          <w:szCs w:val="24"/>
        </w:rPr>
      </w:pPr>
      <w:r w:rsidRPr="00417112">
        <w:rPr>
          <w:rFonts w:ascii="Times New Roman" w:hAnsi="Times New Roman" w:cs="Times New Roman"/>
          <w:bCs/>
          <w:color w:val="000000" w:themeColor="text1"/>
          <w:sz w:val="24"/>
          <w:szCs w:val="24"/>
        </w:rPr>
        <w:t>Shoqëria</w:t>
      </w:r>
      <w:r w:rsidR="000D7DC2" w:rsidRPr="00417112">
        <w:rPr>
          <w:rFonts w:ascii="Times New Roman" w:hAnsi="Times New Roman" w:cs="Times New Roman"/>
          <w:bCs/>
          <w:color w:val="000000" w:themeColor="text1"/>
          <w:sz w:val="24"/>
          <w:szCs w:val="24"/>
        </w:rPr>
        <w:t xml:space="preserve"> </w:t>
      </w:r>
      <w:r w:rsidR="00CC36EA" w:rsidRPr="00417112">
        <w:rPr>
          <w:rFonts w:ascii="Times New Roman" w:hAnsi="Times New Roman" w:cs="Times New Roman"/>
          <w:bCs/>
          <w:color w:val="000000" w:themeColor="text1"/>
          <w:sz w:val="24"/>
          <w:szCs w:val="24"/>
        </w:rPr>
        <w:t xml:space="preserve">ka kundershtuar </w:t>
      </w:r>
      <w:r w:rsidRPr="00417112">
        <w:rPr>
          <w:rFonts w:ascii="Times New Roman" w:hAnsi="Times New Roman" w:cs="Times New Roman"/>
          <w:bCs/>
          <w:color w:val="000000" w:themeColor="text1"/>
          <w:sz w:val="24"/>
          <w:szCs w:val="24"/>
        </w:rPr>
        <w:t xml:space="preserve">Raportin e Kontrollit </w:t>
      </w:r>
      <w:r w:rsidR="000D7DC2" w:rsidRPr="00417112">
        <w:rPr>
          <w:rFonts w:ascii="Times New Roman" w:hAnsi="Times New Roman" w:cs="Times New Roman"/>
          <w:bCs/>
          <w:color w:val="000000" w:themeColor="text1"/>
          <w:sz w:val="24"/>
          <w:szCs w:val="24"/>
        </w:rPr>
        <w:t xml:space="preserve">tatimor </w:t>
      </w:r>
      <w:r w:rsidR="00272678" w:rsidRPr="00417112">
        <w:rPr>
          <w:rFonts w:ascii="Times New Roman" w:hAnsi="Times New Roman" w:cs="Times New Roman"/>
          <w:sz w:val="24"/>
          <w:szCs w:val="24"/>
        </w:rPr>
        <w:t xml:space="preserve">duke arsyetuar se është një interpretim i gabuar i inspektorëve të kontrollit që nëse kjo gjendje TVSH-je e kërkuar për rimbursim vjen nga gjendja e inventarit. </w:t>
      </w:r>
    </w:p>
    <w:p w:rsidR="00272678" w:rsidRPr="005C4895" w:rsidRDefault="003918AC" w:rsidP="00C33F20">
      <w:pPr>
        <w:widowControl w:val="0"/>
        <w:tabs>
          <w:tab w:val="left" w:pos="12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Sipas shoq</w:t>
      </w:r>
      <w:r w:rsidR="00E06CD5">
        <w:rPr>
          <w:rFonts w:ascii="Times New Roman" w:hAnsi="Times New Roman" w:cs="Times New Roman"/>
          <w:sz w:val="24"/>
          <w:szCs w:val="24"/>
        </w:rPr>
        <w:t>ë</w:t>
      </w:r>
      <w:r>
        <w:rPr>
          <w:rFonts w:ascii="Times New Roman" w:hAnsi="Times New Roman" w:cs="Times New Roman"/>
          <w:sz w:val="24"/>
          <w:szCs w:val="24"/>
        </w:rPr>
        <w:t>ris</w:t>
      </w:r>
      <w:r w:rsidR="00E06CD5">
        <w:rPr>
          <w:rFonts w:ascii="Times New Roman" w:hAnsi="Times New Roman" w:cs="Times New Roman"/>
          <w:sz w:val="24"/>
          <w:szCs w:val="24"/>
        </w:rPr>
        <w:t>ë</w:t>
      </w:r>
      <w:r>
        <w:rPr>
          <w:rFonts w:ascii="Times New Roman" w:hAnsi="Times New Roman" w:cs="Times New Roman"/>
          <w:sz w:val="24"/>
          <w:szCs w:val="24"/>
        </w:rPr>
        <w:t>, b</w:t>
      </w:r>
      <w:r w:rsidR="00272678" w:rsidRPr="005C4895">
        <w:rPr>
          <w:rFonts w:ascii="Times New Roman" w:hAnsi="Times New Roman" w:cs="Times New Roman"/>
          <w:sz w:val="24"/>
          <w:szCs w:val="24"/>
        </w:rPr>
        <w:t>aza ligjore për kundërshtimin tonë është neni 77 i ligjit 92/2014 datë 24.04.2014 “Për TVSH” në të cilin është përcaktuar se: “RIMBURSIMI  Neni 77 Rimbursimi i TVSH-së  pika 1 dhe 3:</w:t>
      </w:r>
    </w:p>
    <w:p w:rsidR="00272678" w:rsidRPr="005C4895" w:rsidRDefault="00272678" w:rsidP="00C33F20">
      <w:pPr>
        <w:widowControl w:val="0"/>
        <w:tabs>
          <w:tab w:val="left" w:pos="1260"/>
        </w:tabs>
        <w:spacing w:after="0" w:line="276" w:lineRule="auto"/>
        <w:jc w:val="both"/>
        <w:rPr>
          <w:rFonts w:ascii="Times New Roman" w:hAnsi="Times New Roman" w:cs="Times New Roman"/>
          <w:i/>
          <w:sz w:val="24"/>
          <w:szCs w:val="24"/>
        </w:rPr>
      </w:pPr>
      <w:r w:rsidRPr="005C4895">
        <w:rPr>
          <w:rFonts w:ascii="Times New Roman" w:hAnsi="Times New Roman" w:cs="Times New Roman"/>
          <w:i/>
          <w:sz w:val="24"/>
          <w:szCs w:val="24"/>
        </w:rPr>
        <w:t xml:space="preserve">1. Një person i tatueshëm kërkon rimbursim të tepricës së kreditimit tatimor të TVSH-se nëse: personi i tatueshëm ka mbartur tepricën e TVSH-së së zbritshme për 3 muaj radhazi, sipas pikave 2 dhe 3, të nenit 76, të këtij ligji; dhe b) TVSH-ja e kërkuar për t’u rimbursuar tejkalon shumën prej 400 000 (katërqind mijë) lekësh. </w:t>
      </w:r>
    </w:p>
    <w:p w:rsidR="00272678" w:rsidRPr="005C4895" w:rsidRDefault="00272678" w:rsidP="00C33F20">
      <w:pPr>
        <w:widowControl w:val="0"/>
        <w:tabs>
          <w:tab w:val="left" w:pos="1260"/>
        </w:tabs>
        <w:spacing w:after="0" w:line="276" w:lineRule="auto"/>
        <w:jc w:val="both"/>
        <w:rPr>
          <w:rFonts w:ascii="Times New Roman" w:hAnsi="Times New Roman" w:cs="Times New Roman"/>
          <w:i/>
          <w:sz w:val="24"/>
          <w:szCs w:val="24"/>
        </w:rPr>
      </w:pPr>
      <w:r w:rsidRPr="005C4895">
        <w:rPr>
          <w:rFonts w:ascii="Times New Roman" w:hAnsi="Times New Roman" w:cs="Times New Roman"/>
          <w:i/>
          <w:sz w:val="24"/>
          <w:szCs w:val="24"/>
        </w:rPr>
        <w:t>…</w:t>
      </w:r>
    </w:p>
    <w:p w:rsidR="00272678" w:rsidRPr="005C4895" w:rsidRDefault="00272678" w:rsidP="00C33F20">
      <w:pPr>
        <w:widowControl w:val="0"/>
        <w:tabs>
          <w:tab w:val="left" w:pos="1260"/>
        </w:tabs>
        <w:spacing w:after="0" w:line="276" w:lineRule="auto"/>
        <w:jc w:val="both"/>
        <w:rPr>
          <w:rFonts w:ascii="Times New Roman" w:hAnsi="Times New Roman" w:cs="Times New Roman"/>
          <w:i/>
          <w:sz w:val="24"/>
          <w:szCs w:val="24"/>
        </w:rPr>
      </w:pPr>
      <w:r w:rsidRPr="005C4895">
        <w:rPr>
          <w:rFonts w:ascii="Times New Roman" w:hAnsi="Times New Roman" w:cs="Times New Roman"/>
          <w:i/>
          <w:sz w:val="24"/>
          <w:szCs w:val="24"/>
        </w:rPr>
        <w:t xml:space="preserve">3. Eksportuesit kanë të drejtë të kërkojnë rimbursim kur teprica e tyre tejkalon shumën 400 000 (katërqind mijë) lekë. Këshilli i Ministrave përcakton kategorinë e eksportuesve, sipas këtij neni. </w:t>
      </w:r>
    </w:p>
    <w:p w:rsidR="00272678" w:rsidRPr="005C4895" w:rsidRDefault="000D7DC2" w:rsidP="00C33F20">
      <w:pPr>
        <w:widowControl w:val="0"/>
        <w:tabs>
          <w:tab w:val="left" w:pos="12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Aktiviteti q</w:t>
      </w:r>
      <w:r w:rsidR="00054C82">
        <w:rPr>
          <w:rFonts w:ascii="Times New Roman" w:hAnsi="Times New Roman" w:cs="Times New Roman"/>
          <w:sz w:val="24"/>
          <w:szCs w:val="24"/>
        </w:rPr>
        <w:t>ë</w:t>
      </w:r>
      <w:r>
        <w:rPr>
          <w:rFonts w:ascii="Times New Roman" w:hAnsi="Times New Roman" w:cs="Times New Roman"/>
          <w:sz w:val="24"/>
          <w:szCs w:val="24"/>
        </w:rPr>
        <w:t xml:space="preserve"> shoq</w:t>
      </w:r>
      <w:r w:rsidR="00054C82">
        <w:rPr>
          <w:rFonts w:ascii="Times New Roman" w:hAnsi="Times New Roman" w:cs="Times New Roman"/>
          <w:sz w:val="24"/>
          <w:szCs w:val="24"/>
        </w:rPr>
        <w:t>ë</w:t>
      </w:r>
      <w:r>
        <w:rPr>
          <w:rFonts w:ascii="Times New Roman" w:hAnsi="Times New Roman" w:cs="Times New Roman"/>
          <w:sz w:val="24"/>
          <w:szCs w:val="24"/>
        </w:rPr>
        <w:t xml:space="preserve">ria kryen </w:t>
      </w:r>
      <w:r w:rsidR="00054C82">
        <w:rPr>
          <w:rFonts w:ascii="Times New Roman" w:hAnsi="Times New Roman" w:cs="Times New Roman"/>
          <w:sz w:val="24"/>
          <w:szCs w:val="24"/>
        </w:rPr>
        <w:t>ë</w:t>
      </w:r>
      <w:r>
        <w:rPr>
          <w:rFonts w:ascii="Times New Roman" w:hAnsi="Times New Roman" w:cs="Times New Roman"/>
          <w:sz w:val="24"/>
          <w:szCs w:val="24"/>
        </w:rPr>
        <w:t>sht</w:t>
      </w:r>
      <w:r w:rsidR="00054C82">
        <w:rPr>
          <w:rFonts w:ascii="Times New Roman" w:hAnsi="Times New Roman" w:cs="Times New Roman"/>
          <w:sz w:val="24"/>
          <w:szCs w:val="24"/>
        </w:rPr>
        <w:t>ë</w:t>
      </w:r>
      <w:r>
        <w:rPr>
          <w:rFonts w:ascii="Times New Roman" w:hAnsi="Times New Roman" w:cs="Times New Roman"/>
          <w:sz w:val="24"/>
          <w:szCs w:val="24"/>
        </w:rPr>
        <w:t xml:space="preserve"> kryesisht vet</w:t>
      </w:r>
      <w:r w:rsidR="00054C82">
        <w:rPr>
          <w:rFonts w:ascii="Times New Roman" w:hAnsi="Times New Roman" w:cs="Times New Roman"/>
          <w:sz w:val="24"/>
          <w:szCs w:val="24"/>
        </w:rPr>
        <w:t>ë</w:t>
      </w:r>
      <w:r>
        <w:rPr>
          <w:rFonts w:ascii="Times New Roman" w:hAnsi="Times New Roman" w:cs="Times New Roman"/>
          <w:sz w:val="24"/>
          <w:szCs w:val="24"/>
        </w:rPr>
        <w:t>m n</w:t>
      </w:r>
      <w:r w:rsidR="00054C82">
        <w:rPr>
          <w:rFonts w:ascii="Times New Roman" w:hAnsi="Times New Roman" w:cs="Times New Roman"/>
          <w:sz w:val="24"/>
          <w:szCs w:val="24"/>
        </w:rPr>
        <w:t>ë</w:t>
      </w:r>
      <w:r>
        <w:rPr>
          <w:rFonts w:ascii="Times New Roman" w:hAnsi="Times New Roman" w:cs="Times New Roman"/>
          <w:sz w:val="24"/>
          <w:szCs w:val="24"/>
        </w:rPr>
        <w:t xml:space="preserve"> importimin dhe treg</w:t>
      </w:r>
      <w:r w:rsidR="00054C82">
        <w:rPr>
          <w:rFonts w:ascii="Times New Roman" w:hAnsi="Times New Roman" w:cs="Times New Roman"/>
          <w:sz w:val="24"/>
          <w:szCs w:val="24"/>
        </w:rPr>
        <w:t>ë</w:t>
      </w:r>
      <w:r>
        <w:rPr>
          <w:rFonts w:ascii="Times New Roman" w:hAnsi="Times New Roman" w:cs="Times New Roman"/>
          <w:sz w:val="24"/>
          <w:szCs w:val="24"/>
        </w:rPr>
        <w:t>timin e materialeve elektrosht</w:t>
      </w:r>
      <w:r w:rsidR="00054C82">
        <w:rPr>
          <w:rFonts w:ascii="Times New Roman" w:hAnsi="Times New Roman" w:cs="Times New Roman"/>
          <w:sz w:val="24"/>
          <w:szCs w:val="24"/>
        </w:rPr>
        <w:t>ë</w:t>
      </w:r>
      <w:r>
        <w:rPr>
          <w:rFonts w:ascii="Times New Roman" w:hAnsi="Times New Roman" w:cs="Times New Roman"/>
          <w:sz w:val="24"/>
          <w:szCs w:val="24"/>
        </w:rPr>
        <w:t xml:space="preserve">piake </w:t>
      </w:r>
      <w:r w:rsidR="001D0EE0">
        <w:rPr>
          <w:rFonts w:ascii="Times New Roman" w:hAnsi="Times New Roman" w:cs="Times New Roman"/>
          <w:sz w:val="24"/>
          <w:szCs w:val="24"/>
        </w:rPr>
        <w:t>dhe kryesisht ato frigoriferike, gj</w:t>
      </w:r>
      <w:r w:rsidR="00054C82">
        <w:rPr>
          <w:rFonts w:ascii="Times New Roman" w:hAnsi="Times New Roman" w:cs="Times New Roman"/>
          <w:sz w:val="24"/>
          <w:szCs w:val="24"/>
        </w:rPr>
        <w:t>ë</w:t>
      </w:r>
      <w:r w:rsidR="001D0EE0">
        <w:rPr>
          <w:rFonts w:ascii="Times New Roman" w:hAnsi="Times New Roman" w:cs="Times New Roman"/>
          <w:sz w:val="24"/>
          <w:szCs w:val="24"/>
        </w:rPr>
        <w:t>ndja dhe shtimi i inventarit fizik p</w:t>
      </w:r>
      <w:r w:rsidR="00054C82">
        <w:rPr>
          <w:rFonts w:ascii="Times New Roman" w:hAnsi="Times New Roman" w:cs="Times New Roman"/>
          <w:sz w:val="24"/>
          <w:szCs w:val="24"/>
        </w:rPr>
        <w:t>ë</w:t>
      </w:r>
      <w:r w:rsidR="001D0EE0">
        <w:rPr>
          <w:rFonts w:ascii="Times New Roman" w:hAnsi="Times New Roman" w:cs="Times New Roman"/>
          <w:sz w:val="24"/>
          <w:szCs w:val="24"/>
        </w:rPr>
        <w:t>r periudh</w:t>
      </w:r>
      <w:r w:rsidR="00054C82">
        <w:rPr>
          <w:rFonts w:ascii="Times New Roman" w:hAnsi="Times New Roman" w:cs="Times New Roman"/>
          <w:sz w:val="24"/>
          <w:szCs w:val="24"/>
        </w:rPr>
        <w:t>ë</w:t>
      </w:r>
      <w:r w:rsidR="001D0EE0">
        <w:rPr>
          <w:rFonts w:ascii="Times New Roman" w:hAnsi="Times New Roman" w:cs="Times New Roman"/>
          <w:sz w:val="24"/>
          <w:szCs w:val="24"/>
        </w:rPr>
        <w:t>n e kontrolluar nuk q</w:t>
      </w:r>
      <w:r w:rsidR="00054C82">
        <w:rPr>
          <w:rFonts w:ascii="Times New Roman" w:hAnsi="Times New Roman" w:cs="Times New Roman"/>
          <w:sz w:val="24"/>
          <w:szCs w:val="24"/>
        </w:rPr>
        <w:t>ë</w:t>
      </w:r>
      <w:r w:rsidR="001D0EE0">
        <w:rPr>
          <w:rFonts w:ascii="Times New Roman" w:hAnsi="Times New Roman" w:cs="Times New Roman"/>
          <w:sz w:val="24"/>
          <w:szCs w:val="24"/>
        </w:rPr>
        <w:t>ndron</w:t>
      </w:r>
      <w:r w:rsidR="003918AC">
        <w:rPr>
          <w:rFonts w:ascii="Times New Roman" w:hAnsi="Times New Roman" w:cs="Times New Roman"/>
          <w:sz w:val="24"/>
          <w:szCs w:val="24"/>
        </w:rPr>
        <w:t>,</w:t>
      </w:r>
      <w:r w:rsidR="001D0EE0">
        <w:rPr>
          <w:rFonts w:ascii="Times New Roman" w:hAnsi="Times New Roman" w:cs="Times New Roman"/>
          <w:sz w:val="24"/>
          <w:szCs w:val="24"/>
        </w:rPr>
        <w:t xml:space="preserve"> pasi vlera e inventarit ka q</w:t>
      </w:r>
      <w:r w:rsidR="00054C82">
        <w:rPr>
          <w:rFonts w:ascii="Times New Roman" w:hAnsi="Times New Roman" w:cs="Times New Roman"/>
          <w:sz w:val="24"/>
          <w:szCs w:val="24"/>
        </w:rPr>
        <w:t>ë</w:t>
      </w:r>
      <w:r w:rsidR="001D0EE0">
        <w:rPr>
          <w:rFonts w:ascii="Times New Roman" w:hAnsi="Times New Roman" w:cs="Times New Roman"/>
          <w:sz w:val="24"/>
          <w:szCs w:val="24"/>
        </w:rPr>
        <w:t>ndruar pothuajse e nj</w:t>
      </w:r>
      <w:r w:rsidR="00054C82">
        <w:rPr>
          <w:rFonts w:ascii="Times New Roman" w:hAnsi="Times New Roman" w:cs="Times New Roman"/>
          <w:sz w:val="24"/>
          <w:szCs w:val="24"/>
        </w:rPr>
        <w:t>ë</w:t>
      </w:r>
      <w:r w:rsidR="001D0EE0">
        <w:rPr>
          <w:rFonts w:ascii="Times New Roman" w:hAnsi="Times New Roman" w:cs="Times New Roman"/>
          <w:sz w:val="24"/>
          <w:szCs w:val="24"/>
        </w:rPr>
        <w:t>jt</w:t>
      </w:r>
      <w:r w:rsidR="00054C82">
        <w:rPr>
          <w:rFonts w:ascii="Times New Roman" w:hAnsi="Times New Roman" w:cs="Times New Roman"/>
          <w:sz w:val="24"/>
          <w:szCs w:val="24"/>
        </w:rPr>
        <w:t>ë</w:t>
      </w:r>
      <w:r w:rsidR="001D0EE0">
        <w:rPr>
          <w:rFonts w:ascii="Times New Roman" w:hAnsi="Times New Roman" w:cs="Times New Roman"/>
          <w:sz w:val="24"/>
          <w:szCs w:val="24"/>
        </w:rPr>
        <w:t>. Shoq</w:t>
      </w:r>
      <w:r w:rsidR="00054C82">
        <w:rPr>
          <w:rFonts w:ascii="Times New Roman" w:hAnsi="Times New Roman" w:cs="Times New Roman"/>
          <w:sz w:val="24"/>
          <w:szCs w:val="24"/>
        </w:rPr>
        <w:t>ë</w:t>
      </w:r>
      <w:r w:rsidR="001D0EE0">
        <w:rPr>
          <w:rFonts w:ascii="Times New Roman" w:hAnsi="Times New Roman" w:cs="Times New Roman"/>
          <w:sz w:val="24"/>
          <w:szCs w:val="24"/>
        </w:rPr>
        <w:t>ria furnizohet me artikullin “Gaz Ftoh</w:t>
      </w:r>
      <w:r w:rsidR="00054C82">
        <w:rPr>
          <w:rFonts w:ascii="Times New Roman" w:hAnsi="Times New Roman" w:cs="Times New Roman"/>
          <w:sz w:val="24"/>
          <w:szCs w:val="24"/>
        </w:rPr>
        <w:t>ë</w:t>
      </w:r>
      <w:r w:rsidR="001D0EE0">
        <w:rPr>
          <w:rFonts w:ascii="Times New Roman" w:hAnsi="Times New Roman" w:cs="Times New Roman"/>
          <w:sz w:val="24"/>
          <w:szCs w:val="24"/>
        </w:rPr>
        <w:t>s”dhe ka gj</w:t>
      </w:r>
      <w:r w:rsidR="00054C82">
        <w:rPr>
          <w:rFonts w:ascii="Times New Roman" w:hAnsi="Times New Roman" w:cs="Times New Roman"/>
          <w:sz w:val="24"/>
          <w:szCs w:val="24"/>
        </w:rPr>
        <w:t>ë</w:t>
      </w:r>
      <w:r w:rsidR="001D0EE0">
        <w:rPr>
          <w:rFonts w:ascii="Times New Roman" w:hAnsi="Times New Roman" w:cs="Times New Roman"/>
          <w:sz w:val="24"/>
          <w:szCs w:val="24"/>
        </w:rPr>
        <w:t>ndje n</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momentin e kontrollit n</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shum</w:t>
      </w:r>
      <w:r w:rsidR="00054C82">
        <w:rPr>
          <w:rFonts w:ascii="Times New Roman" w:hAnsi="Times New Roman" w:cs="Times New Roman"/>
          <w:sz w:val="24"/>
          <w:szCs w:val="24"/>
        </w:rPr>
        <w:t>ë</w:t>
      </w:r>
      <w:r w:rsidR="001D0EE0">
        <w:rPr>
          <w:rFonts w:ascii="Times New Roman" w:hAnsi="Times New Roman" w:cs="Times New Roman"/>
          <w:sz w:val="24"/>
          <w:szCs w:val="24"/>
        </w:rPr>
        <w:t>n 37.307 cop</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bombula, p</w:t>
      </w:r>
      <w:r w:rsidR="00054C82">
        <w:rPr>
          <w:rFonts w:ascii="Times New Roman" w:hAnsi="Times New Roman" w:cs="Times New Roman"/>
          <w:sz w:val="24"/>
          <w:szCs w:val="24"/>
        </w:rPr>
        <w:t>ë</w:t>
      </w:r>
      <w:r w:rsidR="001D0EE0">
        <w:rPr>
          <w:rFonts w:ascii="Times New Roman" w:hAnsi="Times New Roman" w:cs="Times New Roman"/>
          <w:sz w:val="24"/>
          <w:szCs w:val="24"/>
        </w:rPr>
        <w:t>r arsyen e vet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me se ky artikull </w:t>
      </w:r>
      <w:r w:rsidR="00054C82">
        <w:rPr>
          <w:rFonts w:ascii="Times New Roman" w:hAnsi="Times New Roman" w:cs="Times New Roman"/>
          <w:sz w:val="24"/>
          <w:szCs w:val="24"/>
        </w:rPr>
        <w:t>ë</w:t>
      </w:r>
      <w:r w:rsidR="001D0EE0">
        <w:rPr>
          <w:rFonts w:ascii="Times New Roman" w:hAnsi="Times New Roman" w:cs="Times New Roman"/>
          <w:sz w:val="24"/>
          <w:szCs w:val="24"/>
        </w:rPr>
        <w:t>sht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artikull q</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tregtohet m</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shum</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dhe q</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qarkullon e k</w:t>
      </w:r>
      <w:r w:rsidR="00054C82">
        <w:rPr>
          <w:rFonts w:ascii="Times New Roman" w:hAnsi="Times New Roman" w:cs="Times New Roman"/>
          <w:sz w:val="24"/>
          <w:szCs w:val="24"/>
        </w:rPr>
        <w:t>ë</w:t>
      </w:r>
      <w:r w:rsidR="001D0EE0">
        <w:rPr>
          <w:rFonts w:ascii="Times New Roman" w:hAnsi="Times New Roman" w:cs="Times New Roman"/>
          <w:sz w:val="24"/>
          <w:szCs w:val="24"/>
        </w:rPr>
        <w:t>rkohet m</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shum</w:t>
      </w:r>
      <w:r w:rsidR="00054C82">
        <w:rPr>
          <w:rFonts w:ascii="Times New Roman" w:hAnsi="Times New Roman" w:cs="Times New Roman"/>
          <w:sz w:val="24"/>
          <w:szCs w:val="24"/>
        </w:rPr>
        <w:t>ë</w:t>
      </w:r>
      <w:r w:rsidR="001D0EE0">
        <w:rPr>
          <w:rFonts w:ascii="Times New Roman" w:hAnsi="Times New Roman" w:cs="Times New Roman"/>
          <w:sz w:val="24"/>
          <w:szCs w:val="24"/>
        </w:rPr>
        <w:t>.</w:t>
      </w:r>
      <w:r w:rsidR="00C33F20">
        <w:rPr>
          <w:rFonts w:ascii="Times New Roman" w:hAnsi="Times New Roman" w:cs="Times New Roman"/>
          <w:sz w:val="24"/>
          <w:szCs w:val="24"/>
        </w:rPr>
        <w:t xml:space="preserve"> </w:t>
      </w:r>
      <w:r w:rsidR="001D0EE0">
        <w:rPr>
          <w:rFonts w:ascii="Times New Roman" w:hAnsi="Times New Roman" w:cs="Times New Roman"/>
          <w:sz w:val="24"/>
          <w:szCs w:val="24"/>
        </w:rPr>
        <w:t>P</w:t>
      </w:r>
      <w:r w:rsidR="00054C82">
        <w:rPr>
          <w:rFonts w:ascii="Times New Roman" w:hAnsi="Times New Roman" w:cs="Times New Roman"/>
          <w:sz w:val="24"/>
          <w:szCs w:val="24"/>
        </w:rPr>
        <w:t>ë</w:t>
      </w:r>
      <w:r w:rsidR="001D0EE0">
        <w:rPr>
          <w:rFonts w:ascii="Times New Roman" w:hAnsi="Times New Roman" w:cs="Times New Roman"/>
          <w:sz w:val="24"/>
          <w:szCs w:val="24"/>
        </w:rPr>
        <w:t>r gj</w:t>
      </w:r>
      <w:r w:rsidR="003918AC">
        <w:rPr>
          <w:rFonts w:ascii="Times New Roman" w:hAnsi="Times New Roman" w:cs="Times New Roman"/>
          <w:sz w:val="24"/>
          <w:szCs w:val="24"/>
        </w:rPr>
        <w:t>e</w:t>
      </w:r>
      <w:r w:rsidR="001D0EE0">
        <w:rPr>
          <w:rFonts w:ascii="Times New Roman" w:hAnsi="Times New Roman" w:cs="Times New Roman"/>
          <w:sz w:val="24"/>
          <w:szCs w:val="24"/>
        </w:rPr>
        <w:t>ndjen e mallrave dhe materialeve q</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shoq</w:t>
      </w:r>
      <w:r w:rsidR="00054C82">
        <w:rPr>
          <w:rFonts w:ascii="Times New Roman" w:hAnsi="Times New Roman" w:cs="Times New Roman"/>
          <w:sz w:val="24"/>
          <w:szCs w:val="24"/>
        </w:rPr>
        <w:t>ë</w:t>
      </w:r>
      <w:r w:rsidR="001D0EE0">
        <w:rPr>
          <w:rFonts w:ascii="Times New Roman" w:hAnsi="Times New Roman" w:cs="Times New Roman"/>
          <w:sz w:val="24"/>
          <w:szCs w:val="24"/>
        </w:rPr>
        <w:t>ria administron, jan</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mallra q</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skan</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afat skadence dhe asnj</w:t>
      </w:r>
      <w:r w:rsidR="00054C82">
        <w:rPr>
          <w:rFonts w:ascii="Times New Roman" w:hAnsi="Times New Roman" w:cs="Times New Roman"/>
          <w:sz w:val="24"/>
          <w:szCs w:val="24"/>
        </w:rPr>
        <w:t>ë</w:t>
      </w:r>
      <w:r w:rsidR="001D0EE0">
        <w:rPr>
          <w:rFonts w:ascii="Times New Roman" w:hAnsi="Times New Roman" w:cs="Times New Roman"/>
          <w:sz w:val="24"/>
          <w:szCs w:val="24"/>
        </w:rPr>
        <w:t>her</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nuk humbasin vlefshm</w:t>
      </w:r>
      <w:r w:rsidR="00054C82">
        <w:rPr>
          <w:rFonts w:ascii="Times New Roman" w:hAnsi="Times New Roman" w:cs="Times New Roman"/>
          <w:sz w:val="24"/>
          <w:szCs w:val="24"/>
        </w:rPr>
        <w:t>ë</w:t>
      </w:r>
      <w:r w:rsidR="001D0EE0">
        <w:rPr>
          <w:rFonts w:ascii="Times New Roman" w:hAnsi="Times New Roman" w:cs="Times New Roman"/>
          <w:sz w:val="24"/>
          <w:szCs w:val="24"/>
        </w:rPr>
        <w:t>rin</w:t>
      </w:r>
      <w:r w:rsidR="00054C82">
        <w:rPr>
          <w:rFonts w:ascii="Times New Roman" w:hAnsi="Times New Roman" w:cs="Times New Roman"/>
          <w:sz w:val="24"/>
          <w:szCs w:val="24"/>
        </w:rPr>
        <w:t>ë</w:t>
      </w:r>
      <w:r w:rsidR="00417112">
        <w:rPr>
          <w:rFonts w:ascii="Times New Roman" w:hAnsi="Times New Roman" w:cs="Times New Roman"/>
          <w:sz w:val="24"/>
          <w:szCs w:val="24"/>
        </w:rPr>
        <w:t xml:space="preserve"> </w:t>
      </w:r>
      <w:r w:rsidR="001D0EE0">
        <w:rPr>
          <w:rFonts w:ascii="Times New Roman" w:hAnsi="Times New Roman" w:cs="Times New Roman"/>
          <w:sz w:val="24"/>
          <w:szCs w:val="24"/>
        </w:rPr>
        <w:t>e tyre,ato jan</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pjes</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k</w:t>
      </w:r>
      <w:r w:rsidR="00054C82">
        <w:rPr>
          <w:rFonts w:ascii="Times New Roman" w:hAnsi="Times New Roman" w:cs="Times New Roman"/>
          <w:sz w:val="24"/>
          <w:szCs w:val="24"/>
        </w:rPr>
        <w:t>ë</w:t>
      </w:r>
      <w:r w:rsidR="001D0EE0">
        <w:rPr>
          <w:rFonts w:ascii="Times New Roman" w:hAnsi="Times New Roman" w:cs="Times New Roman"/>
          <w:sz w:val="24"/>
          <w:szCs w:val="24"/>
        </w:rPr>
        <w:t>mbimi q</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p</w:t>
      </w:r>
      <w:r w:rsidR="00054C82">
        <w:rPr>
          <w:rFonts w:ascii="Times New Roman" w:hAnsi="Times New Roman" w:cs="Times New Roman"/>
          <w:sz w:val="24"/>
          <w:szCs w:val="24"/>
        </w:rPr>
        <w:t>ë</w:t>
      </w:r>
      <w:r w:rsidR="001D0EE0">
        <w:rPr>
          <w:rFonts w:ascii="Times New Roman" w:hAnsi="Times New Roman" w:cs="Times New Roman"/>
          <w:sz w:val="24"/>
          <w:szCs w:val="24"/>
        </w:rPr>
        <w:t>rdor</w:t>
      </w:r>
      <w:r w:rsidR="00054C82">
        <w:rPr>
          <w:rFonts w:ascii="Times New Roman" w:hAnsi="Times New Roman" w:cs="Times New Roman"/>
          <w:sz w:val="24"/>
          <w:szCs w:val="24"/>
        </w:rPr>
        <w:t>ë</w:t>
      </w:r>
      <w:r w:rsidR="001D0EE0">
        <w:rPr>
          <w:rFonts w:ascii="Times New Roman" w:hAnsi="Times New Roman" w:cs="Times New Roman"/>
          <w:sz w:val="24"/>
          <w:szCs w:val="24"/>
        </w:rPr>
        <w:t>n p</w:t>
      </w:r>
      <w:r w:rsidR="00054C82">
        <w:rPr>
          <w:rFonts w:ascii="Times New Roman" w:hAnsi="Times New Roman" w:cs="Times New Roman"/>
          <w:sz w:val="24"/>
          <w:szCs w:val="24"/>
        </w:rPr>
        <w:t>ë</w:t>
      </w:r>
      <w:r w:rsidR="001D0EE0">
        <w:rPr>
          <w:rFonts w:ascii="Times New Roman" w:hAnsi="Times New Roman" w:cs="Times New Roman"/>
          <w:sz w:val="24"/>
          <w:szCs w:val="24"/>
        </w:rPr>
        <w:t>r riparime 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ndryshme.Edhe n</w:t>
      </w:r>
      <w:r w:rsidR="00054C82">
        <w:rPr>
          <w:rFonts w:ascii="Times New Roman" w:hAnsi="Times New Roman" w:cs="Times New Roman"/>
          <w:sz w:val="24"/>
          <w:szCs w:val="24"/>
        </w:rPr>
        <w:t>ë</w:t>
      </w:r>
      <w:r w:rsidR="001D0EE0">
        <w:rPr>
          <w:rFonts w:ascii="Times New Roman" w:hAnsi="Times New Roman" w:cs="Times New Roman"/>
          <w:sz w:val="24"/>
          <w:szCs w:val="24"/>
        </w:rPr>
        <w:t>se shoq</w:t>
      </w:r>
      <w:r w:rsidR="00054C82">
        <w:rPr>
          <w:rFonts w:ascii="Times New Roman" w:hAnsi="Times New Roman" w:cs="Times New Roman"/>
          <w:sz w:val="24"/>
          <w:szCs w:val="24"/>
        </w:rPr>
        <w:t>ë</w:t>
      </w:r>
      <w:r w:rsidR="001D0EE0">
        <w:rPr>
          <w:rFonts w:ascii="Times New Roman" w:hAnsi="Times New Roman" w:cs="Times New Roman"/>
          <w:sz w:val="24"/>
          <w:szCs w:val="24"/>
        </w:rPr>
        <w:t>ria do 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nxirrte nj</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pjes</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prej tyre jasht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p</w:t>
      </w:r>
      <w:r w:rsidR="00054C82">
        <w:rPr>
          <w:rFonts w:ascii="Times New Roman" w:hAnsi="Times New Roman" w:cs="Times New Roman"/>
          <w:sz w:val="24"/>
          <w:szCs w:val="24"/>
        </w:rPr>
        <w:t>ë</w:t>
      </w:r>
      <w:r w:rsidR="001D0EE0">
        <w:rPr>
          <w:rFonts w:ascii="Times New Roman" w:hAnsi="Times New Roman" w:cs="Times New Roman"/>
          <w:sz w:val="24"/>
          <w:szCs w:val="24"/>
        </w:rPr>
        <w:t>rdorimit, tvsh-ja e tyre do 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njihej n</w:t>
      </w:r>
      <w:r w:rsidR="00054C82">
        <w:rPr>
          <w:rFonts w:ascii="Times New Roman" w:hAnsi="Times New Roman" w:cs="Times New Roman"/>
          <w:sz w:val="24"/>
          <w:szCs w:val="24"/>
        </w:rPr>
        <w:t>ë</w:t>
      </w:r>
      <w:r w:rsidR="001D0EE0">
        <w:rPr>
          <w:rFonts w:ascii="Times New Roman" w:hAnsi="Times New Roman" w:cs="Times New Roman"/>
          <w:sz w:val="24"/>
          <w:szCs w:val="24"/>
        </w:rPr>
        <w:t>se shoq</w:t>
      </w:r>
      <w:r w:rsidR="00054C82">
        <w:rPr>
          <w:rFonts w:ascii="Times New Roman" w:hAnsi="Times New Roman" w:cs="Times New Roman"/>
          <w:sz w:val="24"/>
          <w:szCs w:val="24"/>
        </w:rPr>
        <w:t>ë</w:t>
      </w:r>
      <w:r w:rsidR="001D0EE0">
        <w:rPr>
          <w:rFonts w:ascii="Times New Roman" w:hAnsi="Times New Roman" w:cs="Times New Roman"/>
          <w:sz w:val="24"/>
          <w:szCs w:val="24"/>
        </w:rPr>
        <w:t>ria do 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respektonte k</w:t>
      </w:r>
      <w:r w:rsidR="00054C82">
        <w:rPr>
          <w:rFonts w:ascii="Times New Roman" w:hAnsi="Times New Roman" w:cs="Times New Roman"/>
          <w:sz w:val="24"/>
          <w:szCs w:val="24"/>
        </w:rPr>
        <w:t>ë</w:t>
      </w:r>
      <w:r w:rsidR="001D0EE0">
        <w:rPr>
          <w:rFonts w:ascii="Times New Roman" w:hAnsi="Times New Roman" w:cs="Times New Roman"/>
          <w:sz w:val="24"/>
          <w:szCs w:val="24"/>
        </w:rPr>
        <w:t>rkesat e Ligjit 92/2014 dhe Udh</w:t>
      </w:r>
      <w:r w:rsidR="00054C82">
        <w:rPr>
          <w:rFonts w:ascii="Times New Roman" w:hAnsi="Times New Roman" w:cs="Times New Roman"/>
          <w:sz w:val="24"/>
          <w:szCs w:val="24"/>
        </w:rPr>
        <w:t>ë</w:t>
      </w:r>
      <w:r w:rsidR="001D0EE0">
        <w:rPr>
          <w:rFonts w:ascii="Times New Roman" w:hAnsi="Times New Roman" w:cs="Times New Roman"/>
          <w:sz w:val="24"/>
          <w:szCs w:val="24"/>
        </w:rPr>
        <w:t>zimit nr.6, dat</w:t>
      </w:r>
      <w:r w:rsidR="00054C82">
        <w:rPr>
          <w:rFonts w:ascii="Times New Roman" w:hAnsi="Times New Roman" w:cs="Times New Roman"/>
          <w:sz w:val="24"/>
          <w:szCs w:val="24"/>
        </w:rPr>
        <w:t>ë</w:t>
      </w:r>
      <w:r w:rsidR="001D0EE0">
        <w:rPr>
          <w:rFonts w:ascii="Times New Roman" w:hAnsi="Times New Roman" w:cs="Times New Roman"/>
          <w:sz w:val="24"/>
          <w:szCs w:val="24"/>
        </w:rPr>
        <w:t xml:space="preserve"> 30.01.2015, neni 58,</w:t>
      </w:r>
      <w:r w:rsidR="003918AC">
        <w:rPr>
          <w:rFonts w:ascii="Times New Roman" w:hAnsi="Times New Roman" w:cs="Times New Roman"/>
          <w:sz w:val="24"/>
          <w:szCs w:val="24"/>
        </w:rPr>
        <w:t xml:space="preserve"> </w:t>
      </w:r>
      <w:r w:rsidR="001D0EE0">
        <w:rPr>
          <w:rFonts w:ascii="Times New Roman" w:hAnsi="Times New Roman" w:cs="Times New Roman"/>
          <w:sz w:val="24"/>
          <w:szCs w:val="24"/>
        </w:rPr>
        <w:t>pika 1.</w:t>
      </w:r>
      <w:r w:rsidR="00C33F20">
        <w:rPr>
          <w:rFonts w:ascii="Times New Roman" w:hAnsi="Times New Roman" w:cs="Times New Roman"/>
          <w:sz w:val="24"/>
          <w:szCs w:val="24"/>
        </w:rPr>
        <w:t xml:space="preserve"> </w:t>
      </w:r>
      <w:r w:rsidR="00272678" w:rsidRPr="005C4895">
        <w:rPr>
          <w:rFonts w:ascii="Times New Roman" w:hAnsi="Times New Roman" w:cs="Times New Roman"/>
          <w:sz w:val="24"/>
          <w:szCs w:val="24"/>
        </w:rPr>
        <w:t xml:space="preserve">Mbi bazën e ligjeve të cituara më </w:t>
      </w:r>
      <w:r w:rsidR="00272678" w:rsidRPr="005C4895">
        <w:rPr>
          <w:rFonts w:ascii="Times New Roman" w:hAnsi="Times New Roman" w:cs="Times New Roman"/>
          <w:sz w:val="24"/>
          <w:szCs w:val="24"/>
        </w:rPr>
        <w:lastRenderedPageBreak/>
        <w:t>sipër kërkojmë shfuqizimin e vendimit të kontrollit tatimor për të mos njohur si të rimbursushme TVSH-në</w:t>
      </w:r>
      <w:r w:rsidR="002718B7" w:rsidRPr="005C4895">
        <w:rPr>
          <w:rFonts w:ascii="Times New Roman" w:hAnsi="Times New Roman" w:cs="Times New Roman"/>
          <w:sz w:val="24"/>
          <w:szCs w:val="24"/>
        </w:rPr>
        <w:t xml:space="preserve"> e kreditushme</w:t>
      </w:r>
      <w:r w:rsidR="00D54D0C">
        <w:rPr>
          <w:rFonts w:ascii="Times New Roman" w:hAnsi="Times New Roman" w:cs="Times New Roman"/>
          <w:sz w:val="24"/>
          <w:szCs w:val="24"/>
        </w:rPr>
        <w:t xml:space="preserve"> dhe rimbursimi t</w:t>
      </w:r>
      <w:r w:rsidR="00054C82">
        <w:rPr>
          <w:rFonts w:ascii="Times New Roman" w:hAnsi="Times New Roman" w:cs="Times New Roman"/>
          <w:sz w:val="24"/>
          <w:szCs w:val="24"/>
        </w:rPr>
        <w:t>ë</w:t>
      </w:r>
      <w:r w:rsidR="00D54D0C">
        <w:rPr>
          <w:rFonts w:ascii="Times New Roman" w:hAnsi="Times New Roman" w:cs="Times New Roman"/>
          <w:sz w:val="24"/>
          <w:szCs w:val="24"/>
        </w:rPr>
        <w:t xml:space="preserve"> miratohet.</w:t>
      </w:r>
    </w:p>
    <w:p w:rsidR="00272678" w:rsidRPr="005C4895" w:rsidRDefault="00272678" w:rsidP="00C33F20">
      <w:pPr>
        <w:widowControl w:val="0"/>
        <w:tabs>
          <w:tab w:val="left" w:pos="1260"/>
        </w:tabs>
        <w:spacing w:after="0" w:line="276" w:lineRule="auto"/>
        <w:jc w:val="both"/>
        <w:rPr>
          <w:rFonts w:ascii="Times New Roman" w:hAnsi="Times New Roman" w:cs="Times New Roman"/>
          <w:sz w:val="24"/>
          <w:szCs w:val="24"/>
        </w:rPr>
      </w:pPr>
    </w:p>
    <w:p w:rsidR="00272678" w:rsidRPr="005C4895" w:rsidRDefault="00272678" w:rsidP="00C33F20">
      <w:pPr>
        <w:widowControl w:val="0"/>
        <w:tabs>
          <w:tab w:val="left" w:pos="1260"/>
        </w:tabs>
        <w:spacing w:after="0" w:line="276" w:lineRule="auto"/>
        <w:jc w:val="center"/>
        <w:rPr>
          <w:rFonts w:ascii="Times New Roman" w:hAnsi="Times New Roman" w:cs="Times New Roman"/>
          <w:sz w:val="24"/>
          <w:szCs w:val="24"/>
        </w:rPr>
      </w:pPr>
      <w:r w:rsidRPr="005C4895">
        <w:rPr>
          <w:rFonts w:ascii="Times New Roman" w:hAnsi="Times New Roman" w:cs="Times New Roman"/>
          <w:sz w:val="24"/>
          <w:szCs w:val="24"/>
        </w:rPr>
        <w:t>* * *</w:t>
      </w:r>
    </w:p>
    <w:p w:rsidR="00272678" w:rsidRPr="005C4895" w:rsidRDefault="00272678" w:rsidP="00C33F20">
      <w:pPr>
        <w:widowControl w:val="0"/>
        <w:tabs>
          <w:tab w:val="left" w:pos="1260"/>
        </w:tabs>
        <w:spacing w:after="0" w:line="276" w:lineRule="auto"/>
        <w:jc w:val="both"/>
        <w:rPr>
          <w:rFonts w:ascii="Times New Roman" w:hAnsi="Times New Roman" w:cs="Times New Roman"/>
          <w:sz w:val="24"/>
          <w:szCs w:val="24"/>
        </w:rPr>
      </w:pPr>
    </w:p>
    <w:p w:rsidR="00272678" w:rsidRPr="005C4895" w:rsidRDefault="00272678" w:rsidP="00C33F20">
      <w:pPr>
        <w:pStyle w:val="Header"/>
        <w:widowControl w:val="0"/>
        <w:tabs>
          <w:tab w:val="left" w:pos="720"/>
        </w:tabs>
        <w:spacing w:line="276" w:lineRule="auto"/>
        <w:jc w:val="both"/>
        <w:rPr>
          <w:rFonts w:ascii="Times New Roman" w:hAnsi="Times New Roman" w:cs="Times New Roman"/>
          <w:bCs/>
          <w:sz w:val="24"/>
          <w:szCs w:val="24"/>
        </w:rPr>
      </w:pPr>
      <w:r w:rsidRPr="005C4895">
        <w:rPr>
          <w:rFonts w:ascii="Times New Roman" w:hAnsi="Times New Roman" w:cs="Times New Roman"/>
          <w:bCs/>
          <w:sz w:val="24"/>
          <w:szCs w:val="24"/>
        </w:rPr>
        <w:t>Drejtoria e Apelimit Tatimor, pas shqyrtimit të pretendimeve të shoqërisë, dokumentacionit bashkëlidhur ankimit dhe pasi hulumtoi në dispozitat ligjore ku është parashikuar e drejta e tatimpaguesit për zbritjen dhe më tej rimbursimin e TVSH-së së paguar, vlerëson se:</w:t>
      </w:r>
    </w:p>
    <w:p w:rsidR="00273078" w:rsidRPr="005C4895" w:rsidRDefault="00273078" w:rsidP="00C33F20">
      <w:pPr>
        <w:pStyle w:val="Standard"/>
        <w:widowControl w:val="0"/>
        <w:suppressAutoHyphens w:val="0"/>
        <w:spacing w:line="276" w:lineRule="auto"/>
        <w:jc w:val="both"/>
        <w:rPr>
          <w:i/>
          <w:lang w:val="sq-AL"/>
        </w:rPr>
      </w:pPr>
      <w:r w:rsidRPr="005C4895">
        <w:rPr>
          <w:lang w:val="sq-AL"/>
        </w:rPr>
        <w:t>Tatimi mbi Vlerën e Shtuar është një tatim i cili vendoset në çdo fazë të procesit të prodhimit dhe shpërndarjes. Ky tatim mbartet te konsumatori përfundimtar, por furnizuesit e mallrave ose shërbimeve janë të detyruar ta paguajnë atë në organet tatimore dhe çdo furnizues kërkon pagesën e TVSH nga klientët e tij. Ky p</w:t>
      </w:r>
      <w:r w:rsidR="00DF46B8">
        <w:rPr>
          <w:lang w:val="sq-AL"/>
        </w:rPr>
        <w:t>ë</w:t>
      </w:r>
      <w:r w:rsidRPr="005C4895">
        <w:rPr>
          <w:lang w:val="sq-AL"/>
        </w:rPr>
        <w:t xml:space="preserve">rkufizim </w:t>
      </w:r>
      <w:r w:rsidR="00DF46B8">
        <w:rPr>
          <w:lang w:val="sq-AL"/>
        </w:rPr>
        <w:t>ë</w:t>
      </w:r>
      <w:r w:rsidRPr="005C4895">
        <w:rPr>
          <w:lang w:val="sq-AL"/>
        </w:rPr>
        <w:t>sht</w:t>
      </w:r>
      <w:r w:rsidR="00DF46B8">
        <w:rPr>
          <w:lang w:val="sq-AL"/>
        </w:rPr>
        <w:t>ë</w:t>
      </w:r>
      <w:r w:rsidRPr="005C4895">
        <w:rPr>
          <w:lang w:val="sq-AL"/>
        </w:rPr>
        <w:t xml:space="preserve"> materializuar në pikën 2 të nenit 1 të Ligjit 92/2014 “Për TVSH-në në RSH”, përcaktohet se </w:t>
      </w:r>
      <w:r w:rsidRPr="005C4895">
        <w:rPr>
          <w:i/>
          <w:lang w:val="sq-AL"/>
        </w:rPr>
        <w:t>“TVSH-ja është një tatim i përgjithshëm mbi konsumin e mallrave dhe shërbimeve, proporcional me çmimin e tyre, që i ngarkohet në çdo fazë të prodhimit dhe procesit të shpërndarjes çmimit pa tatimin.</w:t>
      </w:r>
    </w:p>
    <w:p w:rsidR="00273078" w:rsidRPr="005C4895" w:rsidRDefault="00273078" w:rsidP="00C33F20">
      <w:pPr>
        <w:pStyle w:val="Standard"/>
        <w:widowControl w:val="0"/>
        <w:suppressAutoHyphens w:val="0"/>
        <w:spacing w:line="276" w:lineRule="auto"/>
        <w:jc w:val="both"/>
        <w:rPr>
          <w:lang w:val="sq-AL"/>
        </w:rPr>
      </w:pPr>
      <w:r w:rsidRPr="005C4895">
        <w:rPr>
          <w:i/>
          <w:lang w:val="sq-AL"/>
        </w:rPr>
        <w:t>TVSH-ja zbatohet si një tatim në përqindje mbi çmimin e mallrave dhe shërbimeve dhe bëhet e kërkueshme për t’u paguar pas zbritjes së TVSH-së që rëndon drejtpërdrejt elementet e kostos së mallrave dhe të shërbimeve</w:t>
      </w:r>
      <w:r w:rsidRPr="005C4895">
        <w:rPr>
          <w:lang w:val="sq-AL"/>
        </w:rPr>
        <w:t>”.</w:t>
      </w:r>
    </w:p>
    <w:p w:rsidR="00273078" w:rsidRPr="005C4895" w:rsidRDefault="00273078" w:rsidP="00C33F20">
      <w:pPr>
        <w:pStyle w:val="Standard"/>
        <w:widowControl w:val="0"/>
        <w:suppressAutoHyphens w:val="0"/>
        <w:spacing w:line="276" w:lineRule="auto"/>
        <w:jc w:val="both"/>
        <w:rPr>
          <w:lang w:val="sq-AL"/>
        </w:rPr>
      </w:pPr>
      <w:r w:rsidRPr="005C4895">
        <w:rPr>
          <w:lang w:val="sq-AL"/>
        </w:rPr>
        <w:t>Në konceptin e TVSH-së, mënyra e mbartjes së tatimit te konsumatori përfundimtar zbatohet sipas një skeme zinxhir, ku furnizuesi i mallit pasi deklaron TVSH-në e shitjeve, pakëson nga kjo TVSH, tatimin e paguar për blerjen e atyre furnizimeve që i kanë shërbyer furnizimeve të tatueshme, duke paguar në këtë mënyrë diferencën e TVSH-së. Kjo skemë është konkretizuar në pikën 1 të nenit 76 të Ligjit 92/2014, ku përcaktohet se “</w:t>
      </w:r>
      <w:r w:rsidRPr="005C4895">
        <w:rPr>
          <w:i/>
          <w:lang w:val="sq-AL"/>
        </w:rPr>
        <w:t>Personi i tatueshëm e kryen zbritjen që ushtrohet, sipas përcaktimit të nenit 75, të këtij ligji, duke zbritur nga shuma e TVSH-së së llogaritur mbi vlerën totale të tatueshme të të gjitha furnizimeve të tatueshme të kryera gjatë një periudhe tatimore shumën e TVSH-së, për të cilën ka lindur e drejta e zbritjes, gjatë së njëjtës periudhë tatimore</w:t>
      </w:r>
      <w:r w:rsidRPr="005C4895">
        <w:rPr>
          <w:lang w:val="sq-AL"/>
        </w:rPr>
        <w:t>”.</w:t>
      </w:r>
    </w:p>
    <w:p w:rsidR="00C33F20" w:rsidRDefault="00C33F20" w:rsidP="00C33F20">
      <w:pPr>
        <w:pStyle w:val="Standard"/>
        <w:widowControl w:val="0"/>
        <w:suppressAutoHyphens w:val="0"/>
        <w:spacing w:line="276" w:lineRule="auto"/>
        <w:jc w:val="both"/>
        <w:rPr>
          <w:lang w:val="sq-AL"/>
        </w:rPr>
      </w:pPr>
    </w:p>
    <w:p w:rsidR="00273078" w:rsidRPr="005C4895" w:rsidRDefault="00273078" w:rsidP="00C33F20">
      <w:pPr>
        <w:pStyle w:val="Standard"/>
        <w:widowControl w:val="0"/>
        <w:suppressAutoHyphens w:val="0"/>
        <w:spacing w:line="276" w:lineRule="auto"/>
        <w:jc w:val="both"/>
        <w:rPr>
          <w:lang w:val="sq-AL"/>
        </w:rPr>
      </w:pPr>
      <w:r w:rsidRPr="005C4895">
        <w:rPr>
          <w:lang w:val="sq-AL"/>
        </w:rPr>
        <w:t>Këto karakteristika i japin Tatimit mbi Vlerën e Shtuar një ndër cilësitë më kryesore të tij, Neutralitetin. Parimi i Neutralitetit nënkupton se biznesi nuk duhet të përballojë vetë barrën e tatimit (përveç rasteve specifike përjashtimore), pasi pagesa e TVSH-së kryhet nga konsumatori final, ndërsa subjekti shërben si një agjent i mbajtjes dhe derdhjes së këti</w:t>
      </w:r>
      <w:r w:rsidR="003918AC">
        <w:rPr>
          <w:lang w:val="sq-AL"/>
        </w:rPr>
        <w:t>j tatimi në buxhetin e shtetit.</w:t>
      </w:r>
    </w:p>
    <w:p w:rsidR="0019647D" w:rsidRPr="005C4895" w:rsidRDefault="0019647D" w:rsidP="00C33F20">
      <w:pPr>
        <w:pStyle w:val="Standard"/>
        <w:widowControl w:val="0"/>
        <w:suppressAutoHyphens w:val="0"/>
        <w:spacing w:line="276" w:lineRule="auto"/>
        <w:jc w:val="both"/>
        <w:rPr>
          <w:bCs/>
          <w:lang w:val="sq-AL"/>
        </w:rPr>
      </w:pPr>
      <w:r w:rsidRPr="005C4895">
        <w:rPr>
          <w:bCs/>
          <w:lang w:val="sq-AL"/>
        </w:rPr>
        <w:t>Në përputhje me këtë skemë, e drejta e rimbursimit buron nga e drejta e tatimpaguesit për kreditimin e TVSH-së së paguar në blerjet e kryera prej tij. Kjo e drejtë dhe procedurat e imtësishme të rimbursimit janë mishëruar në një sërë aktesh ligjore dhe nënligjore që formësojnë legjislacionin tatimor. Ligji nr. 9920, datë 19.05.2008 “Për Procedurat Tatimore në RSH”, i ndryshuar  në nenin 75 të tij përcakton të drejtën e tatimpaguesit për rimbursimin e tatimeve të paguara tepër ose përdorimin e tyre për detyrimet e tjera tatimore. Ndërsa neni 75/1 përcakton hapat konkretë që duhet të ndjekë tatimpaguesi dhe administrata tatimore për kryerjen e këtij rimbursimi apo kompensimi, specifikisht për Tatimin mbi Vlerën e Shtuar.</w:t>
      </w:r>
    </w:p>
    <w:p w:rsidR="0019647D" w:rsidRPr="005C4895" w:rsidRDefault="0019647D" w:rsidP="00C33F20">
      <w:pPr>
        <w:pStyle w:val="Standard"/>
        <w:widowControl w:val="0"/>
        <w:suppressAutoHyphens w:val="0"/>
        <w:spacing w:line="276" w:lineRule="auto"/>
        <w:jc w:val="both"/>
        <w:rPr>
          <w:lang w:val="sq-AL"/>
        </w:rPr>
      </w:pPr>
    </w:p>
    <w:p w:rsidR="00273078" w:rsidRPr="005C4895" w:rsidRDefault="00273078" w:rsidP="00C33F20">
      <w:pPr>
        <w:pStyle w:val="Standard"/>
        <w:widowControl w:val="0"/>
        <w:suppressAutoHyphens w:val="0"/>
        <w:spacing w:line="276" w:lineRule="auto"/>
        <w:jc w:val="both"/>
        <w:rPr>
          <w:i/>
          <w:lang w:val="sq-AL"/>
        </w:rPr>
      </w:pPr>
      <w:r w:rsidRPr="005C4895">
        <w:rPr>
          <w:lang w:val="sq-AL"/>
        </w:rPr>
        <w:t>Ligji nr.</w:t>
      </w:r>
      <w:r w:rsidR="0019647D" w:rsidRPr="005C4895">
        <w:rPr>
          <w:lang w:val="sq-AL"/>
        </w:rPr>
        <w:t xml:space="preserve"> </w:t>
      </w:r>
      <w:r w:rsidRPr="005C4895">
        <w:rPr>
          <w:lang w:val="sq-AL"/>
        </w:rPr>
        <w:t>92/2014 datë 24.07.2014 në nenin 77 “Rimbursimi i TVSH-së”, përcakton kushtet, afatet dhe procedurat për rimbursimin e TVSH-së. Pika 1 e këtij neni përcakton se “</w:t>
      </w:r>
      <w:r w:rsidRPr="005C4895">
        <w:rPr>
          <w:i/>
          <w:lang w:val="sq-AL"/>
        </w:rPr>
        <w:t>Një person i tatueshëm kërkon rimbursim të tepricës së kreditimit tatimor të TVSH-se nëse:</w:t>
      </w:r>
    </w:p>
    <w:p w:rsidR="00273078" w:rsidRPr="005C4895" w:rsidRDefault="00273078" w:rsidP="00C33F20">
      <w:pPr>
        <w:pStyle w:val="Standard"/>
        <w:widowControl w:val="0"/>
        <w:suppressAutoHyphens w:val="0"/>
        <w:spacing w:line="276" w:lineRule="auto"/>
        <w:jc w:val="both"/>
        <w:rPr>
          <w:i/>
          <w:lang w:val="sq-AL"/>
        </w:rPr>
      </w:pPr>
      <w:r w:rsidRPr="005C4895">
        <w:rPr>
          <w:i/>
          <w:lang w:val="sq-AL"/>
        </w:rPr>
        <w:t xml:space="preserve">a) personi i tatueshëm ka mbartur tepricën e TVSH-së së zbritshme për 3 muaj radhazi, sipas </w:t>
      </w:r>
      <w:r w:rsidRPr="005C4895">
        <w:rPr>
          <w:i/>
          <w:lang w:val="sq-AL"/>
        </w:rPr>
        <w:lastRenderedPageBreak/>
        <w:t>pikave 2 dhe 3, të nenit 76, të këtij ligji; dhe</w:t>
      </w:r>
    </w:p>
    <w:p w:rsidR="00273078" w:rsidRPr="005C4895" w:rsidRDefault="00273078" w:rsidP="00C33F20">
      <w:pPr>
        <w:pStyle w:val="Standard"/>
        <w:widowControl w:val="0"/>
        <w:suppressAutoHyphens w:val="0"/>
        <w:spacing w:line="276" w:lineRule="auto"/>
        <w:jc w:val="both"/>
        <w:rPr>
          <w:lang w:val="sq-AL"/>
        </w:rPr>
      </w:pPr>
      <w:r w:rsidRPr="005C4895">
        <w:rPr>
          <w:i/>
          <w:lang w:val="sq-AL"/>
        </w:rPr>
        <w:t>b) TVSH-ja e kërkuar për t’u rimbursuar tejkalon shumën prej 400 000 (katërqind mijë) lekësh”</w:t>
      </w:r>
    </w:p>
    <w:p w:rsidR="00273078" w:rsidRPr="005C4895" w:rsidRDefault="00273078" w:rsidP="00C33F20">
      <w:pPr>
        <w:pStyle w:val="Standard"/>
        <w:widowControl w:val="0"/>
        <w:suppressAutoHyphens w:val="0"/>
        <w:spacing w:line="276" w:lineRule="auto"/>
        <w:jc w:val="both"/>
        <w:rPr>
          <w:i/>
          <w:lang w:val="sq-AL"/>
        </w:rPr>
      </w:pPr>
      <w:r w:rsidRPr="005C4895">
        <w:rPr>
          <w:lang w:val="sq-AL"/>
        </w:rPr>
        <w:t>Neni 76 “</w:t>
      </w:r>
      <w:r w:rsidRPr="005C4895">
        <w:rPr>
          <w:i/>
          <w:lang w:val="sq-AL"/>
        </w:rPr>
        <w:t xml:space="preserve">Mënyra e ushtrimit të së drejtës së zbritjes” </w:t>
      </w:r>
      <w:r w:rsidRPr="00C33F20">
        <w:rPr>
          <w:lang w:val="sq-AL"/>
        </w:rPr>
        <w:t>pika 2 dhe 3 të Ligjit nr.92/2014, përcakton</w:t>
      </w:r>
      <w:r w:rsidRPr="005C4895">
        <w:rPr>
          <w:i/>
          <w:lang w:val="sq-AL"/>
        </w:rPr>
        <w:t xml:space="preserve">: “2. Në qoftë se për një periudhë tatimore vlera e TVSH- së së zbritshme e kalon atë të TVSH-së së llogaritur për t’u paguar, atëherë teprica e TVSH-së mbartet për t’u zbritur në periudhën pasardhëse. </w:t>
      </w:r>
    </w:p>
    <w:p w:rsidR="00273078" w:rsidRPr="005C4895" w:rsidRDefault="00273078" w:rsidP="00C33F20">
      <w:pPr>
        <w:pStyle w:val="Standard"/>
        <w:widowControl w:val="0"/>
        <w:suppressAutoHyphens w:val="0"/>
        <w:spacing w:line="276" w:lineRule="auto"/>
        <w:jc w:val="both"/>
        <w:rPr>
          <w:lang w:val="sq-AL"/>
        </w:rPr>
      </w:pPr>
      <w:r w:rsidRPr="005C4895">
        <w:rPr>
          <w:i/>
          <w:lang w:val="sq-AL"/>
        </w:rPr>
        <w:t>3. Teprica e TVSH-së, e mbartur për t’u zbritur në periudhën pasardhëse, rimbursohet sipas kritereve të përcaktuara në nenin 77, të këtij ligji</w:t>
      </w:r>
      <w:r w:rsidRPr="005C4895">
        <w:rPr>
          <w:lang w:val="sq-AL"/>
        </w:rPr>
        <w:t>”.</w:t>
      </w:r>
    </w:p>
    <w:p w:rsidR="00273078" w:rsidRPr="005C4895" w:rsidRDefault="00273078" w:rsidP="00C33F20">
      <w:pPr>
        <w:pStyle w:val="Standard"/>
        <w:widowControl w:val="0"/>
        <w:suppressAutoHyphens w:val="0"/>
        <w:spacing w:line="276" w:lineRule="auto"/>
        <w:jc w:val="both"/>
        <w:rPr>
          <w:lang w:val="sq-AL"/>
        </w:rPr>
      </w:pPr>
    </w:p>
    <w:p w:rsidR="00273078" w:rsidRPr="005C4895" w:rsidRDefault="00273078" w:rsidP="00C33F20">
      <w:pPr>
        <w:pStyle w:val="Standard"/>
        <w:widowControl w:val="0"/>
        <w:suppressAutoHyphens w:val="0"/>
        <w:spacing w:line="276" w:lineRule="auto"/>
        <w:jc w:val="both"/>
        <w:rPr>
          <w:lang w:val="sq-AL"/>
        </w:rPr>
      </w:pPr>
      <w:r w:rsidRPr="005C4895">
        <w:rPr>
          <w:lang w:val="sq-AL"/>
        </w:rPr>
        <w:t>Referuar dispozitës së sipërcituar, e drejta e rimbursimit është në vijim të së drejtës për të kredituar TVSH-në e paguar në blerjet e kryera gjatë një periudhe tatimore. Pra</w:t>
      </w:r>
      <w:r w:rsidR="003918AC">
        <w:rPr>
          <w:lang w:val="sq-AL"/>
        </w:rPr>
        <w:t>,</w:t>
      </w:r>
      <w:r w:rsidRPr="005C4895">
        <w:rPr>
          <w:lang w:val="sq-AL"/>
        </w:rPr>
        <w:t xml:space="preserve"> nëse në një periudhë tatimore (muaj kalendarik) TVSH e zbritshme e kalon atë të llogaritur për t’u paguar, atëherë është kjo tepricë TVSH-je e cila do të mbartet në periudhat pasardhëse dhe do të rimbursohet sipas kritereve të përcaktuara në nenin 77 të ligjit të TVSH-së. </w:t>
      </w:r>
    </w:p>
    <w:p w:rsidR="00273078" w:rsidRPr="005C4895" w:rsidRDefault="00273078" w:rsidP="00C33F20">
      <w:pPr>
        <w:pStyle w:val="Header"/>
        <w:widowControl w:val="0"/>
        <w:tabs>
          <w:tab w:val="left" w:pos="720"/>
        </w:tabs>
        <w:spacing w:line="276" w:lineRule="auto"/>
        <w:jc w:val="both"/>
        <w:rPr>
          <w:rFonts w:ascii="Times New Roman" w:hAnsi="Times New Roman" w:cs="Times New Roman"/>
          <w:bCs/>
          <w:sz w:val="24"/>
          <w:szCs w:val="24"/>
        </w:rPr>
      </w:pPr>
    </w:p>
    <w:p w:rsidR="0019647D" w:rsidRPr="005C4895" w:rsidRDefault="0019647D" w:rsidP="00C33F20">
      <w:pPr>
        <w:pStyle w:val="Standard"/>
        <w:widowControl w:val="0"/>
        <w:suppressAutoHyphens w:val="0"/>
        <w:spacing w:line="276" w:lineRule="auto"/>
        <w:jc w:val="both"/>
        <w:rPr>
          <w:lang w:val="sq-AL"/>
        </w:rPr>
      </w:pPr>
      <w:r w:rsidRPr="005C4895">
        <w:rPr>
          <w:lang w:val="sq-AL"/>
        </w:rPr>
        <w:t xml:space="preserve">Në vijim të arsyetimit të mësipërm, DAT thekson se Ligji 92/2014 “Për TVSH-në në RSH”, në nenin 77, pika 4 përcakton se </w:t>
      </w:r>
      <w:r w:rsidRPr="005C4895">
        <w:rPr>
          <w:i/>
          <w:lang w:val="sq-AL"/>
        </w:rPr>
        <w:t xml:space="preserve">“...Administrata tatimore, para se të procedojë një kërkesë për rimbursim të TVSH-së për një person të tatueshëm, ka të drejtë ta detyrojë atë person të provojë që qëllimi i veprimtarisë ekonomike është realizimi i transaksioneve të tatueshme, që i japin të drejtën e zbritjes së TVSH-së”. </w:t>
      </w:r>
      <w:r w:rsidRPr="005C4895">
        <w:rPr>
          <w:lang w:val="sq-AL"/>
        </w:rPr>
        <w:t>Ky nen nuk në</w:t>
      </w:r>
      <w:r w:rsidR="003918AC">
        <w:rPr>
          <w:lang w:val="sq-AL"/>
        </w:rPr>
        <w:t>n</w:t>
      </w:r>
      <w:r w:rsidRPr="005C4895">
        <w:rPr>
          <w:lang w:val="sq-AL"/>
        </w:rPr>
        <w:t xml:space="preserve">kupton që administrata tatimore ka të drejtë të refuzojë rimbursimin e TVSH-së kreditore për vlerën që i përket TVSH-së së mallrave gjendje. Qëllimi i kësaj dispozite lidhet kryesisht me rastet kur rimbursimi i TVSH-së ndodh përpara fillimit të aktivitetit të tatimpaguesit dhe për këtë shkak, ky i fundit duhet të provojë që veprimtaria e tij do të realizojë transaksione të tatueshme. Ashtu si u theksua më lart, e drejta e rimbursimit lidhet ngushtësisht dhe rrjedh nga e drejta e zbritjes së TVSH-së, e cila përfitohet nëse furnizimet e marra përdoren për të realizuar transaksione të tatueshme. Kjo është arsyeja që në raste të veçanta, tatimpaguesit duhet të vërtetojnë qëllimin e veprimtarisë së tyre ekonomike, përpara rimbursimit. Por, ky kufizim nuk duhet të zbatohet në çdo rast dhe për çdo gjendje inventari, duke argumentuar se inspektorët nuk mund të gjykojnë mbi shitjet e ardhshme të këtyre mallrave. </w:t>
      </w:r>
    </w:p>
    <w:p w:rsidR="0019647D" w:rsidRPr="005C4895" w:rsidRDefault="0019647D" w:rsidP="00C33F20">
      <w:pPr>
        <w:pStyle w:val="Standard"/>
        <w:widowControl w:val="0"/>
        <w:suppressAutoHyphens w:val="0"/>
        <w:spacing w:line="276" w:lineRule="auto"/>
        <w:jc w:val="both"/>
        <w:rPr>
          <w:lang w:val="sq-AL"/>
        </w:rPr>
      </w:pPr>
    </w:p>
    <w:p w:rsidR="0019647D" w:rsidRPr="005C4895" w:rsidRDefault="0019647D" w:rsidP="00C33F20">
      <w:pPr>
        <w:pStyle w:val="Standard"/>
        <w:widowControl w:val="0"/>
        <w:suppressAutoHyphens w:val="0"/>
        <w:spacing w:line="276" w:lineRule="auto"/>
        <w:jc w:val="both"/>
        <w:rPr>
          <w:lang w:val="sq-AL"/>
        </w:rPr>
      </w:pPr>
      <w:r w:rsidRPr="005C4895">
        <w:rPr>
          <w:lang w:val="sq-AL"/>
        </w:rPr>
        <w:t xml:space="preserve">DAT thekson se Ligji 92/2014, në nenin 9 dhe në Seksionin 5 të kreut IX ka parashikuar rastet e rregullimit të TVSH-së. Udhëzimi nr. 6, datë 30.01.2015, nxjerrë për zbatim të Ligjit, në mënyrë të detajuar ka përcaktuar procedurat që ndiqen në rast se mallrat nuk përdoren për qëllime të transaksioneve të tatueshme, duke evidentuar detyrimin për rikthimin e TVSH-së së paguar qoftë në formën e rregullimit të saj, qoftë në formën e trajtimit si furnizim kundrejt pagesës. </w:t>
      </w:r>
    </w:p>
    <w:p w:rsidR="0019647D" w:rsidRPr="005C4895" w:rsidRDefault="0019647D" w:rsidP="00C33F20">
      <w:pPr>
        <w:pStyle w:val="Standard"/>
        <w:widowControl w:val="0"/>
        <w:suppressAutoHyphens w:val="0"/>
        <w:spacing w:line="276" w:lineRule="auto"/>
        <w:jc w:val="both"/>
        <w:rPr>
          <w:lang w:val="sq-AL"/>
        </w:rPr>
      </w:pPr>
      <w:r w:rsidRPr="005C4895">
        <w:rPr>
          <w:lang w:val="sq-AL"/>
        </w:rPr>
        <w:t>Për këtë shkak, në kushtet kur ligjvënësi ka përcaktuar format dhe mënyrat për të ruajtur TVSH-në e zbritur dhe të rimbursuar, duke kërkuar rikthimin e saj nga tatimpaguesi nëse malli nuk përdoret për qëllime të transaksioneve të tatueshme, administrata tatimore nuk duhet të mohojë të drejtën e tatimpaguesit për të rimbursuar TVSH-në kreditore për të njëjtën vlerë me TVSH-në që i përket gjendjes së mallit.</w:t>
      </w:r>
    </w:p>
    <w:p w:rsidR="0019647D" w:rsidRPr="005C4895" w:rsidRDefault="0019647D" w:rsidP="00C33F20">
      <w:pPr>
        <w:pStyle w:val="Standard"/>
        <w:widowControl w:val="0"/>
        <w:suppressAutoHyphens w:val="0"/>
        <w:spacing w:line="276" w:lineRule="auto"/>
        <w:jc w:val="both"/>
        <w:rPr>
          <w:lang w:val="sq-AL"/>
        </w:rPr>
      </w:pPr>
    </w:p>
    <w:p w:rsidR="0019647D" w:rsidRDefault="0019647D" w:rsidP="00C33F20">
      <w:pPr>
        <w:pStyle w:val="Standard"/>
        <w:widowControl w:val="0"/>
        <w:suppressAutoHyphens w:val="0"/>
        <w:spacing w:line="276" w:lineRule="auto"/>
        <w:jc w:val="both"/>
        <w:rPr>
          <w:lang w:val="sq-AL"/>
        </w:rPr>
      </w:pPr>
      <w:r w:rsidRPr="005C4895">
        <w:rPr>
          <w:lang w:val="sq-AL"/>
        </w:rPr>
        <w:t>N</w:t>
      </w:r>
      <w:r w:rsidR="00DF46B8">
        <w:rPr>
          <w:lang w:val="sq-AL"/>
        </w:rPr>
        <w:t>ë</w:t>
      </w:r>
      <w:r w:rsidRPr="005C4895">
        <w:rPr>
          <w:lang w:val="sq-AL"/>
        </w:rPr>
        <w:t xml:space="preserve"> p</w:t>
      </w:r>
      <w:r w:rsidR="00DF46B8">
        <w:rPr>
          <w:lang w:val="sq-AL"/>
        </w:rPr>
        <w:t>ë</w:t>
      </w:r>
      <w:r w:rsidRPr="005C4895">
        <w:rPr>
          <w:lang w:val="sq-AL"/>
        </w:rPr>
        <w:t>rfundim t</w:t>
      </w:r>
      <w:r w:rsidR="00DF46B8">
        <w:rPr>
          <w:lang w:val="sq-AL"/>
        </w:rPr>
        <w:t>ë</w:t>
      </w:r>
      <w:r w:rsidRPr="005C4895">
        <w:rPr>
          <w:lang w:val="sq-AL"/>
        </w:rPr>
        <w:t xml:space="preserve"> arsyetimit, DAT sjell n</w:t>
      </w:r>
      <w:r w:rsidR="00DF46B8">
        <w:rPr>
          <w:lang w:val="sq-AL"/>
        </w:rPr>
        <w:t>ë</w:t>
      </w:r>
      <w:r w:rsidRPr="005C4895">
        <w:rPr>
          <w:lang w:val="sq-AL"/>
        </w:rPr>
        <w:t xml:space="preserve"> v</w:t>
      </w:r>
      <w:r w:rsidR="00DF46B8">
        <w:rPr>
          <w:lang w:val="sq-AL"/>
        </w:rPr>
        <w:t>ë</w:t>
      </w:r>
      <w:r w:rsidRPr="005C4895">
        <w:rPr>
          <w:lang w:val="sq-AL"/>
        </w:rPr>
        <w:t>mendje shkres</w:t>
      </w:r>
      <w:r w:rsidR="00DF46B8">
        <w:rPr>
          <w:lang w:val="sq-AL"/>
        </w:rPr>
        <w:t>ë</w:t>
      </w:r>
      <w:r w:rsidRPr="005C4895">
        <w:rPr>
          <w:lang w:val="sq-AL"/>
        </w:rPr>
        <w:t xml:space="preserve">n </w:t>
      </w:r>
      <w:r w:rsidR="005C4895" w:rsidRPr="005C4895">
        <w:rPr>
          <w:lang w:val="sq-AL"/>
        </w:rPr>
        <w:t>nr. 3048 prot, dat</w:t>
      </w:r>
      <w:r w:rsidR="00DF46B8">
        <w:rPr>
          <w:lang w:val="sq-AL"/>
        </w:rPr>
        <w:t>ë</w:t>
      </w:r>
      <w:r w:rsidR="005C4895" w:rsidRPr="005C4895">
        <w:rPr>
          <w:lang w:val="sq-AL"/>
        </w:rPr>
        <w:t xml:space="preserve"> 12.02.2018 </w:t>
      </w:r>
      <w:r w:rsidR="005C4895">
        <w:rPr>
          <w:lang w:val="sq-AL"/>
        </w:rPr>
        <w:t>t</w:t>
      </w:r>
      <w:r w:rsidR="00DF46B8">
        <w:rPr>
          <w:lang w:val="sq-AL"/>
        </w:rPr>
        <w:t>ë</w:t>
      </w:r>
      <w:r w:rsidR="005C4895">
        <w:rPr>
          <w:lang w:val="sq-AL"/>
        </w:rPr>
        <w:t xml:space="preserve"> Drejtoris</w:t>
      </w:r>
      <w:r w:rsidR="00DF46B8">
        <w:rPr>
          <w:lang w:val="sq-AL"/>
        </w:rPr>
        <w:t>ë</w:t>
      </w:r>
      <w:r w:rsidR="005C4895">
        <w:rPr>
          <w:lang w:val="sq-AL"/>
        </w:rPr>
        <w:t xml:space="preserve"> s</w:t>
      </w:r>
      <w:r w:rsidR="00DF46B8">
        <w:rPr>
          <w:lang w:val="sq-AL"/>
        </w:rPr>
        <w:t>ë</w:t>
      </w:r>
      <w:r w:rsidR="005C4895">
        <w:rPr>
          <w:lang w:val="sq-AL"/>
        </w:rPr>
        <w:t xml:space="preserve"> P</w:t>
      </w:r>
      <w:r w:rsidR="00DF46B8">
        <w:rPr>
          <w:lang w:val="sq-AL"/>
        </w:rPr>
        <w:t>ë</w:t>
      </w:r>
      <w:r w:rsidR="005C4895">
        <w:rPr>
          <w:lang w:val="sq-AL"/>
        </w:rPr>
        <w:t>rgjithshme t</w:t>
      </w:r>
      <w:r w:rsidR="00DF46B8">
        <w:rPr>
          <w:lang w:val="sq-AL"/>
        </w:rPr>
        <w:t>ë</w:t>
      </w:r>
      <w:r w:rsidR="005C4895">
        <w:rPr>
          <w:lang w:val="sq-AL"/>
        </w:rPr>
        <w:t xml:space="preserve"> Tatimeve, me l</w:t>
      </w:r>
      <w:r w:rsidR="00DF46B8">
        <w:rPr>
          <w:lang w:val="sq-AL"/>
        </w:rPr>
        <w:t>ë</w:t>
      </w:r>
      <w:r w:rsidR="005C4895">
        <w:rPr>
          <w:lang w:val="sq-AL"/>
        </w:rPr>
        <w:t>nd</w:t>
      </w:r>
      <w:r w:rsidR="00DF46B8">
        <w:rPr>
          <w:lang w:val="sq-AL"/>
        </w:rPr>
        <w:t>ë</w:t>
      </w:r>
      <w:r w:rsidR="005C4895">
        <w:rPr>
          <w:lang w:val="sq-AL"/>
        </w:rPr>
        <w:t xml:space="preserve"> “Urdh</w:t>
      </w:r>
      <w:r w:rsidR="00DF46B8">
        <w:rPr>
          <w:lang w:val="sq-AL"/>
        </w:rPr>
        <w:t>ë</w:t>
      </w:r>
      <w:r w:rsidR="005C4895">
        <w:rPr>
          <w:lang w:val="sq-AL"/>
        </w:rPr>
        <w:t>res</w:t>
      </w:r>
      <w:r w:rsidR="00DF46B8">
        <w:rPr>
          <w:lang w:val="sq-AL"/>
        </w:rPr>
        <w:t>ë</w:t>
      </w:r>
      <w:r w:rsidR="005C4895">
        <w:rPr>
          <w:lang w:val="sq-AL"/>
        </w:rPr>
        <w:t xml:space="preserve"> p</w:t>
      </w:r>
      <w:r w:rsidR="00DF46B8">
        <w:rPr>
          <w:lang w:val="sq-AL"/>
        </w:rPr>
        <w:t>ë</w:t>
      </w:r>
      <w:r w:rsidR="005C4895">
        <w:rPr>
          <w:lang w:val="sq-AL"/>
        </w:rPr>
        <w:t>r rregullshm</w:t>
      </w:r>
      <w:r w:rsidR="00DF46B8">
        <w:rPr>
          <w:lang w:val="sq-AL"/>
        </w:rPr>
        <w:t>ë</w:t>
      </w:r>
      <w:r w:rsidR="005C4895">
        <w:rPr>
          <w:lang w:val="sq-AL"/>
        </w:rPr>
        <w:t>rin</w:t>
      </w:r>
      <w:r w:rsidR="00DF46B8">
        <w:rPr>
          <w:lang w:val="sq-AL"/>
        </w:rPr>
        <w:t>ë</w:t>
      </w:r>
      <w:r w:rsidR="005C4895">
        <w:rPr>
          <w:lang w:val="sq-AL"/>
        </w:rPr>
        <w:t xml:space="preserve"> dhe zbatimin e k</w:t>
      </w:r>
      <w:r w:rsidR="00DF46B8">
        <w:rPr>
          <w:lang w:val="sq-AL"/>
        </w:rPr>
        <w:t>ë</w:t>
      </w:r>
      <w:r w:rsidR="005C4895">
        <w:rPr>
          <w:lang w:val="sq-AL"/>
        </w:rPr>
        <w:t>rkesave ligjore n</w:t>
      </w:r>
      <w:r w:rsidR="00DF46B8">
        <w:rPr>
          <w:lang w:val="sq-AL"/>
        </w:rPr>
        <w:t>ë</w:t>
      </w:r>
      <w:r w:rsidR="005C4895">
        <w:rPr>
          <w:lang w:val="sq-AL"/>
        </w:rPr>
        <w:t xml:space="preserve"> kontrollet tatimore p</w:t>
      </w:r>
      <w:r w:rsidR="00DF46B8">
        <w:rPr>
          <w:lang w:val="sq-AL"/>
        </w:rPr>
        <w:t>ë</w:t>
      </w:r>
      <w:r w:rsidR="005C4895">
        <w:rPr>
          <w:lang w:val="sq-AL"/>
        </w:rPr>
        <w:t>r rimbursimin e TVSH-s</w:t>
      </w:r>
      <w:r w:rsidR="00DF46B8">
        <w:rPr>
          <w:lang w:val="sq-AL"/>
        </w:rPr>
        <w:t>ë</w:t>
      </w:r>
      <w:r w:rsidR="005C4895">
        <w:rPr>
          <w:lang w:val="sq-AL"/>
        </w:rPr>
        <w:t>”. N</w:t>
      </w:r>
      <w:r w:rsidR="00DF46B8">
        <w:rPr>
          <w:lang w:val="sq-AL"/>
        </w:rPr>
        <w:t>ë</w:t>
      </w:r>
      <w:r w:rsidR="005C4895">
        <w:rPr>
          <w:lang w:val="sq-AL"/>
        </w:rPr>
        <w:t xml:space="preserve"> pik</w:t>
      </w:r>
      <w:r w:rsidR="00DF46B8">
        <w:rPr>
          <w:lang w:val="sq-AL"/>
        </w:rPr>
        <w:t>ë</w:t>
      </w:r>
      <w:r w:rsidR="005C4895">
        <w:rPr>
          <w:lang w:val="sq-AL"/>
        </w:rPr>
        <w:t>n 1 t</w:t>
      </w:r>
      <w:r w:rsidR="00DF46B8">
        <w:rPr>
          <w:lang w:val="sq-AL"/>
        </w:rPr>
        <w:t>ë</w:t>
      </w:r>
      <w:r w:rsidR="005C4895">
        <w:rPr>
          <w:lang w:val="sq-AL"/>
        </w:rPr>
        <w:t xml:space="preserve"> k</w:t>
      </w:r>
      <w:r w:rsidR="00DF46B8">
        <w:rPr>
          <w:lang w:val="sq-AL"/>
        </w:rPr>
        <w:t>ë</w:t>
      </w:r>
      <w:r w:rsidR="005C4895">
        <w:rPr>
          <w:lang w:val="sq-AL"/>
        </w:rPr>
        <w:t>saj urdh</w:t>
      </w:r>
      <w:r w:rsidR="00DF46B8">
        <w:rPr>
          <w:lang w:val="sq-AL"/>
        </w:rPr>
        <w:t>ë</w:t>
      </w:r>
      <w:r w:rsidR="005C4895">
        <w:rPr>
          <w:lang w:val="sq-AL"/>
        </w:rPr>
        <w:t>rese DPT shprehet si m</w:t>
      </w:r>
      <w:r w:rsidR="00DF46B8">
        <w:rPr>
          <w:lang w:val="sq-AL"/>
        </w:rPr>
        <w:t>ë</w:t>
      </w:r>
      <w:r w:rsidR="005C4895">
        <w:rPr>
          <w:lang w:val="sq-AL"/>
        </w:rPr>
        <w:t xml:space="preserve"> posht</w:t>
      </w:r>
      <w:r w:rsidR="00DF46B8">
        <w:rPr>
          <w:lang w:val="sq-AL"/>
        </w:rPr>
        <w:t>ë</w:t>
      </w:r>
      <w:r w:rsidR="005C4895">
        <w:rPr>
          <w:lang w:val="sq-AL"/>
        </w:rPr>
        <w:t>:</w:t>
      </w:r>
    </w:p>
    <w:p w:rsidR="005C4895" w:rsidRPr="002F057D" w:rsidRDefault="005C4895" w:rsidP="00C33F20">
      <w:pPr>
        <w:pStyle w:val="Standard"/>
        <w:widowControl w:val="0"/>
        <w:suppressAutoHyphens w:val="0"/>
        <w:spacing w:line="276" w:lineRule="auto"/>
        <w:jc w:val="both"/>
        <w:rPr>
          <w:i/>
          <w:lang w:val="sq-AL"/>
        </w:rPr>
      </w:pPr>
      <w:r>
        <w:rPr>
          <w:lang w:val="sq-AL"/>
        </w:rPr>
        <w:lastRenderedPageBreak/>
        <w:t>“</w:t>
      </w:r>
      <w:r w:rsidRPr="002F057D">
        <w:rPr>
          <w:i/>
          <w:lang w:val="sq-AL"/>
        </w:rPr>
        <w:t>N</w:t>
      </w:r>
      <w:r w:rsidR="00DF46B8" w:rsidRPr="002F057D">
        <w:rPr>
          <w:i/>
          <w:lang w:val="sq-AL"/>
        </w:rPr>
        <w:t>ë</w:t>
      </w:r>
      <w:r w:rsidRPr="002F057D">
        <w:rPr>
          <w:i/>
          <w:lang w:val="sq-AL"/>
        </w:rPr>
        <w:t xml:space="preserve"> p</w:t>
      </w:r>
      <w:r w:rsidR="00DF46B8" w:rsidRPr="002F057D">
        <w:rPr>
          <w:i/>
          <w:lang w:val="sq-AL"/>
        </w:rPr>
        <w:t>ë</w:t>
      </w:r>
      <w:r w:rsidRPr="002F057D">
        <w:rPr>
          <w:i/>
          <w:lang w:val="sq-AL"/>
        </w:rPr>
        <w:t>rfundim t</w:t>
      </w:r>
      <w:r w:rsidR="00DF46B8" w:rsidRPr="002F057D">
        <w:rPr>
          <w:i/>
          <w:lang w:val="sq-AL"/>
        </w:rPr>
        <w:t>ë</w:t>
      </w:r>
      <w:r w:rsidRPr="002F057D">
        <w:rPr>
          <w:i/>
          <w:lang w:val="sq-AL"/>
        </w:rPr>
        <w:t xml:space="preserve"> k</w:t>
      </w:r>
      <w:r w:rsidR="00DF46B8" w:rsidRPr="002F057D">
        <w:rPr>
          <w:i/>
          <w:lang w:val="sq-AL"/>
        </w:rPr>
        <w:t>ë</w:t>
      </w:r>
      <w:r w:rsidRPr="002F057D">
        <w:rPr>
          <w:i/>
          <w:lang w:val="sq-AL"/>
        </w:rPr>
        <w:t xml:space="preserve">tyre kontrolleve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arritur n</w:t>
      </w:r>
      <w:r w:rsidR="00DF46B8" w:rsidRPr="002F057D">
        <w:rPr>
          <w:i/>
          <w:lang w:val="sq-AL"/>
        </w:rPr>
        <w:t>ë</w:t>
      </w:r>
      <w:r w:rsidRPr="002F057D">
        <w:rPr>
          <w:i/>
          <w:lang w:val="sq-AL"/>
        </w:rPr>
        <w:t xml:space="preserve"> konkluzionin se teprica kreditore e TVSH-s</w:t>
      </w:r>
      <w:r w:rsidR="00DF46B8" w:rsidRPr="002F057D">
        <w:rPr>
          <w:i/>
          <w:lang w:val="sq-AL"/>
        </w:rPr>
        <w:t>ë</w:t>
      </w:r>
      <w:r w:rsidRPr="002F057D">
        <w:rPr>
          <w:i/>
          <w:lang w:val="sq-AL"/>
        </w:rPr>
        <w:t xml:space="preserve"> s</w:t>
      </w:r>
      <w:r w:rsidR="00DF46B8" w:rsidRPr="002F057D">
        <w:rPr>
          <w:i/>
          <w:lang w:val="sq-AL"/>
        </w:rPr>
        <w:t>ë</w:t>
      </w:r>
      <w:r w:rsidRPr="002F057D">
        <w:rPr>
          <w:i/>
          <w:lang w:val="sq-AL"/>
        </w:rPr>
        <w:t xml:space="preserve"> k</w:t>
      </w:r>
      <w:r w:rsidR="00DF46B8" w:rsidRPr="002F057D">
        <w:rPr>
          <w:i/>
          <w:lang w:val="sq-AL"/>
        </w:rPr>
        <w:t>ë</w:t>
      </w:r>
      <w:r w:rsidRPr="002F057D">
        <w:rPr>
          <w:i/>
          <w:lang w:val="sq-AL"/>
        </w:rPr>
        <w:t>rkuar p</w:t>
      </w:r>
      <w:r w:rsidR="00DF46B8" w:rsidRPr="002F057D">
        <w:rPr>
          <w:i/>
          <w:lang w:val="sq-AL"/>
        </w:rPr>
        <w:t>ë</w:t>
      </w:r>
      <w:r w:rsidRPr="002F057D">
        <w:rPr>
          <w:i/>
          <w:lang w:val="sq-AL"/>
        </w:rPr>
        <w:t>r rimbursim nga tatimpaguesit p</w:t>
      </w:r>
      <w:r w:rsidR="00DF46B8" w:rsidRPr="002F057D">
        <w:rPr>
          <w:i/>
          <w:lang w:val="sq-AL"/>
        </w:rPr>
        <w:t>ë</w:t>
      </w:r>
      <w:r w:rsidRPr="002F057D">
        <w:rPr>
          <w:i/>
          <w:lang w:val="sq-AL"/>
        </w:rPr>
        <w:t>r periudh</w:t>
      </w:r>
      <w:r w:rsidR="00DF46B8" w:rsidRPr="002F057D">
        <w:rPr>
          <w:i/>
          <w:lang w:val="sq-AL"/>
        </w:rPr>
        <w:t>ë</w:t>
      </w:r>
      <w:r w:rsidRPr="002F057D">
        <w:rPr>
          <w:i/>
          <w:lang w:val="sq-AL"/>
        </w:rPr>
        <w:t xml:space="preserve">n e kontrolluar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e kreditueshme, por jo e rimbursueshme.</w:t>
      </w:r>
    </w:p>
    <w:p w:rsidR="005C4895" w:rsidRPr="002F057D" w:rsidRDefault="005C4895" w:rsidP="00C33F20">
      <w:pPr>
        <w:pStyle w:val="Standard"/>
        <w:widowControl w:val="0"/>
        <w:suppressAutoHyphens w:val="0"/>
        <w:spacing w:line="276" w:lineRule="auto"/>
        <w:jc w:val="both"/>
        <w:rPr>
          <w:i/>
          <w:lang w:val="sq-AL"/>
        </w:rPr>
      </w:pPr>
      <w:r w:rsidRPr="002F057D">
        <w:rPr>
          <w:i/>
          <w:lang w:val="sq-AL"/>
        </w:rPr>
        <w:t>Intepretimi i m</w:t>
      </w:r>
      <w:r w:rsidR="00DF46B8" w:rsidRPr="002F057D">
        <w:rPr>
          <w:i/>
          <w:lang w:val="sq-AL"/>
        </w:rPr>
        <w:t>ë</w:t>
      </w:r>
      <w:r w:rsidRPr="002F057D">
        <w:rPr>
          <w:i/>
          <w:lang w:val="sq-AL"/>
        </w:rPr>
        <w:t>sip</w:t>
      </w:r>
      <w:r w:rsidR="00DF46B8" w:rsidRPr="002F057D">
        <w:rPr>
          <w:i/>
          <w:lang w:val="sq-AL"/>
        </w:rPr>
        <w:t>ë</w:t>
      </w:r>
      <w:r w:rsidRPr="002F057D">
        <w:rPr>
          <w:i/>
          <w:lang w:val="sq-AL"/>
        </w:rPr>
        <w:t xml:space="preserve">rm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i gabuar dhe i pabazuar n</w:t>
      </w:r>
      <w:r w:rsidR="00DF46B8" w:rsidRPr="002F057D">
        <w:rPr>
          <w:i/>
          <w:lang w:val="sq-AL"/>
        </w:rPr>
        <w:t>ë</w:t>
      </w:r>
      <w:r w:rsidRPr="002F057D">
        <w:rPr>
          <w:i/>
          <w:lang w:val="sq-AL"/>
        </w:rPr>
        <w:t xml:space="preserve"> referenca ligjore. Ligji 92/2014 “P</w:t>
      </w:r>
      <w:r w:rsidR="00DF46B8" w:rsidRPr="002F057D">
        <w:rPr>
          <w:i/>
          <w:lang w:val="sq-AL"/>
        </w:rPr>
        <w:t>ë</w:t>
      </w:r>
      <w:r w:rsidRPr="002F057D">
        <w:rPr>
          <w:i/>
          <w:lang w:val="sq-AL"/>
        </w:rPr>
        <w:t>r TVSH-n</w:t>
      </w:r>
      <w:r w:rsidR="00DF46B8" w:rsidRPr="002F057D">
        <w:rPr>
          <w:i/>
          <w:lang w:val="sq-AL"/>
        </w:rPr>
        <w:t>ë</w:t>
      </w:r>
      <w:r w:rsidRPr="002F057D">
        <w:rPr>
          <w:i/>
          <w:lang w:val="sq-AL"/>
        </w:rPr>
        <w:t>”dhe Udh</w:t>
      </w:r>
      <w:r w:rsidR="00DF46B8" w:rsidRPr="002F057D">
        <w:rPr>
          <w:i/>
          <w:lang w:val="sq-AL"/>
        </w:rPr>
        <w:t>ë</w:t>
      </w:r>
      <w:r w:rsidRPr="002F057D">
        <w:rPr>
          <w:i/>
          <w:lang w:val="sq-AL"/>
        </w:rPr>
        <w:t>zimi i Ministrit t</w:t>
      </w:r>
      <w:r w:rsidR="00DF46B8" w:rsidRPr="002F057D">
        <w:rPr>
          <w:i/>
          <w:lang w:val="sq-AL"/>
        </w:rPr>
        <w:t>ë</w:t>
      </w:r>
      <w:r w:rsidRPr="002F057D">
        <w:rPr>
          <w:i/>
          <w:lang w:val="sq-AL"/>
        </w:rPr>
        <w:t xml:space="preserve"> Financave n</w:t>
      </w:r>
      <w:r w:rsidR="00DF46B8" w:rsidRPr="002F057D">
        <w:rPr>
          <w:i/>
          <w:lang w:val="sq-AL"/>
        </w:rPr>
        <w:t>ë</w:t>
      </w:r>
      <w:r w:rsidRPr="002F057D">
        <w:rPr>
          <w:i/>
          <w:lang w:val="sq-AL"/>
        </w:rPr>
        <w:t xml:space="preserve"> zbatim t</w:t>
      </w:r>
      <w:r w:rsidR="00DF46B8" w:rsidRPr="002F057D">
        <w:rPr>
          <w:i/>
          <w:lang w:val="sq-AL"/>
        </w:rPr>
        <w:t>ë</w:t>
      </w:r>
      <w:r w:rsidRPr="002F057D">
        <w:rPr>
          <w:i/>
          <w:lang w:val="sq-AL"/>
        </w:rPr>
        <w:t xml:space="preserve"> tij shprehin qart</w:t>
      </w:r>
      <w:r w:rsidR="00DF46B8" w:rsidRPr="002F057D">
        <w:rPr>
          <w:i/>
          <w:lang w:val="sq-AL"/>
        </w:rPr>
        <w:t>ë</w:t>
      </w:r>
      <w:r w:rsidRPr="002F057D">
        <w:rPr>
          <w:i/>
          <w:lang w:val="sq-AL"/>
        </w:rPr>
        <w:t xml:space="preserve"> se shuma e TVSH-s</w:t>
      </w:r>
      <w:r w:rsidR="00DF46B8" w:rsidRPr="002F057D">
        <w:rPr>
          <w:i/>
          <w:lang w:val="sq-AL"/>
        </w:rPr>
        <w:t>ë</w:t>
      </w:r>
      <w:r w:rsidRPr="002F057D">
        <w:rPr>
          <w:i/>
          <w:lang w:val="sq-AL"/>
        </w:rPr>
        <w:t xml:space="preserve"> p</w:t>
      </w:r>
      <w:r w:rsidR="00DF46B8" w:rsidRPr="002F057D">
        <w:rPr>
          <w:i/>
          <w:lang w:val="sq-AL"/>
        </w:rPr>
        <w:t>ë</w:t>
      </w:r>
      <w:r w:rsidRPr="002F057D">
        <w:rPr>
          <w:i/>
          <w:lang w:val="sq-AL"/>
        </w:rPr>
        <w:t>r blerjet apo importet q</w:t>
      </w:r>
      <w:r w:rsidR="00DF46B8" w:rsidRPr="002F057D">
        <w:rPr>
          <w:i/>
          <w:lang w:val="sq-AL"/>
        </w:rPr>
        <w:t>ë</w:t>
      </w:r>
      <w:r w:rsidRPr="002F057D">
        <w:rPr>
          <w:i/>
          <w:lang w:val="sq-AL"/>
        </w:rPr>
        <w:t xml:space="preserve"> i sh</w:t>
      </w:r>
      <w:r w:rsidR="00DF46B8" w:rsidRPr="002F057D">
        <w:rPr>
          <w:i/>
          <w:lang w:val="sq-AL"/>
        </w:rPr>
        <w:t>ë</w:t>
      </w:r>
      <w:r w:rsidRPr="002F057D">
        <w:rPr>
          <w:i/>
          <w:lang w:val="sq-AL"/>
        </w:rPr>
        <w:t>rbejn</w:t>
      </w:r>
      <w:r w:rsidR="00DF46B8" w:rsidRPr="002F057D">
        <w:rPr>
          <w:i/>
          <w:lang w:val="sq-AL"/>
        </w:rPr>
        <w:t>ë</w:t>
      </w:r>
      <w:r w:rsidRPr="002F057D">
        <w:rPr>
          <w:i/>
          <w:lang w:val="sq-AL"/>
        </w:rPr>
        <w:t xml:space="preserve"> zhvillimit t</w:t>
      </w:r>
      <w:r w:rsidR="00DF46B8" w:rsidRPr="002F057D">
        <w:rPr>
          <w:i/>
          <w:lang w:val="sq-AL"/>
        </w:rPr>
        <w:t>ë</w:t>
      </w:r>
      <w:r w:rsidRPr="002F057D">
        <w:rPr>
          <w:i/>
          <w:lang w:val="sq-AL"/>
        </w:rPr>
        <w:t xml:space="preserve"> aktivitetit t</w:t>
      </w:r>
      <w:r w:rsidR="00DF46B8" w:rsidRPr="002F057D">
        <w:rPr>
          <w:i/>
          <w:lang w:val="sq-AL"/>
        </w:rPr>
        <w:t>ë</w:t>
      </w:r>
      <w:r w:rsidRPr="002F057D">
        <w:rPr>
          <w:i/>
          <w:lang w:val="sq-AL"/>
        </w:rPr>
        <w:t xml:space="preserve"> tatuesh</w:t>
      </w:r>
      <w:r w:rsidR="00DF46B8" w:rsidRPr="002F057D">
        <w:rPr>
          <w:i/>
          <w:lang w:val="sq-AL"/>
        </w:rPr>
        <w:t>ë</w:t>
      </w:r>
      <w:r w:rsidRPr="002F057D">
        <w:rPr>
          <w:i/>
          <w:lang w:val="sq-AL"/>
        </w:rPr>
        <w:t xml:space="preserve">m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e kreditueshme dhe p</w:t>
      </w:r>
      <w:r w:rsidR="00DF46B8" w:rsidRPr="002F057D">
        <w:rPr>
          <w:i/>
          <w:lang w:val="sq-AL"/>
        </w:rPr>
        <w:t>ë</w:t>
      </w:r>
      <w:r w:rsidRPr="002F057D">
        <w:rPr>
          <w:i/>
          <w:lang w:val="sq-AL"/>
        </w:rPr>
        <w:t>r pasoj</w:t>
      </w:r>
      <w:r w:rsidR="00DF46B8" w:rsidRPr="002F057D">
        <w:rPr>
          <w:i/>
          <w:lang w:val="sq-AL"/>
        </w:rPr>
        <w:t>ë</w:t>
      </w:r>
      <w:r w:rsidRPr="002F057D">
        <w:rPr>
          <w:i/>
          <w:lang w:val="sq-AL"/>
        </w:rPr>
        <w:t xml:space="preserve">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e rimbursueshme. Kurse n</w:t>
      </w:r>
      <w:r w:rsidR="00DF46B8" w:rsidRPr="002F057D">
        <w:rPr>
          <w:i/>
          <w:lang w:val="sq-AL"/>
        </w:rPr>
        <w:t>ë</w:t>
      </w:r>
      <w:r w:rsidRPr="002F057D">
        <w:rPr>
          <w:i/>
          <w:lang w:val="sq-AL"/>
        </w:rPr>
        <w:t xml:space="preserve"> rastet kur blerjet dhe importet nuk i kan</w:t>
      </w:r>
      <w:r w:rsidR="00DF46B8" w:rsidRPr="002F057D">
        <w:rPr>
          <w:i/>
          <w:lang w:val="sq-AL"/>
        </w:rPr>
        <w:t>ë</w:t>
      </w:r>
      <w:r w:rsidRPr="002F057D">
        <w:rPr>
          <w:i/>
          <w:lang w:val="sq-AL"/>
        </w:rPr>
        <w:t xml:space="preserve"> sh</w:t>
      </w:r>
      <w:r w:rsidR="00DF46B8" w:rsidRPr="002F057D">
        <w:rPr>
          <w:i/>
          <w:lang w:val="sq-AL"/>
        </w:rPr>
        <w:t>ëë</w:t>
      </w:r>
      <w:r w:rsidRPr="002F057D">
        <w:rPr>
          <w:i/>
          <w:lang w:val="sq-AL"/>
        </w:rPr>
        <w:t>rbyer aktivitetit t</w:t>
      </w:r>
      <w:r w:rsidR="00DF46B8" w:rsidRPr="002F057D">
        <w:rPr>
          <w:i/>
          <w:lang w:val="sq-AL"/>
        </w:rPr>
        <w:t>ë</w:t>
      </w:r>
      <w:r w:rsidRPr="002F057D">
        <w:rPr>
          <w:i/>
          <w:lang w:val="sq-AL"/>
        </w:rPr>
        <w:t xml:space="preserve"> tatuesh</w:t>
      </w:r>
      <w:r w:rsidR="00DF46B8" w:rsidRPr="002F057D">
        <w:rPr>
          <w:i/>
          <w:lang w:val="sq-AL"/>
        </w:rPr>
        <w:t>ë</w:t>
      </w:r>
      <w:r w:rsidRPr="002F057D">
        <w:rPr>
          <w:i/>
          <w:lang w:val="sq-AL"/>
        </w:rPr>
        <w:t>m, TVSH e k</w:t>
      </w:r>
      <w:r w:rsidR="00DF46B8" w:rsidRPr="002F057D">
        <w:rPr>
          <w:i/>
          <w:lang w:val="sq-AL"/>
        </w:rPr>
        <w:t>ë</w:t>
      </w:r>
      <w:r w:rsidRPr="002F057D">
        <w:rPr>
          <w:i/>
          <w:lang w:val="sq-AL"/>
        </w:rPr>
        <w:t xml:space="preserve">tyre blerjeve dhe importeve nuk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e kreditueshme dhe p</w:t>
      </w:r>
      <w:r w:rsidR="00DF46B8" w:rsidRPr="002F057D">
        <w:rPr>
          <w:i/>
          <w:lang w:val="sq-AL"/>
        </w:rPr>
        <w:t>ë</w:t>
      </w:r>
      <w:r w:rsidRPr="002F057D">
        <w:rPr>
          <w:i/>
          <w:lang w:val="sq-AL"/>
        </w:rPr>
        <w:t>r pasoj</w:t>
      </w:r>
      <w:r w:rsidR="00DF46B8" w:rsidRPr="002F057D">
        <w:rPr>
          <w:i/>
          <w:lang w:val="sq-AL"/>
        </w:rPr>
        <w:t>ë</w:t>
      </w:r>
      <w:r w:rsidRPr="002F057D">
        <w:rPr>
          <w:i/>
          <w:lang w:val="sq-AL"/>
        </w:rPr>
        <w:t xml:space="preserve"> as e rimbursueshme. N</w:t>
      </w:r>
      <w:r w:rsidR="00DF46B8" w:rsidRPr="002F057D">
        <w:rPr>
          <w:i/>
          <w:lang w:val="sq-AL"/>
        </w:rPr>
        <w:t>ë</w:t>
      </w:r>
      <w:r w:rsidRPr="002F057D">
        <w:rPr>
          <w:i/>
          <w:lang w:val="sq-AL"/>
        </w:rPr>
        <w:t>se j</w:t>
      </w:r>
      <w:r w:rsidR="002F057D">
        <w:rPr>
          <w:i/>
          <w:lang w:val="sq-AL"/>
        </w:rPr>
        <w:t>e</w:t>
      </w:r>
      <w:r w:rsidRPr="002F057D">
        <w:rPr>
          <w:i/>
          <w:lang w:val="sq-AL"/>
        </w:rPr>
        <w:t>mi n</w:t>
      </w:r>
      <w:r w:rsidR="00DF46B8" w:rsidRPr="002F057D">
        <w:rPr>
          <w:i/>
          <w:lang w:val="sq-AL"/>
        </w:rPr>
        <w:t>ë</w:t>
      </w:r>
      <w:r w:rsidRPr="002F057D">
        <w:rPr>
          <w:i/>
          <w:lang w:val="sq-AL"/>
        </w:rPr>
        <w:t xml:space="preserve"> k</w:t>
      </w:r>
      <w:r w:rsidR="00DF46B8" w:rsidRPr="002F057D">
        <w:rPr>
          <w:i/>
          <w:lang w:val="sq-AL"/>
        </w:rPr>
        <w:t>ë</w:t>
      </w:r>
      <w:r w:rsidRPr="002F057D">
        <w:rPr>
          <w:i/>
          <w:lang w:val="sq-AL"/>
        </w:rPr>
        <w:t>to kushte, b</w:t>
      </w:r>
      <w:r w:rsidR="00DF46B8" w:rsidRPr="002F057D">
        <w:rPr>
          <w:i/>
          <w:lang w:val="sq-AL"/>
        </w:rPr>
        <w:t>ë</w:t>
      </w:r>
      <w:r w:rsidRPr="002F057D">
        <w:rPr>
          <w:i/>
          <w:lang w:val="sq-AL"/>
        </w:rPr>
        <w:t>hen rivler</w:t>
      </w:r>
      <w:r w:rsidR="00DF46B8" w:rsidRPr="002F057D">
        <w:rPr>
          <w:i/>
          <w:lang w:val="sq-AL"/>
        </w:rPr>
        <w:t>ë</w:t>
      </w:r>
      <w:r w:rsidRPr="002F057D">
        <w:rPr>
          <w:i/>
          <w:lang w:val="sq-AL"/>
        </w:rPr>
        <w:t>simet p</w:t>
      </w:r>
      <w:r w:rsidR="00DF46B8" w:rsidRPr="002F057D">
        <w:rPr>
          <w:i/>
          <w:lang w:val="sq-AL"/>
        </w:rPr>
        <w:t>ë</w:t>
      </w:r>
      <w:r w:rsidRPr="002F057D">
        <w:rPr>
          <w:i/>
          <w:lang w:val="sq-AL"/>
        </w:rPr>
        <w:t>rkat</w:t>
      </w:r>
      <w:r w:rsidR="00DF46B8" w:rsidRPr="002F057D">
        <w:rPr>
          <w:i/>
          <w:lang w:val="sq-AL"/>
        </w:rPr>
        <w:t>ë</w:t>
      </w:r>
      <w:r w:rsidRPr="002F057D">
        <w:rPr>
          <w:i/>
          <w:lang w:val="sq-AL"/>
        </w:rPr>
        <w:t>se duke korrigjuar n</w:t>
      </w:r>
      <w:r w:rsidR="00DF46B8" w:rsidRPr="002F057D">
        <w:rPr>
          <w:i/>
          <w:lang w:val="sq-AL"/>
        </w:rPr>
        <w:t>ë</w:t>
      </w:r>
      <w:r w:rsidRPr="002F057D">
        <w:rPr>
          <w:i/>
          <w:lang w:val="sq-AL"/>
        </w:rPr>
        <w:t xml:space="preserve"> ulje tepric</w:t>
      </w:r>
      <w:r w:rsidR="00DF46B8" w:rsidRPr="002F057D">
        <w:rPr>
          <w:i/>
          <w:lang w:val="sq-AL"/>
        </w:rPr>
        <w:t>ë</w:t>
      </w:r>
      <w:r w:rsidRPr="002F057D">
        <w:rPr>
          <w:i/>
          <w:lang w:val="sq-AL"/>
        </w:rPr>
        <w:t>n kreditore t</w:t>
      </w:r>
      <w:r w:rsidR="00DF46B8" w:rsidRPr="002F057D">
        <w:rPr>
          <w:i/>
          <w:lang w:val="sq-AL"/>
        </w:rPr>
        <w:t>ë</w:t>
      </w:r>
      <w:r w:rsidRPr="002F057D">
        <w:rPr>
          <w:i/>
          <w:lang w:val="sq-AL"/>
        </w:rPr>
        <w:t xml:space="preserve"> TVSH-s</w:t>
      </w:r>
      <w:r w:rsidR="00DF46B8" w:rsidRPr="002F057D">
        <w:rPr>
          <w:i/>
          <w:lang w:val="sq-AL"/>
        </w:rPr>
        <w:t>ë</w:t>
      </w:r>
      <w:r w:rsidRPr="002F057D">
        <w:rPr>
          <w:i/>
          <w:lang w:val="sq-AL"/>
        </w:rPr>
        <w:t xml:space="preserve"> s</w:t>
      </w:r>
      <w:r w:rsidR="00DF46B8" w:rsidRPr="002F057D">
        <w:rPr>
          <w:i/>
          <w:lang w:val="sq-AL"/>
        </w:rPr>
        <w:t>ë</w:t>
      </w:r>
      <w:r w:rsidRPr="002F057D">
        <w:rPr>
          <w:i/>
          <w:lang w:val="sq-AL"/>
        </w:rPr>
        <w:t xml:space="preserve"> pasqyruar n</w:t>
      </w:r>
      <w:r w:rsidR="00DF46B8" w:rsidRPr="002F057D">
        <w:rPr>
          <w:i/>
          <w:lang w:val="sq-AL"/>
        </w:rPr>
        <w:t>ë</w:t>
      </w:r>
      <w:r w:rsidRPr="002F057D">
        <w:rPr>
          <w:i/>
          <w:lang w:val="sq-AL"/>
        </w:rPr>
        <w:t xml:space="preserve"> deklarat</w:t>
      </w:r>
      <w:r w:rsidR="00DF46B8" w:rsidRPr="002F057D">
        <w:rPr>
          <w:i/>
          <w:lang w:val="sq-AL"/>
        </w:rPr>
        <w:t>ë</w:t>
      </w:r>
      <w:r w:rsidRPr="002F057D">
        <w:rPr>
          <w:i/>
          <w:lang w:val="sq-AL"/>
        </w:rPr>
        <w:t>n/deklaratat mujore t</w:t>
      </w:r>
      <w:r w:rsidR="00DF46B8" w:rsidRPr="002F057D">
        <w:rPr>
          <w:i/>
          <w:lang w:val="sq-AL"/>
        </w:rPr>
        <w:t>ë</w:t>
      </w:r>
      <w:r w:rsidRPr="002F057D">
        <w:rPr>
          <w:i/>
          <w:lang w:val="sq-AL"/>
        </w:rPr>
        <w:t xml:space="preserve"> TVSH-s</w:t>
      </w:r>
      <w:r w:rsidR="00DF46B8" w:rsidRPr="002F057D">
        <w:rPr>
          <w:i/>
          <w:lang w:val="sq-AL"/>
        </w:rPr>
        <w:t>ë</w:t>
      </w:r>
      <w:r w:rsidRPr="002F057D">
        <w:rPr>
          <w:i/>
          <w:lang w:val="sq-AL"/>
        </w:rPr>
        <w:t>. M</w:t>
      </w:r>
      <w:r w:rsidR="00DF46B8" w:rsidRPr="002F057D">
        <w:rPr>
          <w:i/>
          <w:lang w:val="sq-AL"/>
        </w:rPr>
        <w:t>ë</w:t>
      </w:r>
      <w:r w:rsidRPr="002F057D">
        <w:rPr>
          <w:i/>
          <w:lang w:val="sq-AL"/>
        </w:rPr>
        <w:t>nyra e vetme p</w:t>
      </w:r>
      <w:r w:rsidR="00DF46B8" w:rsidRPr="002F057D">
        <w:rPr>
          <w:i/>
          <w:lang w:val="sq-AL"/>
        </w:rPr>
        <w:t>ë</w:t>
      </w:r>
      <w:r w:rsidRPr="002F057D">
        <w:rPr>
          <w:i/>
          <w:lang w:val="sq-AL"/>
        </w:rPr>
        <w:t>r t</w:t>
      </w:r>
      <w:r w:rsidR="00DF46B8" w:rsidRPr="002F057D">
        <w:rPr>
          <w:i/>
          <w:lang w:val="sq-AL"/>
        </w:rPr>
        <w:t>ë</w:t>
      </w:r>
      <w:r w:rsidRPr="002F057D">
        <w:rPr>
          <w:i/>
          <w:lang w:val="sq-AL"/>
        </w:rPr>
        <w:t xml:space="preserve"> pasqyruar rezultatet e nj</w:t>
      </w:r>
      <w:r w:rsidR="00DF46B8" w:rsidRPr="002F057D">
        <w:rPr>
          <w:i/>
          <w:lang w:val="sq-AL"/>
        </w:rPr>
        <w:t>ë</w:t>
      </w:r>
      <w:r w:rsidRPr="002F057D">
        <w:rPr>
          <w:i/>
          <w:lang w:val="sq-AL"/>
        </w:rPr>
        <w:t xml:space="preserve"> kontrolli tatimor n</w:t>
      </w:r>
      <w:r w:rsidR="00DF46B8" w:rsidRPr="002F057D">
        <w:rPr>
          <w:i/>
          <w:lang w:val="sq-AL"/>
        </w:rPr>
        <w:t>ë</w:t>
      </w:r>
      <w:r w:rsidRPr="002F057D">
        <w:rPr>
          <w:i/>
          <w:lang w:val="sq-AL"/>
        </w:rPr>
        <w:t xml:space="preserve"> situat</w:t>
      </w:r>
      <w:r w:rsidR="00DF46B8" w:rsidRPr="002F057D">
        <w:rPr>
          <w:i/>
          <w:lang w:val="sq-AL"/>
        </w:rPr>
        <w:t>ë</w:t>
      </w:r>
      <w:r w:rsidRPr="002F057D">
        <w:rPr>
          <w:i/>
          <w:lang w:val="sq-AL"/>
        </w:rPr>
        <w:t>n tatimore t</w:t>
      </w:r>
      <w:r w:rsidR="00DF46B8" w:rsidRPr="002F057D">
        <w:rPr>
          <w:i/>
          <w:lang w:val="sq-AL"/>
        </w:rPr>
        <w:t>ë</w:t>
      </w:r>
      <w:r w:rsidRPr="002F057D">
        <w:rPr>
          <w:i/>
          <w:lang w:val="sq-AL"/>
        </w:rPr>
        <w:t xml:space="preserve"> nj</w:t>
      </w:r>
      <w:r w:rsidR="00DF46B8" w:rsidRPr="002F057D">
        <w:rPr>
          <w:i/>
          <w:lang w:val="sq-AL"/>
        </w:rPr>
        <w:t>ë</w:t>
      </w:r>
      <w:r w:rsidRPr="002F057D">
        <w:rPr>
          <w:i/>
          <w:lang w:val="sq-AL"/>
        </w:rPr>
        <w:t xml:space="preserve"> tatimpaguesi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korrigjimi i deklarat</w:t>
      </w:r>
      <w:r w:rsidR="00DF46B8" w:rsidRPr="002F057D">
        <w:rPr>
          <w:i/>
          <w:lang w:val="sq-AL"/>
        </w:rPr>
        <w:t>ë</w:t>
      </w:r>
      <w:r w:rsidRPr="002F057D">
        <w:rPr>
          <w:i/>
          <w:lang w:val="sq-AL"/>
        </w:rPr>
        <w:t>s/deklaratave t</w:t>
      </w:r>
      <w:r w:rsidR="00DF46B8" w:rsidRPr="002F057D">
        <w:rPr>
          <w:i/>
          <w:lang w:val="sq-AL"/>
        </w:rPr>
        <w:t>ë</w:t>
      </w:r>
      <w:r w:rsidRPr="002F057D">
        <w:rPr>
          <w:i/>
          <w:lang w:val="sq-AL"/>
        </w:rPr>
        <w:t xml:space="preserve"> tij. Deklarata mujore e TVSH-s</w:t>
      </w:r>
      <w:r w:rsidR="00DF46B8" w:rsidRPr="002F057D">
        <w:rPr>
          <w:i/>
          <w:lang w:val="sq-AL"/>
        </w:rPr>
        <w:t>ë</w:t>
      </w:r>
      <w:r w:rsidRPr="002F057D">
        <w:rPr>
          <w:i/>
          <w:lang w:val="sq-AL"/>
        </w:rPr>
        <w:t xml:space="preserve"> siç dihet nuk ka rubrik</w:t>
      </w:r>
      <w:r w:rsidR="00DF46B8" w:rsidRPr="002F057D">
        <w:rPr>
          <w:i/>
          <w:lang w:val="sq-AL"/>
        </w:rPr>
        <w:t>ë</w:t>
      </w:r>
      <w:r w:rsidRPr="002F057D">
        <w:rPr>
          <w:i/>
          <w:lang w:val="sq-AL"/>
        </w:rPr>
        <w:t xml:space="preserve"> rimbursimi q</w:t>
      </w:r>
      <w:r w:rsidR="00DF46B8" w:rsidRPr="002F057D">
        <w:rPr>
          <w:i/>
          <w:lang w:val="sq-AL"/>
        </w:rPr>
        <w:t>ë</w:t>
      </w:r>
      <w:r w:rsidRPr="002F057D">
        <w:rPr>
          <w:i/>
          <w:lang w:val="sq-AL"/>
        </w:rPr>
        <w:t xml:space="preserve"> t</w:t>
      </w:r>
      <w:r w:rsidR="00DF46B8" w:rsidRPr="002F057D">
        <w:rPr>
          <w:i/>
          <w:lang w:val="sq-AL"/>
        </w:rPr>
        <w:t>ë</w:t>
      </w:r>
      <w:r w:rsidRPr="002F057D">
        <w:rPr>
          <w:i/>
          <w:lang w:val="sq-AL"/>
        </w:rPr>
        <w:t xml:space="preserve"> mund t</w:t>
      </w:r>
      <w:r w:rsidR="00DF46B8" w:rsidRPr="002F057D">
        <w:rPr>
          <w:i/>
          <w:lang w:val="sq-AL"/>
        </w:rPr>
        <w:t>ë</w:t>
      </w:r>
      <w:r w:rsidRPr="002F057D">
        <w:rPr>
          <w:i/>
          <w:lang w:val="sq-AL"/>
        </w:rPr>
        <w:t xml:space="preserve"> korrigjohet, por ka vet</w:t>
      </w:r>
      <w:r w:rsidR="00DF46B8" w:rsidRPr="002F057D">
        <w:rPr>
          <w:i/>
          <w:lang w:val="sq-AL"/>
        </w:rPr>
        <w:t>ë</w:t>
      </w:r>
      <w:r w:rsidRPr="002F057D">
        <w:rPr>
          <w:i/>
          <w:lang w:val="sq-AL"/>
        </w:rPr>
        <w:t>m rubrika kreditimit t</w:t>
      </w:r>
      <w:r w:rsidR="00DF46B8" w:rsidRPr="002F057D">
        <w:rPr>
          <w:i/>
          <w:lang w:val="sq-AL"/>
        </w:rPr>
        <w:t>ë</w:t>
      </w:r>
      <w:r w:rsidRPr="002F057D">
        <w:rPr>
          <w:i/>
          <w:lang w:val="sq-AL"/>
        </w:rPr>
        <w:t xml:space="preserve"> cilat mund t</w:t>
      </w:r>
      <w:r w:rsidR="00DF46B8" w:rsidRPr="002F057D">
        <w:rPr>
          <w:i/>
          <w:lang w:val="sq-AL"/>
        </w:rPr>
        <w:t>ë</w:t>
      </w:r>
      <w:r w:rsidRPr="002F057D">
        <w:rPr>
          <w:i/>
          <w:lang w:val="sq-AL"/>
        </w:rPr>
        <w:t xml:space="preserve"> korrigjohen n</w:t>
      </w:r>
      <w:r w:rsidR="00DF46B8" w:rsidRPr="002F057D">
        <w:rPr>
          <w:i/>
          <w:lang w:val="sq-AL"/>
        </w:rPr>
        <w:t>ë</w:t>
      </w:r>
      <w:r w:rsidRPr="002F057D">
        <w:rPr>
          <w:i/>
          <w:lang w:val="sq-AL"/>
        </w:rPr>
        <w:t xml:space="preserve"> ulje ose n</w:t>
      </w:r>
      <w:r w:rsidR="00DF46B8" w:rsidRPr="002F057D">
        <w:rPr>
          <w:i/>
          <w:lang w:val="sq-AL"/>
        </w:rPr>
        <w:t>ë</w:t>
      </w:r>
      <w:r w:rsidRPr="002F057D">
        <w:rPr>
          <w:i/>
          <w:lang w:val="sq-AL"/>
        </w:rPr>
        <w:t xml:space="preserve"> rritje.</w:t>
      </w:r>
    </w:p>
    <w:p w:rsidR="00DF46B8" w:rsidRPr="002F057D" w:rsidRDefault="005C4895" w:rsidP="00C33F20">
      <w:pPr>
        <w:pStyle w:val="Standard"/>
        <w:widowControl w:val="0"/>
        <w:suppressAutoHyphens w:val="0"/>
        <w:spacing w:line="276" w:lineRule="auto"/>
        <w:jc w:val="both"/>
        <w:rPr>
          <w:i/>
          <w:lang w:val="sq-AL"/>
        </w:rPr>
      </w:pPr>
      <w:r w:rsidRPr="002F057D">
        <w:rPr>
          <w:i/>
          <w:lang w:val="sq-AL"/>
        </w:rPr>
        <w:t>Intepretimi dhe trajtimi nga inspektor</w:t>
      </w:r>
      <w:r w:rsidR="00DF46B8" w:rsidRPr="002F057D">
        <w:rPr>
          <w:i/>
          <w:lang w:val="sq-AL"/>
        </w:rPr>
        <w:t>ë</w:t>
      </w:r>
      <w:r w:rsidRPr="002F057D">
        <w:rPr>
          <w:i/>
          <w:lang w:val="sq-AL"/>
        </w:rPr>
        <w:t>t e kontrollit, t</w:t>
      </w:r>
      <w:r w:rsidR="00DF46B8" w:rsidRPr="002F057D">
        <w:rPr>
          <w:i/>
          <w:lang w:val="sq-AL"/>
        </w:rPr>
        <w:t>ë</w:t>
      </w:r>
      <w:r w:rsidRPr="002F057D">
        <w:rPr>
          <w:i/>
          <w:lang w:val="sq-AL"/>
        </w:rPr>
        <w:t xml:space="preserve"> shprehura n</w:t>
      </w:r>
      <w:r w:rsidR="00DF46B8" w:rsidRPr="002F057D">
        <w:rPr>
          <w:i/>
          <w:lang w:val="sq-AL"/>
        </w:rPr>
        <w:t>ë</w:t>
      </w:r>
      <w:r w:rsidRPr="002F057D">
        <w:rPr>
          <w:i/>
          <w:lang w:val="sq-AL"/>
        </w:rPr>
        <w:t xml:space="preserve"> raportet e kontrollit se TVSH-ja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njohur si e kreditueshme, por jo si e rimbursueshme, nuk jan</w:t>
      </w:r>
      <w:r w:rsidR="00DF46B8" w:rsidRPr="002F057D">
        <w:rPr>
          <w:i/>
          <w:lang w:val="sq-AL"/>
        </w:rPr>
        <w:t>ë</w:t>
      </w:r>
      <w:r w:rsidRPr="002F057D">
        <w:rPr>
          <w:i/>
          <w:lang w:val="sq-AL"/>
        </w:rPr>
        <w:t xml:space="preserve"> q</w:t>
      </w:r>
      <w:r w:rsidR="00DF46B8" w:rsidRPr="002F057D">
        <w:rPr>
          <w:i/>
          <w:lang w:val="sq-AL"/>
        </w:rPr>
        <w:t>ë</w:t>
      </w:r>
      <w:r w:rsidRPr="002F057D">
        <w:rPr>
          <w:i/>
          <w:lang w:val="sq-AL"/>
        </w:rPr>
        <w:t>ndrime t</w:t>
      </w:r>
      <w:r w:rsidR="00DF46B8" w:rsidRPr="002F057D">
        <w:rPr>
          <w:i/>
          <w:lang w:val="sq-AL"/>
        </w:rPr>
        <w:t>ë</w:t>
      </w:r>
      <w:r w:rsidRPr="002F057D">
        <w:rPr>
          <w:i/>
          <w:lang w:val="sq-AL"/>
        </w:rPr>
        <w:t xml:space="preserve"> sakta dhe t</w:t>
      </w:r>
      <w:r w:rsidR="00DF46B8" w:rsidRPr="002F057D">
        <w:rPr>
          <w:i/>
          <w:lang w:val="sq-AL"/>
        </w:rPr>
        <w:t>ë</w:t>
      </w:r>
      <w:r w:rsidRPr="002F057D">
        <w:rPr>
          <w:i/>
          <w:lang w:val="sq-AL"/>
        </w:rPr>
        <w:t xml:space="preserve"> mb</w:t>
      </w:r>
      <w:r w:rsidR="00DF46B8" w:rsidRPr="002F057D">
        <w:rPr>
          <w:i/>
          <w:lang w:val="sq-AL"/>
        </w:rPr>
        <w:t>ë</w:t>
      </w:r>
      <w:r w:rsidRPr="002F057D">
        <w:rPr>
          <w:i/>
          <w:lang w:val="sq-AL"/>
        </w:rPr>
        <w:t>shtetura n</w:t>
      </w:r>
      <w:r w:rsidR="00DF46B8" w:rsidRPr="002F057D">
        <w:rPr>
          <w:i/>
          <w:lang w:val="sq-AL"/>
        </w:rPr>
        <w:t>ë</w:t>
      </w:r>
      <w:r w:rsidRPr="002F057D">
        <w:rPr>
          <w:i/>
          <w:lang w:val="sq-AL"/>
        </w:rPr>
        <w:t xml:space="preserve"> ligj. </w:t>
      </w:r>
    </w:p>
    <w:p w:rsidR="005C4895" w:rsidRPr="002F057D" w:rsidRDefault="005C4895" w:rsidP="00C33F20">
      <w:pPr>
        <w:pStyle w:val="Standard"/>
        <w:widowControl w:val="0"/>
        <w:suppressAutoHyphens w:val="0"/>
        <w:spacing w:line="276" w:lineRule="auto"/>
        <w:jc w:val="both"/>
        <w:rPr>
          <w:lang w:val="sq-AL"/>
        </w:rPr>
      </w:pPr>
      <w:r w:rsidRPr="002F057D">
        <w:rPr>
          <w:i/>
          <w:lang w:val="sq-AL"/>
        </w:rPr>
        <w:t xml:space="preserve">TVSH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e kreditueshme ose e pakreditueshme dhe n</w:t>
      </w:r>
      <w:r w:rsidR="00DF46B8" w:rsidRPr="002F057D">
        <w:rPr>
          <w:i/>
          <w:lang w:val="sq-AL"/>
        </w:rPr>
        <w:t>ë</w:t>
      </w:r>
      <w:r w:rsidRPr="002F057D">
        <w:rPr>
          <w:i/>
          <w:lang w:val="sq-AL"/>
        </w:rPr>
        <w:t xml:space="preserve">se </w:t>
      </w:r>
      <w:r w:rsidR="00DF46B8" w:rsidRPr="002F057D">
        <w:rPr>
          <w:i/>
          <w:lang w:val="sq-AL"/>
        </w:rPr>
        <w:t>ë</w:t>
      </w:r>
      <w:r w:rsidRPr="002F057D">
        <w:rPr>
          <w:i/>
          <w:lang w:val="sq-AL"/>
        </w:rPr>
        <w:t>sht</w:t>
      </w:r>
      <w:r w:rsidR="00DF46B8" w:rsidRPr="002F057D">
        <w:rPr>
          <w:i/>
          <w:lang w:val="sq-AL"/>
        </w:rPr>
        <w:t>ë</w:t>
      </w:r>
      <w:r w:rsidRPr="002F057D">
        <w:rPr>
          <w:i/>
          <w:lang w:val="sq-AL"/>
        </w:rPr>
        <w:t xml:space="preserve"> e </w:t>
      </w:r>
      <w:r w:rsidR="00DF46B8" w:rsidRPr="002F057D">
        <w:rPr>
          <w:i/>
          <w:lang w:val="sq-AL"/>
        </w:rPr>
        <w:t>pa</w:t>
      </w:r>
      <w:r w:rsidRPr="002F057D">
        <w:rPr>
          <w:i/>
          <w:lang w:val="sq-AL"/>
        </w:rPr>
        <w:t xml:space="preserve">kreditueshme </w:t>
      </w:r>
      <w:r w:rsidR="00DF46B8" w:rsidRPr="002F057D">
        <w:rPr>
          <w:i/>
          <w:lang w:val="sq-AL"/>
        </w:rPr>
        <w:t>është dhe e parimbursueshme</w:t>
      </w:r>
      <w:r w:rsidR="00DF46B8" w:rsidRPr="002F057D">
        <w:rPr>
          <w:lang w:val="sq-AL"/>
        </w:rPr>
        <w:t>”.</w:t>
      </w:r>
    </w:p>
    <w:p w:rsidR="0019647D" w:rsidRDefault="0019647D" w:rsidP="00C33F20">
      <w:pPr>
        <w:pStyle w:val="Standard"/>
        <w:widowControl w:val="0"/>
        <w:suppressAutoHyphens w:val="0"/>
        <w:spacing w:line="276" w:lineRule="auto"/>
        <w:jc w:val="both"/>
        <w:rPr>
          <w:lang w:val="sq-AL"/>
        </w:rPr>
      </w:pPr>
    </w:p>
    <w:p w:rsidR="00903C85" w:rsidRDefault="0019647D" w:rsidP="00903C85">
      <w:pPr>
        <w:pStyle w:val="Standard"/>
        <w:widowControl w:val="0"/>
        <w:suppressAutoHyphens w:val="0"/>
        <w:spacing w:line="276" w:lineRule="auto"/>
        <w:jc w:val="both"/>
        <w:rPr>
          <w:lang w:val="sq-AL"/>
        </w:rPr>
      </w:pPr>
      <w:r w:rsidRPr="005C4895">
        <w:rPr>
          <w:lang w:val="sq-AL"/>
        </w:rPr>
        <w:t xml:space="preserve">Sa më sipër, </w:t>
      </w:r>
      <w:r w:rsidRPr="005C4895">
        <w:rPr>
          <w:bCs/>
          <w:lang w:val="sq-AL"/>
        </w:rPr>
        <w:t>Drejtoria e Apelimit Tatimor</w:t>
      </w:r>
      <w:r w:rsidRPr="005C4895">
        <w:rPr>
          <w:lang w:val="sq-AL"/>
        </w:rPr>
        <w:t xml:space="preserve"> pranon ankimin e tatimpaguesit ndaj mosrimbursimit të TVSH-së </w:t>
      </w:r>
      <w:r w:rsidR="00DF46B8">
        <w:rPr>
          <w:lang w:val="sq-AL"/>
        </w:rPr>
        <w:t>kreditore</w:t>
      </w:r>
      <w:r w:rsidR="009977CF">
        <w:rPr>
          <w:lang w:val="sq-AL"/>
        </w:rPr>
        <w:t>,</w:t>
      </w:r>
      <w:r w:rsidR="00DF46B8">
        <w:rPr>
          <w:lang w:val="sq-AL"/>
        </w:rPr>
        <w:t xml:space="preserve"> </w:t>
      </w:r>
      <w:r w:rsidR="009977CF">
        <w:rPr>
          <w:lang w:val="sq-AL"/>
        </w:rPr>
        <w:t>por duke sjell</w:t>
      </w:r>
      <w:r w:rsidR="00E06CD5">
        <w:rPr>
          <w:lang w:val="sq-AL"/>
        </w:rPr>
        <w:t>ë</w:t>
      </w:r>
      <w:r w:rsidR="009977CF">
        <w:rPr>
          <w:lang w:val="sq-AL"/>
        </w:rPr>
        <w:t xml:space="preserve"> n</w:t>
      </w:r>
      <w:r w:rsidR="00E06CD5">
        <w:rPr>
          <w:lang w:val="sq-AL"/>
        </w:rPr>
        <w:t>ë</w:t>
      </w:r>
      <w:r w:rsidR="009977CF">
        <w:rPr>
          <w:lang w:val="sq-AL"/>
        </w:rPr>
        <w:t xml:space="preserve"> v</w:t>
      </w:r>
      <w:r w:rsidR="00E06CD5">
        <w:rPr>
          <w:lang w:val="sq-AL"/>
        </w:rPr>
        <w:t>ë</w:t>
      </w:r>
      <w:r w:rsidR="009977CF">
        <w:rPr>
          <w:lang w:val="sq-AL"/>
        </w:rPr>
        <w:t>mendje se deri n</w:t>
      </w:r>
      <w:r w:rsidR="00E06CD5">
        <w:rPr>
          <w:lang w:val="sq-AL"/>
        </w:rPr>
        <w:t>ë</w:t>
      </w:r>
      <w:r w:rsidR="009977CF">
        <w:rPr>
          <w:lang w:val="sq-AL"/>
        </w:rPr>
        <w:t xml:space="preserve"> nxjerrjen e vendimit, vlera</w:t>
      </w:r>
      <w:r w:rsidR="00054C82">
        <w:rPr>
          <w:lang w:val="sq-AL"/>
        </w:rPr>
        <w:t xml:space="preserve"> </w:t>
      </w:r>
      <w:r w:rsidR="009977CF">
        <w:rPr>
          <w:lang w:val="sq-AL"/>
        </w:rPr>
        <w:t>e TVSH-s</w:t>
      </w:r>
      <w:r w:rsidR="00E06CD5">
        <w:rPr>
          <w:lang w:val="sq-AL"/>
        </w:rPr>
        <w:t>ë</w:t>
      </w:r>
      <w:r w:rsidR="009977CF">
        <w:rPr>
          <w:lang w:val="sq-AL"/>
        </w:rPr>
        <w:t xml:space="preserve"> s</w:t>
      </w:r>
      <w:r w:rsidR="00E06CD5">
        <w:rPr>
          <w:lang w:val="sq-AL"/>
        </w:rPr>
        <w:t>ë</w:t>
      </w:r>
      <w:r w:rsidR="009977CF">
        <w:rPr>
          <w:lang w:val="sq-AL"/>
        </w:rPr>
        <w:t xml:space="preserve"> k</w:t>
      </w:r>
      <w:r w:rsidR="00E06CD5">
        <w:rPr>
          <w:lang w:val="sq-AL"/>
        </w:rPr>
        <w:t>ë</w:t>
      </w:r>
      <w:r w:rsidR="009977CF">
        <w:rPr>
          <w:lang w:val="sq-AL"/>
        </w:rPr>
        <w:t>rkuar p</w:t>
      </w:r>
      <w:r w:rsidR="00E06CD5">
        <w:rPr>
          <w:lang w:val="sq-AL"/>
        </w:rPr>
        <w:t>ë</w:t>
      </w:r>
      <w:r w:rsidR="009977CF">
        <w:rPr>
          <w:lang w:val="sq-AL"/>
        </w:rPr>
        <w:t xml:space="preserve">r rimbursim </w:t>
      </w:r>
      <w:r w:rsidR="00903C85">
        <w:rPr>
          <w:lang w:val="sq-AL"/>
        </w:rPr>
        <w:t xml:space="preserve">nuk wshtw sa wshtw kwrkuar fillimisht nga tatimpaguesi, pasi njw pjesw </w:t>
      </w:r>
    </w:p>
    <w:p w:rsidR="00E06CD5" w:rsidRDefault="00E06CD5" w:rsidP="00C33F20">
      <w:pPr>
        <w:pStyle w:val="Standard"/>
        <w:widowControl w:val="0"/>
        <w:suppressAutoHyphens w:val="0"/>
        <w:spacing w:line="276" w:lineRule="auto"/>
        <w:jc w:val="both"/>
        <w:rPr>
          <w:lang w:val="sq-AL"/>
        </w:rPr>
      </w:pPr>
      <w:r>
        <w:rPr>
          <w:lang w:val="sq-AL"/>
        </w:rPr>
        <w:t xml:space="preserve">është përdorur automatikisht nga administrata tatimore për të kompensuar detyrimet tatimore që janë krijuar nga deklaratat e TVSH-së së periudhave </w:t>
      </w:r>
      <w:r w:rsidR="00903C85">
        <w:rPr>
          <w:lang w:val="sq-AL"/>
        </w:rPr>
        <w:t>vijuese dhe pwr kwtw vlerw nuk pranohet kwrkesa e tatimpaguesit pwr rimbursim</w:t>
      </w:r>
      <w:r>
        <w:rPr>
          <w:lang w:val="sq-AL"/>
        </w:rPr>
        <w:t xml:space="preserve">. </w:t>
      </w:r>
    </w:p>
    <w:p w:rsidR="00E06CD5" w:rsidRPr="005C4895" w:rsidRDefault="00E06CD5" w:rsidP="00C33F20">
      <w:pPr>
        <w:pStyle w:val="Standard"/>
        <w:widowControl w:val="0"/>
        <w:suppressAutoHyphens w:val="0"/>
        <w:spacing w:line="276" w:lineRule="auto"/>
        <w:jc w:val="both"/>
        <w:rPr>
          <w:lang w:val="sq-AL"/>
        </w:rPr>
      </w:pPr>
    </w:p>
    <w:p w:rsidR="00C74BD9" w:rsidRPr="005C4895" w:rsidRDefault="00C74BD9" w:rsidP="00C33F20">
      <w:pPr>
        <w:pStyle w:val="Header"/>
        <w:widowControl w:val="0"/>
        <w:tabs>
          <w:tab w:val="left" w:pos="720"/>
        </w:tabs>
        <w:spacing w:line="276" w:lineRule="auto"/>
        <w:jc w:val="both"/>
        <w:rPr>
          <w:rFonts w:ascii="Times New Roman" w:hAnsi="Times New Roman" w:cs="Times New Roman"/>
          <w:sz w:val="24"/>
          <w:szCs w:val="24"/>
        </w:rPr>
      </w:pPr>
      <w:r w:rsidRPr="005C4895">
        <w:rPr>
          <w:rFonts w:ascii="Times New Roman" w:hAnsi="Times New Roman" w:cs="Times New Roman"/>
          <w:bCs/>
          <w:sz w:val="24"/>
          <w:szCs w:val="24"/>
        </w:rPr>
        <w:t>Sa më sipër</w:t>
      </w:r>
      <w:r w:rsidRPr="005C4895">
        <w:rPr>
          <w:rFonts w:ascii="Times New Roman" w:hAnsi="Times New Roman" w:cs="Times New Roman"/>
          <w:b/>
          <w:sz w:val="24"/>
          <w:szCs w:val="24"/>
        </w:rPr>
        <w:t>,</w:t>
      </w:r>
      <w:r w:rsidRPr="005C4895">
        <w:rPr>
          <w:rFonts w:ascii="Times New Roman" w:hAnsi="Times New Roman" w:cs="Times New Roman"/>
          <w:sz w:val="24"/>
          <w:szCs w:val="24"/>
        </w:rPr>
        <w:t xml:space="preserve"> Drejtoria e Apelimit Tatimor, në zbatim të nenit 10</w:t>
      </w:r>
      <w:r w:rsidR="00DF46B8">
        <w:rPr>
          <w:rFonts w:ascii="Times New Roman" w:hAnsi="Times New Roman" w:cs="Times New Roman"/>
          <w:sz w:val="24"/>
          <w:szCs w:val="24"/>
        </w:rPr>
        <w:t>8, pika 3 gërma (</w:t>
      </w:r>
      <w:r w:rsidR="00C33F20">
        <w:rPr>
          <w:rFonts w:ascii="Times New Roman" w:hAnsi="Times New Roman" w:cs="Times New Roman"/>
          <w:sz w:val="24"/>
          <w:szCs w:val="24"/>
        </w:rPr>
        <w:t>c</w:t>
      </w:r>
      <w:r w:rsidR="00DF46B8">
        <w:rPr>
          <w:rFonts w:ascii="Times New Roman" w:hAnsi="Times New Roman" w:cs="Times New Roman"/>
          <w:sz w:val="24"/>
          <w:szCs w:val="24"/>
        </w:rPr>
        <w:t>), të Ligjit n</w:t>
      </w:r>
      <w:r w:rsidRPr="005C4895">
        <w:rPr>
          <w:rFonts w:ascii="Times New Roman" w:hAnsi="Times New Roman" w:cs="Times New Roman"/>
          <w:sz w:val="24"/>
          <w:szCs w:val="24"/>
        </w:rPr>
        <w:t>r.</w:t>
      </w:r>
      <w:r w:rsidR="00DF46B8">
        <w:rPr>
          <w:rFonts w:ascii="Times New Roman" w:hAnsi="Times New Roman" w:cs="Times New Roman"/>
          <w:sz w:val="24"/>
          <w:szCs w:val="24"/>
        </w:rPr>
        <w:t xml:space="preserve"> </w:t>
      </w:r>
      <w:r w:rsidRPr="005C4895">
        <w:rPr>
          <w:rFonts w:ascii="Times New Roman" w:hAnsi="Times New Roman" w:cs="Times New Roman"/>
          <w:sz w:val="24"/>
          <w:szCs w:val="24"/>
        </w:rPr>
        <w:t>9920 datë 19.05.2008, “Për Procedurat Tatimore në R.SH” dhe pikës 108.3.3 gërma (</w:t>
      </w:r>
      <w:r w:rsidR="00C33F20">
        <w:rPr>
          <w:rFonts w:ascii="Times New Roman" w:hAnsi="Times New Roman" w:cs="Times New Roman"/>
          <w:sz w:val="24"/>
          <w:szCs w:val="24"/>
        </w:rPr>
        <w:t>ç</w:t>
      </w:r>
      <w:r w:rsidRPr="005C4895">
        <w:rPr>
          <w:rFonts w:ascii="Times New Roman" w:hAnsi="Times New Roman" w:cs="Times New Roman"/>
          <w:sz w:val="24"/>
          <w:szCs w:val="24"/>
        </w:rPr>
        <w:t xml:space="preserve">), të Udhëzimit të Ministrisë së Financave nr.24 datë 02.09.2008, i nxjerrë në zbatim të këtij ligji, </w:t>
      </w:r>
    </w:p>
    <w:p w:rsidR="00C74BD9" w:rsidRPr="005C4895" w:rsidRDefault="00C74BD9" w:rsidP="00C33F20">
      <w:pPr>
        <w:pStyle w:val="Header"/>
        <w:widowControl w:val="0"/>
        <w:tabs>
          <w:tab w:val="left" w:pos="720"/>
        </w:tabs>
        <w:spacing w:line="276" w:lineRule="auto"/>
        <w:jc w:val="both"/>
        <w:rPr>
          <w:rFonts w:ascii="Times New Roman" w:hAnsi="Times New Roman" w:cs="Times New Roman"/>
          <w:sz w:val="24"/>
          <w:szCs w:val="24"/>
        </w:rPr>
      </w:pPr>
    </w:p>
    <w:p w:rsidR="00C74BD9" w:rsidRPr="00DF46B8" w:rsidRDefault="00C74BD9" w:rsidP="00C33F20">
      <w:pPr>
        <w:widowControl w:val="0"/>
        <w:spacing w:after="0" w:line="276" w:lineRule="auto"/>
        <w:jc w:val="center"/>
        <w:rPr>
          <w:rFonts w:ascii="Times New Roman" w:hAnsi="Times New Roman" w:cs="Times New Roman"/>
          <w:b/>
          <w:sz w:val="24"/>
          <w:szCs w:val="24"/>
        </w:rPr>
      </w:pPr>
      <w:r w:rsidRPr="00DF46B8">
        <w:rPr>
          <w:rFonts w:ascii="Times New Roman" w:hAnsi="Times New Roman" w:cs="Times New Roman"/>
          <w:b/>
          <w:sz w:val="24"/>
          <w:szCs w:val="24"/>
        </w:rPr>
        <w:t>V</w:t>
      </w:r>
      <w:r w:rsidR="00DF46B8">
        <w:rPr>
          <w:rFonts w:ascii="Times New Roman" w:hAnsi="Times New Roman" w:cs="Times New Roman"/>
          <w:b/>
          <w:sz w:val="24"/>
          <w:szCs w:val="24"/>
        </w:rPr>
        <w:t xml:space="preserve"> </w:t>
      </w:r>
      <w:r w:rsidRPr="00DF46B8">
        <w:rPr>
          <w:rFonts w:ascii="Times New Roman" w:hAnsi="Times New Roman" w:cs="Times New Roman"/>
          <w:b/>
          <w:sz w:val="24"/>
          <w:szCs w:val="24"/>
        </w:rPr>
        <w:t>E</w:t>
      </w:r>
      <w:r w:rsidR="00DF46B8">
        <w:rPr>
          <w:rFonts w:ascii="Times New Roman" w:hAnsi="Times New Roman" w:cs="Times New Roman"/>
          <w:b/>
          <w:sz w:val="24"/>
          <w:szCs w:val="24"/>
        </w:rPr>
        <w:t xml:space="preserve"> </w:t>
      </w:r>
      <w:r w:rsidRPr="00DF46B8">
        <w:rPr>
          <w:rFonts w:ascii="Times New Roman" w:hAnsi="Times New Roman" w:cs="Times New Roman"/>
          <w:b/>
          <w:sz w:val="24"/>
          <w:szCs w:val="24"/>
        </w:rPr>
        <w:t>N</w:t>
      </w:r>
      <w:r w:rsidR="00DF46B8">
        <w:rPr>
          <w:rFonts w:ascii="Times New Roman" w:hAnsi="Times New Roman" w:cs="Times New Roman"/>
          <w:b/>
          <w:sz w:val="24"/>
          <w:szCs w:val="24"/>
        </w:rPr>
        <w:t xml:space="preserve"> </w:t>
      </w:r>
      <w:r w:rsidRPr="00DF46B8">
        <w:rPr>
          <w:rFonts w:ascii="Times New Roman" w:hAnsi="Times New Roman" w:cs="Times New Roman"/>
          <w:b/>
          <w:sz w:val="24"/>
          <w:szCs w:val="24"/>
        </w:rPr>
        <w:t>D</w:t>
      </w:r>
      <w:r w:rsidR="00DF46B8">
        <w:rPr>
          <w:rFonts w:ascii="Times New Roman" w:hAnsi="Times New Roman" w:cs="Times New Roman"/>
          <w:b/>
          <w:sz w:val="24"/>
          <w:szCs w:val="24"/>
        </w:rPr>
        <w:t xml:space="preserve"> </w:t>
      </w:r>
      <w:r w:rsidRPr="00DF46B8">
        <w:rPr>
          <w:rFonts w:ascii="Times New Roman" w:hAnsi="Times New Roman" w:cs="Times New Roman"/>
          <w:b/>
          <w:sz w:val="24"/>
          <w:szCs w:val="24"/>
        </w:rPr>
        <w:t>O</w:t>
      </w:r>
      <w:r w:rsidR="00DF46B8">
        <w:rPr>
          <w:rFonts w:ascii="Times New Roman" w:hAnsi="Times New Roman" w:cs="Times New Roman"/>
          <w:b/>
          <w:sz w:val="24"/>
          <w:szCs w:val="24"/>
        </w:rPr>
        <w:t xml:space="preserve"> </w:t>
      </w:r>
      <w:r w:rsidRPr="00DF46B8">
        <w:rPr>
          <w:rFonts w:ascii="Times New Roman" w:hAnsi="Times New Roman" w:cs="Times New Roman"/>
          <w:b/>
          <w:sz w:val="24"/>
          <w:szCs w:val="24"/>
        </w:rPr>
        <w:t>S</w:t>
      </w:r>
      <w:r w:rsidR="00DF46B8">
        <w:rPr>
          <w:rFonts w:ascii="Times New Roman" w:hAnsi="Times New Roman" w:cs="Times New Roman"/>
          <w:b/>
          <w:sz w:val="24"/>
          <w:szCs w:val="24"/>
        </w:rPr>
        <w:t xml:space="preserve"> </w:t>
      </w:r>
      <w:r w:rsidRPr="00DF46B8">
        <w:rPr>
          <w:rFonts w:ascii="Times New Roman" w:hAnsi="Times New Roman" w:cs="Times New Roman"/>
          <w:b/>
          <w:sz w:val="24"/>
          <w:szCs w:val="24"/>
        </w:rPr>
        <w:t>I</w:t>
      </w:r>
      <w:r w:rsidR="00DF46B8">
        <w:rPr>
          <w:rFonts w:ascii="Times New Roman" w:hAnsi="Times New Roman" w:cs="Times New Roman"/>
          <w:b/>
          <w:sz w:val="24"/>
          <w:szCs w:val="24"/>
        </w:rPr>
        <w:t xml:space="preserve"> </w:t>
      </w:r>
      <w:r w:rsidRPr="00DF46B8">
        <w:rPr>
          <w:rFonts w:ascii="Times New Roman" w:hAnsi="Times New Roman" w:cs="Times New Roman"/>
          <w:b/>
          <w:sz w:val="24"/>
          <w:szCs w:val="24"/>
        </w:rPr>
        <w:t>:</w:t>
      </w:r>
    </w:p>
    <w:p w:rsidR="00C74BD9" w:rsidRPr="005C4895" w:rsidRDefault="00C74BD9" w:rsidP="00C33F20">
      <w:pPr>
        <w:widowControl w:val="0"/>
        <w:spacing w:after="0" w:line="276" w:lineRule="auto"/>
        <w:ind w:left="4456"/>
        <w:rPr>
          <w:rFonts w:ascii="Times New Roman" w:hAnsi="Times New Roman" w:cs="Times New Roman"/>
          <w:b/>
          <w:sz w:val="24"/>
          <w:szCs w:val="24"/>
          <w:u w:val="single"/>
        </w:rPr>
      </w:pPr>
    </w:p>
    <w:p w:rsidR="00DF46B8" w:rsidRPr="00C33F20" w:rsidRDefault="00C74BD9" w:rsidP="00C33F20">
      <w:pPr>
        <w:pStyle w:val="ListParagraph"/>
        <w:widowControl w:val="0"/>
        <w:numPr>
          <w:ilvl w:val="0"/>
          <w:numId w:val="14"/>
        </w:numPr>
        <w:spacing w:after="0" w:line="276" w:lineRule="auto"/>
        <w:jc w:val="both"/>
        <w:rPr>
          <w:rFonts w:ascii="Times New Roman" w:eastAsia="SimSun" w:hAnsi="Times New Roman" w:cs="Times New Roman"/>
          <w:sz w:val="24"/>
          <w:szCs w:val="24"/>
          <w:lang w:eastAsia="zh-CN"/>
        </w:rPr>
      </w:pPr>
      <w:r w:rsidRPr="00DF46B8">
        <w:rPr>
          <w:rFonts w:ascii="Times New Roman" w:hAnsi="Times New Roman" w:cs="Times New Roman"/>
          <w:b/>
          <w:sz w:val="24"/>
          <w:szCs w:val="24"/>
        </w:rPr>
        <w:t xml:space="preserve">Pranimin e ankimit </w:t>
      </w:r>
      <w:r w:rsidRPr="00DF46B8">
        <w:rPr>
          <w:rFonts w:ascii="Times New Roman" w:hAnsi="Times New Roman" w:cs="Times New Roman"/>
          <w:sz w:val="24"/>
          <w:szCs w:val="24"/>
        </w:rPr>
        <w:t xml:space="preserve">të tatimpaguesit ndaj mosrimbursimit të TVSH-së kreditore në </w:t>
      </w:r>
      <w:r w:rsidR="00DF46B8">
        <w:rPr>
          <w:rFonts w:ascii="Times New Roman" w:hAnsi="Times New Roman" w:cs="Times New Roman"/>
          <w:sz w:val="24"/>
          <w:szCs w:val="24"/>
        </w:rPr>
        <w:t xml:space="preserve">vlerën </w:t>
      </w:r>
      <w:r w:rsidR="00417112">
        <w:rPr>
          <w:rFonts w:ascii="Times New Roman" w:eastAsia="SimSun" w:hAnsi="Times New Roman" w:cs="Times New Roman"/>
          <w:sz w:val="24"/>
          <w:szCs w:val="24"/>
          <w:lang w:eastAsia="zh-CN"/>
        </w:rPr>
        <w:t>_____</w:t>
      </w:r>
      <w:r w:rsidR="00113281" w:rsidRPr="00DF46B8">
        <w:rPr>
          <w:rFonts w:ascii="Times New Roman" w:eastAsia="SimSun" w:hAnsi="Times New Roman" w:cs="Times New Roman"/>
          <w:sz w:val="24"/>
          <w:szCs w:val="24"/>
          <w:lang w:eastAsia="zh-CN"/>
        </w:rPr>
        <w:t xml:space="preserve"> </w:t>
      </w:r>
      <w:r w:rsidRPr="00DF46B8">
        <w:rPr>
          <w:rFonts w:ascii="Times New Roman" w:hAnsi="Times New Roman" w:cs="Times New Roman"/>
          <w:sz w:val="24"/>
          <w:szCs w:val="24"/>
        </w:rPr>
        <w:t>lekë</w:t>
      </w:r>
    </w:p>
    <w:p w:rsidR="00C33F20" w:rsidRDefault="00C33F20" w:rsidP="00C33F20">
      <w:pPr>
        <w:pStyle w:val="ListParagraph"/>
        <w:widowControl w:val="0"/>
        <w:numPr>
          <w:ilvl w:val="0"/>
          <w:numId w:val="14"/>
        </w:numPr>
        <w:spacing w:after="0" w:line="276" w:lineRule="auto"/>
        <w:jc w:val="both"/>
        <w:rPr>
          <w:rFonts w:ascii="Times New Roman" w:eastAsia="SimSun" w:hAnsi="Times New Roman" w:cs="Times New Roman"/>
          <w:sz w:val="24"/>
          <w:szCs w:val="24"/>
          <w:lang w:eastAsia="zh-CN"/>
        </w:rPr>
      </w:pPr>
      <w:r>
        <w:rPr>
          <w:rFonts w:ascii="Times New Roman" w:hAnsi="Times New Roman" w:cs="Times New Roman"/>
          <w:b/>
          <w:sz w:val="24"/>
          <w:szCs w:val="24"/>
        </w:rPr>
        <w:t xml:space="preserve">Rrëzimin </w:t>
      </w:r>
      <w:r w:rsidRPr="00DF46B8">
        <w:rPr>
          <w:rFonts w:ascii="Times New Roman" w:hAnsi="Times New Roman" w:cs="Times New Roman"/>
          <w:b/>
          <w:sz w:val="24"/>
          <w:szCs w:val="24"/>
        </w:rPr>
        <w:t xml:space="preserve">e ankimit </w:t>
      </w:r>
      <w:r w:rsidRPr="00DF46B8">
        <w:rPr>
          <w:rFonts w:ascii="Times New Roman" w:hAnsi="Times New Roman" w:cs="Times New Roman"/>
          <w:sz w:val="24"/>
          <w:szCs w:val="24"/>
        </w:rPr>
        <w:t xml:space="preserve">të tatimpaguesit ndaj mosrimbursimit të TVSH-së kreditore në </w:t>
      </w:r>
      <w:r>
        <w:rPr>
          <w:rFonts w:ascii="Times New Roman" w:hAnsi="Times New Roman" w:cs="Times New Roman"/>
          <w:sz w:val="24"/>
          <w:szCs w:val="24"/>
        </w:rPr>
        <w:t xml:space="preserve">vlerën </w:t>
      </w:r>
      <w:r w:rsidR="00417112">
        <w:rPr>
          <w:rFonts w:ascii="Times New Roman" w:eastAsia="SimSun" w:hAnsi="Times New Roman" w:cs="Times New Roman"/>
          <w:sz w:val="24"/>
          <w:szCs w:val="24"/>
          <w:lang w:eastAsia="zh-CN"/>
        </w:rPr>
        <w:t>____</w:t>
      </w:r>
      <w:r w:rsidRPr="00DF46B8">
        <w:rPr>
          <w:rFonts w:ascii="Times New Roman" w:eastAsia="SimSun" w:hAnsi="Times New Roman" w:cs="Times New Roman"/>
          <w:sz w:val="24"/>
          <w:szCs w:val="24"/>
          <w:lang w:eastAsia="zh-CN"/>
        </w:rPr>
        <w:t xml:space="preserve"> </w:t>
      </w:r>
      <w:r w:rsidRPr="00DF46B8">
        <w:rPr>
          <w:rFonts w:ascii="Times New Roman" w:hAnsi="Times New Roman" w:cs="Times New Roman"/>
          <w:sz w:val="24"/>
          <w:szCs w:val="24"/>
        </w:rPr>
        <w:t>lekë</w:t>
      </w:r>
      <w:r>
        <w:rPr>
          <w:rFonts w:ascii="Times New Roman" w:hAnsi="Times New Roman" w:cs="Times New Roman"/>
          <w:sz w:val="24"/>
          <w:szCs w:val="24"/>
        </w:rPr>
        <w:t>, pasi nuk ekziston më si tepricë kreditore e TVSH-së</w:t>
      </w:r>
    </w:p>
    <w:p w:rsidR="00C74BD9" w:rsidRPr="005C4895" w:rsidRDefault="00DF46B8" w:rsidP="00C33F20">
      <w:pPr>
        <w:pStyle w:val="ListParagraph"/>
        <w:widowControl w:val="0"/>
        <w:spacing w:after="0" w:line="276" w:lineRule="auto"/>
        <w:jc w:val="both"/>
        <w:rPr>
          <w:rFonts w:ascii="Times New Roman" w:eastAsia="SimSun" w:hAnsi="Times New Roman" w:cs="Times New Roman"/>
          <w:sz w:val="24"/>
          <w:szCs w:val="24"/>
          <w:lang w:eastAsia="zh-CN"/>
        </w:rPr>
      </w:pPr>
      <w:r w:rsidRPr="005C4895">
        <w:rPr>
          <w:rFonts w:ascii="Times New Roman" w:eastAsia="SimSun" w:hAnsi="Times New Roman" w:cs="Times New Roman"/>
          <w:sz w:val="24"/>
          <w:szCs w:val="24"/>
          <w:lang w:eastAsia="zh-CN"/>
        </w:rPr>
        <w:t xml:space="preserve"> </w:t>
      </w:r>
    </w:p>
    <w:p w:rsidR="00C33F20" w:rsidRPr="00BE78BA" w:rsidRDefault="00C33F20" w:rsidP="00C33F20">
      <w:pPr>
        <w:widowControl w:val="0"/>
        <w:spacing w:after="0" w:line="276" w:lineRule="auto"/>
        <w:jc w:val="both"/>
        <w:rPr>
          <w:rFonts w:ascii="Times New Roman" w:hAnsi="Times New Roman"/>
          <w:sz w:val="24"/>
          <w:szCs w:val="24"/>
        </w:rPr>
      </w:pPr>
      <w:r w:rsidRPr="00C15D12">
        <w:rPr>
          <w:rFonts w:ascii="Times New Roman" w:hAnsi="Times New Roman"/>
          <w:color w:val="000000"/>
          <w:sz w:val="24"/>
          <w:szCs w:val="24"/>
        </w:rPr>
        <w:t xml:space="preserve">Në zbatim të pikave 2 dhe 3 të nenit 109 të Ligjit nr. 9920 datë 19.05.2008, “Për Procedurat Tatimore në R.Sh”, tatimpaguesi mund t’a kundërshtojë vendimin e </w:t>
      </w:r>
      <w:r>
        <w:rPr>
          <w:rFonts w:ascii="Times New Roman" w:hAnsi="Times New Roman"/>
          <w:color w:val="000000"/>
          <w:sz w:val="24"/>
          <w:szCs w:val="24"/>
        </w:rPr>
        <w:t>Drejtoris</w:t>
      </w:r>
      <w:r w:rsidRPr="00C15D12">
        <w:rPr>
          <w:rFonts w:ascii="Times New Roman" w:hAnsi="Times New Roman"/>
          <w:color w:val="000000"/>
          <w:sz w:val="24"/>
          <w:szCs w:val="24"/>
        </w:rPr>
        <w:t>ë</w:t>
      </w:r>
      <w:r>
        <w:rPr>
          <w:rFonts w:ascii="Times New Roman" w:hAnsi="Times New Roman"/>
          <w:color w:val="000000"/>
          <w:sz w:val="24"/>
          <w:szCs w:val="24"/>
        </w:rPr>
        <w:t xml:space="preserve"> së</w:t>
      </w:r>
      <w:r w:rsidRPr="00C15D12">
        <w:rPr>
          <w:rFonts w:ascii="Times New Roman" w:hAnsi="Times New Roman"/>
          <w:color w:val="000000"/>
          <w:sz w:val="24"/>
          <w:szCs w:val="24"/>
        </w:rPr>
        <w:t xml:space="preserve"> </w:t>
      </w:r>
      <w:r>
        <w:rPr>
          <w:rFonts w:ascii="Times New Roman" w:hAnsi="Times New Roman"/>
          <w:color w:val="000000"/>
          <w:sz w:val="24"/>
          <w:szCs w:val="24"/>
        </w:rPr>
        <w:t>Apelimit Tatimor</w:t>
      </w:r>
      <w:r w:rsidRPr="00C15D12">
        <w:rPr>
          <w:rFonts w:ascii="Times New Roman" w:hAnsi="Times New Roman"/>
          <w:color w:val="000000"/>
          <w:sz w:val="24"/>
          <w:szCs w:val="24"/>
        </w:rPr>
        <w:t xml:space="preserve"> në gjykatë brenda 30 ditëve kalendarike nga data e marrjes dijeni për këtë vendim, ndërsa organi i administratës tatimore që ka bërë vlerësimin tatimor e ka të detyrueshëm për zbatim këtë vendim.</w:t>
      </w:r>
    </w:p>
    <w:p w:rsidR="00C33F20" w:rsidRDefault="00C33F20" w:rsidP="00C33F20">
      <w:pPr>
        <w:widowControl w:val="0"/>
        <w:spacing w:after="0" w:line="276" w:lineRule="auto"/>
        <w:jc w:val="both"/>
        <w:rPr>
          <w:rFonts w:ascii="Times New Roman" w:hAnsi="Times New Roman" w:cs="Times New Roman"/>
          <w:sz w:val="24"/>
          <w:szCs w:val="24"/>
        </w:rPr>
      </w:pPr>
    </w:p>
    <w:p w:rsidR="00DB27A7" w:rsidRPr="00266680" w:rsidRDefault="006C7CC9" w:rsidP="00266680">
      <w:pPr>
        <w:widowControl w:val="0"/>
        <w:spacing w:after="0" w:line="276" w:lineRule="auto"/>
        <w:ind w:left="3600" w:firstLine="720"/>
        <w:jc w:val="both"/>
        <w:rPr>
          <w:rFonts w:ascii="Times New Roman" w:hAnsi="Times New Roman" w:cs="Times New Roman"/>
          <w:b/>
          <w:sz w:val="24"/>
          <w:szCs w:val="24"/>
        </w:rPr>
      </w:pPr>
      <w:r w:rsidRPr="005C4895">
        <w:rPr>
          <w:rFonts w:ascii="Times New Roman" w:hAnsi="Times New Roman" w:cs="Times New Roman"/>
          <w:b/>
          <w:sz w:val="24"/>
          <w:szCs w:val="24"/>
        </w:rPr>
        <w:t>DREJTOR I APELIMIT TATIMOR</w:t>
      </w:r>
      <w:bookmarkStart w:id="0" w:name="_GoBack"/>
      <w:bookmarkEnd w:id="0"/>
    </w:p>
    <w:sectPr w:rsidR="00DB27A7" w:rsidRPr="00266680" w:rsidSect="00C33F20">
      <w:footerReference w:type="default" r:id="rId9"/>
      <w:pgSz w:w="11907" w:h="16839" w:code="9"/>
      <w:pgMar w:top="993" w:right="1287" w:bottom="851" w:left="1260"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2A4" w:rsidRDefault="001662A4" w:rsidP="006725DD">
      <w:pPr>
        <w:spacing w:after="0" w:line="240" w:lineRule="auto"/>
      </w:pPr>
      <w:r>
        <w:separator/>
      </w:r>
    </w:p>
  </w:endnote>
  <w:endnote w:type="continuationSeparator" w:id="0">
    <w:p w:rsidR="001662A4" w:rsidRDefault="001662A4"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A3" w:rsidRPr="003918AC" w:rsidRDefault="006C39A3"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3918AC">
      <w:rPr>
        <w:rFonts w:ascii="Times New Roman" w:hAnsi="Times New Roman" w:cs="Times New Roman"/>
        <w:noProof/>
        <w:color w:val="404040" w:themeColor="text1" w:themeTint="BF"/>
      </w:rPr>
      <w:t xml:space="preserve">Bulevardi “Dëshmorët e Kombit”, nr. 3, </w:t>
    </w:r>
    <w:hyperlink r:id="rId1" w:history="1">
      <w:r w:rsidRPr="003918AC">
        <w:rPr>
          <w:rStyle w:val="Hyperlink"/>
          <w:rFonts w:ascii="Times New Roman" w:hAnsi="Times New Roman" w:cs="Times New Roman"/>
          <w:noProof/>
        </w:rPr>
        <w:t>www.financa.gov.al</w:t>
      </w:r>
    </w:hyperlink>
    <w:r w:rsidRPr="003918AC">
      <w:rPr>
        <w:rFonts w:ascii="Times New Roman" w:hAnsi="Times New Roman" w:cs="Times New Roman"/>
        <w:noProof/>
        <w:color w:val="404040" w:themeColor="text1" w:themeTint="BF"/>
      </w:rPr>
      <w:t xml:space="preserve"> </w:t>
    </w:r>
    <w:r w:rsidR="003918AC" w:rsidRPr="003918AC">
      <w:rPr>
        <w:rFonts w:ascii="Times New Roman" w:hAnsi="Times New Roman" w:cs="Times New Roman"/>
        <w:noProof/>
        <w:color w:val="404040" w:themeColor="text1" w:themeTint="BF"/>
      </w:rPr>
      <w:t xml:space="preserve">                                                 </w:t>
    </w:r>
    <w:r w:rsidR="00A92776" w:rsidRPr="003918AC">
      <w:rPr>
        <w:rFonts w:ascii="Times New Roman" w:hAnsi="Times New Roman" w:cs="Times New Roman"/>
      </w:rPr>
      <w:t xml:space="preserve">Faqe </w:t>
    </w:r>
    <w:r w:rsidR="00595C61" w:rsidRPr="003918AC">
      <w:rPr>
        <w:rFonts w:ascii="Times New Roman" w:hAnsi="Times New Roman" w:cs="Times New Roman"/>
        <w:noProof/>
        <w:color w:val="404040" w:themeColor="text1" w:themeTint="BF"/>
      </w:rPr>
      <w:fldChar w:fldCharType="begin"/>
    </w:r>
    <w:r w:rsidRPr="003918AC">
      <w:rPr>
        <w:rFonts w:ascii="Times New Roman" w:hAnsi="Times New Roman" w:cs="Times New Roman"/>
        <w:noProof/>
        <w:color w:val="404040" w:themeColor="text1" w:themeTint="BF"/>
      </w:rPr>
      <w:instrText xml:space="preserve"> PAGE   \* MERGEFORMAT </w:instrText>
    </w:r>
    <w:r w:rsidR="00595C61" w:rsidRPr="003918AC">
      <w:rPr>
        <w:rFonts w:ascii="Times New Roman" w:hAnsi="Times New Roman" w:cs="Times New Roman"/>
        <w:noProof/>
        <w:color w:val="404040" w:themeColor="text1" w:themeTint="BF"/>
      </w:rPr>
      <w:fldChar w:fldCharType="separate"/>
    </w:r>
    <w:r w:rsidR="00266680">
      <w:rPr>
        <w:rFonts w:ascii="Times New Roman" w:hAnsi="Times New Roman" w:cs="Times New Roman"/>
        <w:noProof/>
        <w:color w:val="404040" w:themeColor="text1" w:themeTint="BF"/>
      </w:rPr>
      <w:t>5</w:t>
    </w:r>
    <w:r w:rsidR="00595C61" w:rsidRPr="003918AC">
      <w:rPr>
        <w:rFonts w:ascii="Times New Roman" w:hAnsi="Times New Roman" w:cs="Times New Roman"/>
        <w:noProof/>
        <w:color w:val="404040" w:themeColor="text1" w:themeTint="BF"/>
      </w:rPr>
      <w:fldChar w:fldCharType="end"/>
    </w:r>
  </w:p>
  <w:p w:rsidR="006C39A3" w:rsidRDefault="006C3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2A4" w:rsidRDefault="001662A4" w:rsidP="006725DD">
      <w:pPr>
        <w:spacing w:after="0" w:line="240" w:lineRule="auto"/>
      </w:pPr>
      <w:r>
        <w:separator/>
      </w:r>
    </w:p>
  </w:footnote>
  <w:footnote w:type="continuationSeparator" w:id="0">
    <w:p w:rsidR="001662A4" w:rsidRDefault="001662A4"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321E2"/>
    <w:multiLevelType w:val="hybridMultilevel"/>
    <w:tmpl w:val="09B24F4A"/>
    <w:lvl w:ilvl="0" w:tplc="0409000B">
      <w:start w:val="1"/>
      <w:numFmt w:val="bullet"/>
      <w:lvlText w:val=""/>
      <w:lvlJc w:val="left"/>
      <w:pPr>
        <w:tabs>
          <w:tab w:val="num" w:pos="4456"/>
        </w:tabs>
        <w:ind w:left="4456" w:hanging="360"/>
      </w:pPr>
      <w:rPr>
        <w:rFonts w:ascii="Wingdings" w:hAnsi="Wingdings" w:hint="default"/>
      </w:rPr>
    </w:lvl>
    <w:lvl w:ilvl="1" w:tplc="04090003" w:tentative="1">
      <w:start w:val="1"/>
      <w:numFmt w:val="bullet"/>
      <w:lvlText w:val="o"/>
      <w:lvlJc w:val="left"/>
      <w:pPr>
        <w:tabs>
          <w:tab w:val="num" w:pos="5176"/>
        </w:tabs>
        <w:ind w:left="5176" w:hanging="360"/>
      </w:pPr>
      <w:rPr>
        <w:rFonts w:ascii="Courier New" w:hAnsi="Courier New" w:cs="Courier New" w:hint="default"/>
      </w:rPr>
    </w:lvl>
    <w:lvl w:ilvl="2" w:tplc="04090005" w:tentative="1">
      <w:start w:val="1"/>
      <w:numFmt w:val="bullet"/>
      <w:lvlText w:val=""/>
      <w:lvlJc w:val="left"/>
      <w:pPr>
        <w:tabs>
          <w:tab w:val="num" w:pos="5896"/>
        </w:tabs>
        <w:ind w:left="5896" w:hanging="360"/>
      </w:pPr>
      <w:rPr>
        <w:rFonts w:ascii="Wingdings" w:hAnsi="Wingdings" w:hint="default"/>
      </w:rPr>
    </w:lvl>
    <w:lvl w:ilvl="3" w:tplc="04090001" w:tentative="1">
      <w:start w:val="1"/>
      <w:numFmt w:val="bullet"/>
      <w:lvlText w:val=""/>
      <w:lvlJc w:val="left"/>
      <w:pPr>
        <w:tabs>
          <w:tab w:val="num" w:pos="6616"/>
        </w:tabs>
        <w:ind w:left="6616" w:hanging="360"/>
      </w:pPr>
      <w:rPr>
        <w:rFonts w:ascii="Symbol" w:hAnsi="Symbol" w:hint="default"/>
      </w:rPr>
    </w:lvl>
    <w:lvl w:ilvl="4" w:tplc="04090003" w:tentative="1">
      <w:start w:val="1"/>
      <w:numFmt w:val="bullet"/>
      <w:lvlText w:val="o"/>
      <w:lvlJc w:val="left"/>
      <w:pPr>
        <w:tabs>
          <w:tab w:val="num" w:pos="7336"/>
        </w:tabs>
        <w:ind w:left="7336" w:hanging="360"/>
      </w:pPr>
      <w:rPr>
        <w:rFonts w:ascii="Courier New" w:hAnsi="Courier New" w:cs="Courier New" w:hint="default"/>
      </w:rPr>
    </w:lvl>
    <w:lvl w:ilvl="5" w:tplc="04090005" w:tentative="1">
      <w:start w:val="1"/>
      <w:numFmt w:val="bullet"/>
      <w:lvlText w:val=""/>
      <w:lvlJc w:val="left"/>
      <w:pPr>
        <w:tabs>
          <w:tab w:val="num" w:pos="8056"/>
        </w:tabs>
        <w:ind w:left="8056" w:hanging="360"/>
      </w:pPr>
      <w:rPr>
        <w:rFonts w:ascii="Wingdings" w:hAnsi="Wingdings" w:hint="default"/>
      </w:rPr>
    </w:lvl>
    <w:lvl w:ilvl="6" w:tplc="04090001" w:tentative="1">
      <w:start w:val="1"/>
      <w:numFmt w:val="bullet"/>
      <w:lvlText w:val=""/>
      <w:lvlJc w:val="left"/>
      <w:pPr>
        <w:tabs>
          <w:tab w:val="num" w:pos="8776"/>
        </w:tabs>
        <w:ind w:left="8776" w:hanging="360"/>
      </w:pPr>
      <w:rPr>
        <w:rFonts w:ascii="Symbol" w:hAnsi="Symbol" w:hint="default"/>
      </w:rPr>
    </w:lvl>
    <w:lvl w:ilvl="7" w:tplc="04090003" w:tentative="1">
      <w:start w:val="1"/>
      <w:numFmt w:val="bullet"/>
      <w:lvlText w:val="o"/>
      <w:lvlJc w:val="left"/>
      <w:pPr>
        <w:tabs>
          <w:tab w:val="num" w:pos="9496"/>
        </w:tabs>
        <w:ind w:left="9496" w:hanging="360"/>
      </w:pPr>
      <w:rPr>
        <w:rFonts w:ascii="Courier New" w:hAnsi="Courier New" w:cs="Courier New" w:hint="default"/>
      </w:rPr>
    </w:lvl>
    <w:lvl w:ilvl="8" w:tplc="04090005" w:tentative="1">
      <w:start w:val="1"/>
      <w:numFmt w:val="bullet"/>
      <w:lvlText w:val=""/>
      <w:lvlJc w:val="left"/>
      <w:pPr>
        <w:tabs>
          <w:tab w:val="num" w:pos="10216"/>
        </w:tabs>
        <w:ind w:left="10216" w:hanging="360"/>
      </w:pPr>
      <w:rPr>
        <w:rFonts w:ascii="Wingdings" w:hAnsi="Wingdings" w:hint="default"/>
      </w:rPr>
    </w:lvl>
  </w:abstractNum>
  <w:abstractNum w:abstractNumId="1">
    <w:nsid w:val="2AC7423A"/>
    <w:multiLevelType w:val="hybridMultilevel"/>
    <w:tmpl w:val="E8B4C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62B49"/>
    <w:multiLevelType w:val="hybridMultilevel"/>
    <w:tmpl w:val="79A660F2"/>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E7A4C51"/>
    <w:multiLevelType w:val="hybridMultilevel"/>
    <w:tmpl w:val="FDD45204"/>
    <w:lvl w:ilvl="0" w:tplc="413E7AB6">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131CC6"/>
    <w:multiLevelType w:val="hybridMultilevel"/>
    <w:tmpl w:val="1932E8BA"/>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E443AA"/>
    <w:multiLevelType w:val="hybridMultilevel"/>
    <w:tmpl w:val="2C448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48F8103F"/>
    <w:multiLevelType w:val="hybridMultilevel"/>
    <w:tmpl w:val="09102E30"/>
    <w:lvl w:ilvl="0" w:tplc="502AC57E">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11977"/>
    <w:multiLevelType w:val="hybridMultilevel"/>
    <w:tmpl w:val="40B49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E819DF"/>
    <w:multiLevelType w:val="hybridMultilevel"/>
    <w:tmpl w:val="747A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6C6C4E"/>
    <w:multiLevelType w:val="hybridMultilevel"/>
    <w:tmpl w:val="986A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AB6B49"/>
    <w:multiLevelType w:val="hybridMultilevel"/>
    <w:tmpl w:val="5C3E0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C134F"/>
    <w:multiLevelType w:val="hybridMultilevel"/>
    <w:tmpl w:val="E758CC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BE0EA5"/>
    <w:multiLevelType w:val="hybridMultilevel"/>
    <w:tmpl w:val="E07CB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2"/>
  </w:num>
  <w:num w:numId="5">
    <w:abstractNumId w:val="1"/>
  </w:num>
  <w:num w:numId="6">
    <w:abstractNumId w:val="8"/>
  </w:num>
  <w:num w:numId="7">
    <w:abstractNumId w:val="11"/>
  </w:num>
  <w:num w:numId="8">
    <w:abstractNumId w:val="13"/>
  </w:num>
  <w:num w:numId="9">
    <w:abstractNumId w:val="10"/>
  </w:num>
  <w:num w:numId="10">
    <w:abstractNumId w:val="0"/>
  </w:num>
  <w:num w:numId="11">
    <w:abstractNumId w:val="2"/>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1"/>
    <w:rsid w:val="00000F5A"/>
    <w:rsid w:val="000045A5"/>
    <w:rsid w:val="000071D1"/>
    <w:rsid w:val="00010E94"/>
    <w:rsid w:val="00016854"/>
    <w:rsid w:val="0005069C"/>
    <w:rsid w:val="00051765"/>
    <w:rsid w:val="00053BD9"/>
    <w:rsid w:val="00054C82"/>
    <w:rsid w:val="0006099C"/>
    <w:rsid w:val="00060E32"/>
    <w:rsid w:val="000618EC"/>
    <w:rsid w:val="00070BF3"/>
    <w:rsid w:val="000717D4"/>
    <w:rsid w:val="000743AB"/>
    <w:rsid w:val="000860FF"/>
    <w:rsid w:val="00096C9D"/>
    <w:rsid w:val="000B1E06"/>
    <w:rsid w:val="000D4470"/>
    <w:rsid w:val="000D7DC2"/>
    <w:rsid w:val="000E0AF4"/>
    <w:rsid w:val="000E1861"/>
    <w:rsid w:val="000F50F1"/>
    <w:rsid w:val="0010209D"/>
    <w:rsid w:val="001049B4"/>
    <w:rsid w:val="001108B7"/>
    <w:rsid w:val="00113281"/>
    <w:rsid w:val="00120A28"/>
    <w:rsid w:val="00126824"/>
    <w:rsid w:val="00133C4E"/>
    <w:rsid w:val="00150FFB"/>
    <w:rsid w:val="00163DDD"/>
    <w:rsid w:val="00165F15"/>
    <w:rsid w:val="001662A4"/>
    <w:rsid w:val="00173903"/>
    <w:rsid w:val="00187907"/>
    <w:rsid w:val="00191A79"/>
    <w:rsid w:val="0019647D"/>
    <w:rsid w:val="001A3875"/>
    <w:rsid w:val="001A3EA2"/>
    <w:rsid w:val="001A6F40"/>
    <w:rsid w:val="001C2CFB"/>
    <w:rsid w:val="001D0EE0"/>
    <w:rsid w:val="001F68B2"/>
    <w:rsid w:val="00204B8A"/>
    <w:rsid w:val="002129B8"/>
    <w:rsid w:val="00223BDE"/>
    <w:rsid w:val="00226A1F"/>
    <w:rsid w:val="00230104"/>
    <w:rsid w:val="0023413F"/>
    <w:rsid w:val="00235129"/>
    <w:rsid w:val="00245BB1"/>
    <w:rsid w:val="00257B73"/>
    <w:rsid w:val="00266680"/>
    <w:rsid w:val="002718B7"/>
    <w:rsid w:val="00272678"/>
    <w:rsid w:val="00273078"/>
    <w:rsid w:val="00275365"/>
    <w:rsid w:val="002769B3"/>
    <w:rsid w:val="00285555"/>
    <w:rsid w:val="00285D28"/>
    <w:rsid w:val="00295FC5"/>
    <w:rsid w:val="002A5CB6"/>
    <w:rsid w:val="002C0FB0"/>
    <w:rsid w:val="002C60DA"/>
    <w:rsid w:val="002D1AE3"/>
    <w:rsid w:val="002D45E0"/>
    <w:rsid w:val="002F057D"/>
    <w:rsid w:val="002F7FA2"/>
    <w:rsid w:val="003010C5"/>
    <w:rsid w:val="003069CD"/>
    <w:rsid w:val="0032341B"/>
    <w:rsid w:val="0033364B"/>
    <w:rsid w:val="00351B1D"/>
    <w:rsid w:val="00371616"/>
    <w:rsid w:val="00377823"/>
    <w:rsid w:val="00387FD7"/>
    <w:rsid w:val="0039026C"/>
    <w:rsid w:val="003918AC"/>
    <w:rsid w:val="00395E22"/>
    <w:rsid w:val="003A3572"/>
    <w:rsid w:val="003D3808"/>
    <w:rsid w:val="003D6474"/>
    <w:rsid w:val="003D74B0"/>
    <w:rsid w:val="00417112"/>
    <w:rsid w:val="004442C0"/>
    <w:rsid w:val="00455067"/>
    <w:rsid w:val="00463C0D"/>
    <w:rsid w:val="004676E8"/>
    <w:rsid w:val="0049134C"/>
    <w:rsid w:val="004A1FAE"/>
    <w:rsid w:val="004A2293"/>
    <w:rsid w:val="004B144E"/>
    <w:rsid w:val="004B7EFE"/>
    <w:rsid w:val="004C1CC7"/>
    <w:rsid w:val="004C599E"/>
    <w:rsid w:val="004D758D"/>
    <w:rsid w:val="00507A25"/>
    <w:rsid w:val="00511BDA"/>
    <w:rsid w:val="00517051"/>
    <w:rsid w:val="00525C32"/>
    <w:rsid w:val="00535995"/>
    <w:rsid w:val="005503DA"/>
    <w:rsid w:val="005607CA"/>
    <w:rsid w:val="00586CD0"/>
    <w:rsid w:val="00595C61"/>
    <w:rsid w:val="0059643B"/>
    <w:rsid w:val="005A4528"/>
    <w:rsid w:val="005B0E55"/>
    <w:rsid w:val="005B1654"/>
    <w:rsid w:val="005C4895"/>
    <w:rsid w:val="005D20B5"/>
    <w:rsid w:val="005D4586"/>
    <w:rsid w:val="005F44C9"/>
    <w:rsid w:val="00604D67"/>
    <w:rsid w:val="00640C91"/>
    <w:rsid w:val="006418E4"/>
    <w:rsid w:val="0064438D"/>
    <w:rsid w:val="00650D49"/>
    <w:rsid w:val="0065211F"/>
    <w:rsid w:val="0065690E"/>
    <w:rsid w:val="0067216B"/>
    <w:rsid w:val="006725DD"/>
    <w:rsid w:val="006778E8"/>
    <w:rsid w:val="00690905"/>
    <w:rsid w:val="006911E3"/>
    <w:rsid w:val="006A0079"/>
    <w:rsid w:val="006A7A69"/>
    <w:rsid w:val="006B0659"/>
    <w:rsid w:val="006C39A3"/>
    <w:rsid w:val="006C549E"/>
    <w:rsid w:val="006C6398"/>
    <w:rsid w:val="006C7CC9"/>
    <w:rsid w:val="006D7340"/>
    <w:rsid w:val="006E0B9D"/>
    <w:rsid w:val="006E680D"/>
    <w:rsid w:val="006F1A54"/>
    <w:rsid w:val="00707024"/>
    <w:rsid w:val="007139EC"/>
    <w:rsid w:val="00750308"/>
    <w:rsid w:val="007842C4"/>
    <w:rsid w:val="00787808"/>
    <w:rsid w:val="00791CF1"/>
    <w:rsid w:val="00795405"/>
    <w:rsid w:val="007A1D88"/>
    <w:rsid w:val="007A704C"/>
    <w:rsid w:val="007A76C9"/>
    <w:rsid w:val="007B2646"/>
    <w:rsid w:val="007B2BF6"/>
    <w:rsid w:val="007B5823"/>
    <w:rsid w:val="007B7C7E"/>
    <w:rsid w:val="007E261C"/>
    <w:rsid w:val="007E4592"/>
    <w:rsid w:val="007F1730"/>
    <w:rsid w:val="007F242B"/>
    <w:rsid w:val="008064DA"/>
    <w:rsid w:val="00810948"/>
    <w:rsid w:val="00812B39"/>
    <w:rsid w:val="00823740"/>
    <w:rsid w:val="00832126"/>
    <w:rsid w:val="0083357D"/>
    <w:rsid w:val="0084660B"/>
    <w:rsid w:val="008518A0"/>
    <w:rsid w:val="00862932"/>
    <w:rsid w:val="00867466"/>
    <w:rsid w:val="00871302"/>
    <w:rsid w:val="00887DE2"/>
    <w:rsid w:val="008B6064"/>
    <w:rsid w:val="008C48AA"/>
    <w:rsid w:val="008D0B6D"/>
    <w:rsid w:val="00903C85"/>
    <w:rsid w:val="00904518"/>
    <w:rsid w:val="009141D5"/>
    <w:rsid w:val="00935668"/>
    <w:rsid w:val="00964FE2"/>
    <w:rsid w:val="00971B31"/>
    <w:rsid w:val="009969D9"/>
    <w:rsid w:val="009977CF"/>
    <w:rsid w:val="009A42C3"/>
    <w:rsid w:val="009A4BC6"/>
    <w:rsid w:val="009B4173"/>
    <w:rsid w:val="009C7393"/>
    <w:rsid w:val="009D3822"/>
    <w:rsid w:val="009F09C2"/>
    <w:rsid w:val="009F6B51"/>
    <w:rsid w:val="00A10B16"/>
    <w:rsid w:val="00A20D4D"/>
    <w:rsid w:val="00A24836"/>
    <w:rsid w:val="00A419A7"/>
    <w:rsid w:val="00A44186"/>
    <w:rsid w:val="00A50541"/>
    <w:rsid w:val="00A91FC0"/>
    <w:rsid w:val="00A92776"/>
    <w:rsid w:val="00A9669B"/>
    <w:rsid w:val="00A97F42"/>
    <w:rsid w:val="00AA6E4E"/>
    <w:rsid w:val="00AB010C"/>
    <w:rsid w:val="00AB69F5"/>
    <w:rsid w:val="00AC21C1"/>
    <w:rsid w:val="00AC75A0"/>
    <w:rsid w:val="00AD734F"/>
    <w:rsid w:val="00AE7368"/>
    <w:rsid w:val="00B054C3"/>
    <w:rsid w:val="00B16146"/>
    <w:rsid w:val="00B218C3"/>
    <w:rsid w:val="00B318DB"/>
    <w:rsid w:val="00B34F15"/>
    <w:rsid w:val="00B352D8"/>
    <w:rsid w:val="00B47DE0"/>
    <w:rsid w:val="00B50987"/>
    <w:rsid w:val="00B525CD"/>
    <w:rsid w:val="00B6365D"/>
    <w:rsid w:val="00B6418A"/>
    <w:rsid w:val="00B70E48"/>
    <w:rsid w:val="00B72AA6"/>
    <w:rsid w:val="00B83348"/>
    <w:rsid w:val="00B83E50"/>
    <w:rsid w:val="00B91051"/>
    <w:rsid w:val="00BA6652"/>
    <w:rsid w:val="00BB165E"/>
    <w:rsid w:val="00BB3FFA"/>
    <w:rsid w:val="00BC622A"/>
    <w:rsid w:val="00BE06A4"/>
    <w:rsid w:val="00BE52F7"/>
    <w:rsid w:val="00BF287A"/>
    <w:rsid w:val="00BF4877"/>
    <w:rsid w:val="00C00842"/>
    <w:rsid w:val="00C1203A"/>
    <w:rsid w:val="00C30548"/>
    <w:rsid w:val="00C32026"/>
    <w:rsid w:val="00C33F20"/>
    <w:rsid w:val="00C551A3"/>
    <w:rsid w:val="00C62507"/>
    <w:rsid w:val="00C71BAC"/>
    <w:rsid w:val="00C74BD9"/>
    <w:rsid w:val="00C87E21"/>
    <w:rsid w:val="00C941C3"/>
    <w:rsid w:val="00CB7B01"/>
    <w:rsid w:val="00CC36EA"/>
    <w:rsid w:val="00CC42C3"/>
    <w:rsid w:val="00CD39DE"/>
    <w:rsid w:val="00CF4388"/>
    <w:rsid w:val="00CF7C0F"/>
    <w:rsid w:val="00D00E02"/>
    <w:rsid w:val="00D034F9"/>
    <w:rsid w:val="00D108DE"/>
    <w:rsid w:val="00D1341A"/>
    <w:rsid w:val="00D172F8"/>
    <w:rsid w:val="00D204E3"/>
    <w:rsid w:val="00D42848"/>
    <w:rsid w:val="00D548D3"/>
    <w:rsid w:val="00D54D0C"/>
    <w:rsid w:val="00D56FDB"/>
    <w:rsid w:val="00D60D48"/>
    <w:rsid w:val="00D734AD"/>
    <w:rsid w:val="00D923E6"/>
    <w:rsid w:val="00D958D5"/>
    <w:rsid w:val="00DB27A7"/>
    <w:rsid w:val="00DB296F"/>
    <w:rsid w:val="00DB61AB"/>
    <w:rsid w:val="00DB7C41"/>
    <w:rsid w:val="00DC3C9E"/>
    <w:rsid w:val="00DC61B1"/>
    <w:rsid w:val="00DE679B"/>
    <w:rsid w:val="00DF46B8"/>
    <w:rsid w:val="00E06CD5"/>
    <w:rsid w:val="00E20F5F"/>
    <w:rsid w:val="00E5790F"/>
    <w:rsid w:val="00E715E7"/>
    <w:rsid w:val="00EA4670"/>
    <w:rsid w:val="00EB2F3E"/>
    <w:rsid w:val="00EE078F"/>
    <w:rsid w:val="00EF050F"/>
    <w:rsid w:val="00EF07F0"/>
    <w:rsid w:val="00EF60E0"/>
    <w:rsid w:val="00F126FB"/>
    <w:rsid w:val="00F20E35"/>
    <w:rsid w:val="00F334E1"/>
    <w:rsid w:val="00F52C17"/>
    <w:rsid w:val="00F60AFF"/>
    <w:rsid w:val="00F953F7"/>
    <w:rsid w:val="00FA76E9"/>
    <w:rsid w:val="00FB32DE"/>
    <w:rsid w:val="00FB3C93"/>
    <w:rsid w:val="00FC53C2"/>
    <w:rsid w:val="00FC6D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3BC95C-7E93-43A1-87A3-30692841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368"/>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Subtitle">
    <w:name w:val="Subtitle"/>
    <w:basedOn w:val="Normal"/>
    <w:link w:val="SubtitleChar"/>
    <w:qFormat/>
    <w:rsid w:val="002D45E0"/>
    <w:pPr>
      <w:spacing w:after="0" w:line="240" w:lineRule="auto"/>
      <w:jc w:val="center"/>
    </w:pPr>
    <w:rPr>
      <w:rFonts w:ascii="Times New Roman" w:eastAsia="Times New Roman" w:hAnsi="Times New Roman" w:cs="Times New Roman"/>
      <w:b/>
      <w:bCs/>
      <w:noProof/>
      <w:sz w:val="24"/>
      <w:szCs w:val="24"/>
      <w:lang w:val="it-IT"/>
    </w:rPr>
  </w:style>
  <w:style w:type="character" w:customStyle="1" w:styleId="SubtitleChar">
    <w:name w:val="Subtitle Char"/>
    <w:basedOn w:val="DefaultParagraphFont"/>
    <w:link w:val="Subtitle"/>
    <w:rsid w:val="002D45E0"/>
    <w:rPr>
      <w:rFonts w:ascii="Times New Roman" w:eastAsia="Times New Roman" w:hAnsi="Times New Roman" w:cs="Times New Roman"/>
      <w:b/>
      <w:bCs/>
      <w:noProof/>
      <w:sz w:val="24"/>
      <w:szCs w:val="24"/>
      <w:lang w:val="it-IT"/>
    </w:rPr>
  </w:style>
  <w:style w:type="paragraph" w:styleId="NoSpacing">
    <w:name w:val="No Spacing"/>
    <w:link w:val="NoSpacingChar"/>
    <w:uiPriority w:val="1"/>
    <w:qFormat/>
    <w:rsid w:val="00B70E48"/>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basedOn w:val="DefaultParagraphFont"/>
    <w:link w:val="NoSpacing"/>
    <w:uiPriority w:val="1"/>
    <w:rsid w:val="00B70E48"/>
    <w:rPr>
      <w:rFonts w:ascii="Times New Roman" w:eastAsia="SimSun" w:hAnsi="Times New Roman" w:cs="Times New Roman"/>
      <w:noProof/>
      <w:sz w:val="24"/>
      <w:szCs w:val="24"/>
      <w:lang w:val="sq-AL" w:eastAsia="zh-CN"/>
    </w:rPr>
  </w:style>
  <w:style w:type="paragraph" w:customStyle="1" w:styleId="Default">
    <w:name w:val="Default"/>
    <w:rsid w:val="006911E3"/>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272678"/>
    <w:pPr>
      <w:suppressAutoHyphens/>
      <w:autoSpaceDN w:val="0"/>
      <w:spacing w:after="0" w:line="240" w:lineRule="auto"/>
      <w:textAlignment w:val="baseline"/>
    </w:pPr>
    <w:rPr>
      <w:rFonts w:ascii="Times New Roman" w:eastAsia="Calibri" w:hAnsi="Times New Roman" w:cs="Times New Roman"/>
      <w:kern w:val="3"/>
      <w:sz w:val="24"/>
      <w:szCs w:val="24"/>
      <w:lang w:val="en-GB" w:eastAsia="zh-CN"/>
    </w:rPr>
  </w:style>
  <w:style w:type="paragraph" w:styleId="BalloonText">
    <w:name w:val="Balloon Text"/>
    <w:basedOn w:val="Normal"/>
    <w:link w:val="BalloonTextChar"/>
    <w:uiPriority w:val="99"/>
    <w:semiHidden/>
    <w:unhideWhenUsed/>
    <w:rsid w:val="00B83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348"/>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67354">
      <w:bodyDiv w:val="1"/>
      <w:marLeft w:val="0"/>
      <w:marRight w:val="0"/>
      <w:marTop w:val="0"/>
      <w:marBottom w:val="0"/>
      <w:divBdr>
        <w:top w:val="none" w:sz="0" w:space="0" w:color="auto"/>
        <w:left w:val="none" w:sz="0" w:space="0" w:color="auto"/>
        <w:bottom w:val="none" w:sz="0" w:space="0" w:color="auto"/>
        <w:right w:val="none" w:sz="0" w:space="0" w:color="auto"/>
      </w:divBdr>
    </w:div>
    <w:div w:id="1106461477">
      <w:bodyDiv w:val="1"/>
      <w:marLeft w:val="0"/>
      <w:marRight w:val="0"/>
      <w:marTop w:val="0"/>
      <w:marBottom w:val="0"/>
      <w:divBdr>
        <w:top w:val="none" w:sz="0" w:space="0" w:color="auto"/>
        <w:left w:val="none" w:sz="0" w:space="0" w:color="auto"/>
        <w:bottom w:val="none" w:sz="0" w:space="0" w:color="auto"/>
        <w:right w:val="none" w:sz="0" w:space="0" w:color="auto"/>
      </w:divBdr>
    </w:div>
    <w:div w:id="183522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7D142-A680-42E0-88ED-C540C221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Julvit Shazivari</dc:creator>
  <cp:lastModifiedBy>julvit shazivari</cp:lastModifiedBy>
  <cp:revision>5</cp:revision>
  <cp:lastPrinted>2021-12-28T08:35:00Z</cp:lastPrinted>
  <dcterms:created xsi:type="dcterms:W3CDTF">2022-09-12T11:28:00Z</dcterms:created>
  <dcterms:modified xsi:type="dcterms:W3CDTF">2022-09-16T11:05:00Z</dcterms:modified>
</cp:coreProperties>
</file>