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D28" w:rsidRPr="00EE7F93" w:rsidRDefault="007E261C" w:rsidP="0017716A">
      <w:pPr>
        <w:widowControl w:val="0"/>
        <w:spacing w:line="276" w:lineRule="auto"/>
        <w:rPr>
          <w:b/>
        </w:rPr>
      </w:pPr>
      <w:r w:rsidRPr="00EE7F93">
        <w:rPr>
          <w:noProof/>
          <w:lang w:eastAsia="sq-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-597535</wp:posOffset>
            </wp:positionH>
            <wp:positionV relativeFrom="paragraph">
              <wp:posOffset>448</wp:posOffset>
            </wp:positionV>
            <wp:extent cx="6587490" cy="863600"/>
            <wp:effectExtent l="0" t="0" r="3810" b="0"/>
            <wp:wrapTopAndBottom/>
            <wp:docPr id="2" name="Picture 2" descr="5-ministria-financave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-ministria-financave-Grey-01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l="4" t="15433" r="4" b="14101"/>
                    <a:stretch/>
                  </pic:blipFill>
                  <pic:spPr bwMode="auto">
                    <a:xfrm>
                      <a:off x="0" y="0"/>
                      <a:ext cx="658749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533D4" w:rsidRPr="00EE7F93">
        <w:rPr>
          <w:b/>
        </w:rPr>
        <w:t xml:space="preserve">                            </w:t>
      </w:r>
      <w:r w:rsidR="00C62507" w:rsidRPr="00EE7F93">
        <w:rPr>
          <w:b/>
        </w:rPr>
        <w:t xml:space="preserve">MINISTRIA E </w:t>
      </w:r>
      <w:r w:rsidR="00EF4992" w:rsidRPr="00EE7F93">
        <w:rPr>
          <w:b/>
        </w:rPr>
        <w:t>FINANCAVE</w:t>
      </w:r>
      <w:r w:rsidR="009533D4" w:rsidRPr="00EE7F93">
        <w:rPr>
          <w:b/>
        </w:rPr>
        <w:t xml:space="preserve"> </w:t>
      </w:r>
      <w:r w:rsidR="00EF4992" w:rsidRPr="00EE7F93">
        <w:rPr>
          <w:b/>
        </w:rPr>
        <w:t>DHE EKONOMISË</w:t>
      </w:r>
    </w:p>
    <w:p w:rsidR="00B54154" w:rsidRPr="00EE7F93" w:rsidRDefault="00C62507" w:rsidP="0017716A">
      <w:pPr>
        <w:widowControl w:val="0"/>
        <w:spacing w:line="276" w:lineRule="auto"/>
        <w:jc w:val="center"/>
        <w:rPr>
          <w:b/>
          <w:sz w:val="28"/>
        </w:rPr>
      </w:pPr>
      <w:r w:rsidRPr="00EE7F93">
        <w:rPr>
          <w:b/>
        </w:rPr>
        <w:t>DREJTORIA E APELIMIT TATIMOR</w:t>
      </w:r>
    </w:p>
    <w:p w:rsidR="009A10B8" w:rsidRPr="00EE7F93" w:rsidRDefault="009A10B8" w:rsidP="0017716A">
      <w:pPr>
        <w:widowControl w:val="0"/>
        <w:spacing w:line="276" w:lineRule="auto"/>
        <w:jc w:val="center"/>
        <w:rPr>
          <w:b/>
          <w:sz w:val="28"/>
        </w:rPr>
      </w:pPr>
    </w:p>
    <w:p w:rsidR="00C62507" w:rsidRPr="00EE7F93" w:rsidRDefault="00C62507" w:rsidP="0017716A">
      <w:pPr>
        <w:widowControl w:val="0"/>
        <w:spacing w:line="276" w:lineRule="auto"/>
        <w:jc w:val="both"/>
      </w:pPr>
      <w:r w:rsidRPr="00EE7F93">
        <w:t>Nr.</w:t>
      </w:r>
      <w:r w:rsidR="0017716A" w:rsidRPr="00EE7F93">
        <w:t xml:space="preserve"> </w:t>
      </w:r>
      <w:r w:rsidR="008C2084">
        <w:t>_____</w:t>
      </w:r>
      <w:r w:rsidR="0002102E" w:rsidRPr="00EE7F93">
        <w:t xml:space="preserve">/      </w:t>
      </w:r>
      <w:r w:rsidR="0017716A" w:rsidRPr="00EE7F93">
        <w:t xml:space="preserve"> </w:t>
      </w:r>
      <w:r w:rsidRPr="00EE7F93">
        <w:t>prot.</w:t>
      </w:r>
      <w:r w:rsidRPr="00EE7F93">
        <w:tab/>
      </w:r>
      <w:r w:rsidRPr="00EE7F93">
        <w:tab/>
      </w:r>
      <w:r w:rsidRPr="00EE7F93">
        <w:tab/>
      </w:r>
      <w:r w:rsidRPr="00EE7F93">
        <w:tab/>
      </w:r>
      <w:r w:rsidRPr="00EE7F93">
        <w:tab/>
      </w:r>
      <w:r w:rsidR="0017716A" w:rsidRPr="00EE7F93">
        <w:tab/>
      </w:r>
      <w:r w:rsidR="00BC3F22" w:rsidRPr="00EE7F93">
        <w:t xml:space="preserve">           </w:t>
      </w:r>
      <w:r w:rsidRPr="00EE7F93">
        <w:t>Tiran</w:t>
      </w:r>
      <w:r w:rsidR="00E5790F" w:rsidRPr="00EE7F93">
        <w:t>ë</w:t>
      </w:r>
      <w:r w:rsidRPr="00EE7F93">
        <w:t>, m</w:t>
      </w:r>
      <w:r w:rsidR="00E5790F" w:rsidRPr="00EE7F93">
        <w:t>ë</w:t>
      </w:r>
      <w:r w:rsidRPr="00EE7F93">
        <w:t>_</w:t>
      </w:r>
      <w:r w:rsidR="00A91520" w:rsidRPr="00EE7F93">
        <w:t>_</w:t>
      </w:r>
      <w:r w:rsidRPr="00EE7F93">
        <w:t>__.</w:t>
      </w:r>
      <w:r w:rsidR="00A91520" w:rsidRPr="00EE7F93">
        <w:t>_</w:t>
      </w:r>
      <w:r w:rsidR="00BF5F50" w:rsidRPr="00EE7F93">
        <w:t>___.20</w:t>
      </w:r>
      <w:r w:rsidR="0002102E" w:rsidRPr="00EE7F93">
        <w:t>2</w:t>
      </w:r>
      <w:r w:rsidR="00214ECE" w:rsidRPr="00EE7F93">
        <w:t>1</w:t>
      </w:r>
    </w:p>
    <w:p w:rsidR="00FD7B45" w:rsidRPr="00EE7F93" w:rsidRDefault="00FD7B45" w:rsidP="0017716A">
      <w:pPr>
        <w:widowControl w:val="0"/>
        <w:spacing w:line="276" w:lineRule="auto"/>
        <w:jc w:val="both"/>
      </w:pPr>
    </w:p>
    <w:p w:rsidR="00557033" w:rsidRPr="00EE7F93" w:rsidRDefault="000B24F4" w:rsidP="004D5847">
      <w:pPr>
        <w:widowControl w:val="0"/>
        <w:spacing w:line="276" w:lineRule="auto"/>
        <w:jc w:val="center"/>
        <w:rPr>
          <w:b/>
        </w:rPr>
      </w:pPr>
      <w:r w:rsidRPr="00EE7F93">
        <w:rPr>
          <w:b/>
        </w:rPr>
        <w:t>V E N D I M</w:t>
      </w:r>
    </w:p>
    <w:p w:rsidR="005003D6" w:rsidRPr="00EE7F93" w:rsidRDefault="005003D6" w:rsidP="004D5847">
      <w:pPr>
        <w:widowControl w:val="0"/>
        <w:spacing w:line="276" w:lineRule="auto"/>
        <w:jc w:val="both"/>
      </w:pPr>
    </w:p>
    <w:p w:rsidR="00CF4388" w:rsidRPr="00EE7F93" w:rsidRDefault="00CF4388" w:rsidP="004D5847">
      <w:pPr>
        <w:widowControl w:val="0"/>
        <w:spacing w:line="276" w:lineRule="auto"/>
        <w:jc w:val="both"/>
      </w:pPr>
      <w:r w:rsidRPr="00EE7F93">
        <w:t>Drejtoria e Apelimit Tatimor, n</w:t>
      </w:r>
      <w:r w:rsidR="00E5790F" w:rsidRPr="00EE7F93">
        <w:t>ë</w:t>
      </w:r>
      <w:r w:rsidRPr="00EE7F93">
        <w:t xml:space="preserve"> zbatim t</w:t>
      </w:r>
      <w:r w:rsidR="00E5790F" w:rsidRPr="00EE7F93">
        <w:t>ë</w:t>
      </w:r>
      <w:r w:rsidRPr="00EE7F93">
        <w:t xml:space="preserve"> kreut XIII t</w:t>
      </w:r>
      <w:r w:rsidR="00E5790F" w:rsidRPr="00EE7F93">
        <w:t>ë</w:t>
      </w:r>
      <w:r w:rsidRPr="00EE7F93">
        <w:t xml:space="preserve"> Ligjit nr. 9920, dat</w:t>
      </w:r>
      <w:r w:rsidR="00E5790F" w:rsidRPr="00EE7F93">
        <w:t>ë</w:t>
      </w:r>
      <w:r w:rsidRPr="00EE7F93">
        <w:t xml:space="preserve"> 19.05.2008 “P</w:t>
      </w:r>
      <w:r w:rsidR="00E5790F" w:rsidRPr="00EE7F93">
        <w:t>ë</w:t>
      </w:r>
      <w:r w:rsidRPr="00EE7F93">
        <w:t>r Procedurat Tatimore n</w:t>
      </w:r>
      <w:r w:rsidR="00E5790F" w:rsidRPr="00EE7F93">
        <w:t>ë</w:t>
      </w:r>
      <w:r w:rsidRPr="00EE7F93">
        <w:t xml:space="preserve"> RSH”, mori n</w:t>
      </w:r>
      <w:r w:rsidR="00E5790F" w:rsidRPr="00EE7F93">
        <w:t>ë</w:t>
      </w:r>
      <w:r w:rsidRPr="00EE7F93">
        <w:t xml:space="preserve"> shqyrtim k</w:t>
      </w:r>
      <w:r w:rsidR="00E5790F" w:rsidRPr="00EE7F93">
        <w:t>ë</w:t>
      </w:r>
      <w:r w:rsidRPr="00EE7F93">
        <w:t>rkes</w:t>
      </w:r>
      <w:r w:rsidR="00A91520" w:rsidRPr="00EE7F93">
        <w:t>ë</w:t>
      </w:r>
      <w:r w:rsidR="001734CD" w:rsidRPr="00EE7F93">
        <w:t>n</w:t>
      </w:r>
      <w:r w:rsidR="006F0530" w:rsidRPr="00EE7F93">
        <w:t xml:space="preserve"> </w:t>
      </w:r>
      <w:r w:rsidR="00A20D4D" w:rsidRPr="00EE7F93">
        <w:t>ankimore</w:t>
      </w:r>
      <w:r w:rsidRPr="00EE7F93">
        <w:t>, q</w:t>
      </w:r>
      <w:r w:rsidR="00E5790F" w:rsidRPr="00EE7F93">
        <w:t>ë</w:t>
      </w:r>
      <w:r w:rsidRPr="00EE7F93">
        <w:t xml:space="preserve"> i p</w:t>
      </w:r>
      <w:r w:rsidR="00E5790F" w:rsidRPr="00EE7F93">
        <w:t>ë</w:t>
      </w:r>
      <w:r w:rsidRPr="00EE7F93">
        <w:t>rket:</w:t>
      </w:r>
    </w:p>
    <w:p w:rsidR="00FD7B45" w:rsidRPr="00EE7F93" w:rsidRDefault="00FD7B45" w:rsidP="004D5847">
      <w:pPr>
        <w:widowControl w:val="0"/>
        <w:spacing w:line="276" w:lineRule="auto"/>
        <w:jc w:val="both"/>
      </w:pPr>
    </w:p>
    <w:p w:rsidR="00CF4388" w:rsidRPr="00EE7F93" w:rsidRDefault="00CF4388" w:rsidP="004D5847">
      <w:pPr>
        <w:widowControl w:val="0"/>
        <w:spacing w:line="276" w:lineRule="auto"/>
      </w:pPr>
      <w:r w:rsidRPr="00EE7F93">
        <w:t>K</w:t>
      </w:r>
      <w:r w:rsidR="00E5790F" w:rsidRPr="00EE7F93">
        <w:t>Ë</w:t>
      </w:r>
      <w:r w:rsidRPr="00EE7F93">
        <w:t xml:space="preserve">RKUES: </w:t>
      </w:r>
      <w:r w:rsidR="006725DD" w:rsidRPr="00EE7F93">
        <w:tab/>
      </w:r>
      <w:r w:rsidR="008C2084">
        <w:t>__________</w:t>
      </w:r>
    </w:p>
    <w:p w:rsidR="00557033" w:rsidRPr="00EE7F93" w:rsidRDefault="00CF4388" w:rsidP="00066696">
      <w:pPr>
        <w:widowControl w:val="0"/>
        <w:spacing w:line="276" w:lineRule="auto"/>
        <w:ind w:left="1440" w:hanging="1440"/>
        <w:jc w:val="both"/>
      </w:pPr>
      <w:r w:rsidRPr="00EE7F93">
        <w:t xml:space="preserve">OBJEKTI: </w:t>
      </w:r>
      <w:r w:rsidR="006725DD" w:rsidRPr="00EE7F93">
        <w:tab/>
      </w:r>
      <w:r w:rsidR="00C30548" w:rsidRPr="00EE7F93">
        <w:t>Ankim</w:t>
      </w:r>
      <w:r w:rsidR="00294E36" w:rsidRPr="00EE7F93">
        <w:t xml:space="preserve"> </w:t>
      </w:r>
      <w:r w:rsidR="00BC3F22" w:rsidRPr="00EE7F93">
        <w:t xml:space="preserve">pjesor </w:t>
      </w:r>
      <w:r w:rsidR="00242C9E" w:rsidRPr="00EE7F93">
        <w:t>ndaj aktit administrativ,</w:t>
      </w:r>
      <w:r w:rsidR="0017716A" w:rsidRPr="00EE7F93">
        <w:t xml:space="preserve"> </w:t>
      </w:r>
      <w:r w:rsidR="00242C9E" w:rsidRPr="00EE7F93">
        <w:t>njoftim vler</w:t>
      </w:r>
      <w:r w:rsidR="009533D4" w:rsidRPr="00EE7F93">
        <w:t>ë</w:t>
      </w:r>
      <w:r w:rsidR="00557033" w:rsidRPr="00EE7F93">
        <w:t>simi</w:t>
      </w:r>
      <w:r w:rsidR="0017716A" w:rsidRPr="00EE7F93">
        <w:t>t</w:t>
      </w:r>
      <w:r w:rsidR="00557033" w:rsidRPr="00EE7F93">
        <w:t xml:space="preserve"> </w:t>
      </w:r>
      <w:r w:rsidR="0017716A" w:rsidRPr="00EE7F93">
        <w:t>p</w:t>
      </w:r>
      <w:r w:rsidR="000729A1" w:rsidRPr="00EE7F93">
        <w:t>ë</w:t>
      </w:r>
      <w:r w:rsidR="0017716A" w:rsidRPr="00EE7F93">
        <w:t xml:space="preserve">r detyrimet </w:t>
      </w:r>
      <w:r w:rsidR="0029194E" w:rsidRPr="00EE7F93">
        <w:t>tatimor</w:t>
      </w:r>
      <w:r w:rsidR="0017716A" w:rsidRPr="00EE7F93">
        <w:t>e</w:t>
      </w:r>
      <w:r w:rsidR="0029194E" w:rsidRPr="00EE7F93">
        <w:t xml:space="preserve"> </w:t>
      </w:r>
      <w:r w:rsidR="008E5C83" w:rsidRPr="00EE7F93">
        <w:t xml:space="preserve">ku janë </w:t>
      </w:r>
      <w:r w:rsidR="00294E36" w:rsidRPr="00EE7F93">
        <w:t>p</w:t>
      </w:r>
      <w:r w:rsidR="00F3391B" w:rsidRPr="00EE7F93">
        <w:t>ë</w:t>
      </w:r>
      <w:r w:rsidR="006F0530" w:rsidRPr="00EE7F93">
        <w:t>r</w:t>
      </w:r>
      <w:r w:rsidR="008E5C83" w:rsidRPr="00EE7F93">
        <w:t>caktuar</w:t>
      </w:r>
      <w:r w:rsidR="00242C9E" w:rsidRPr="00EE7F93">
        <w:t xml:space="preserve"> detyrimet si m</w:t>
      </w:r>
      <w:r w:rsidR="009533D4" w:rsidRPr="00EE7F93">
        <w:t>ë</w:t>
      </w:r>
      <w:r w:rsidR="00242C9E" w:rsidRPr="00EE7F93">
        <w:t xml:space="preserve"> posht</w:t>
      </w:r>
      <w:r w:rsidR="009533D4" w:rsidRPr="00EE7F93">
        <w:t>ë</w:t>
      </w:r>
      <w:r w:rsidR="00557033" w:rsidRPr="00EE7F93">
        <w:t>:</w:t>
      </w:r>
    </w:p>
    <w:p w:rsidR="003D2690" w:rsidRPr="00EE7F93" w:rsidRDefault="003D2690" w:rsidP="004D5847">
      <w:pPr>
        <w:widowControl w:val="0"/>
        <w:spacing w:line="276" w:lineRule="auto"/>
        <w:ind w:left="1440" w:hanging="1440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1417"/>
        <w:gridCol w:w="1439"/>
        <w:gridCol w:w="1466"/>
        <w:gridCol w:w="1297"/>
      </w:tblGrid>
      <w:tr w:rsidR="00730F1E" w:rsidRPr="00EE7F93" w:rsidTr="00BC3F22">
        <w:trPr>
          <w:trHeight w:val="20"/>
          <w:jc w:val="center"/>
        </w:trPr>
        <w:tc>
          <w:tcPr>
            <w:tcW w:w="1884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b/>
                <w:color w:val="000000"/>
              </w:rPr>
            </w:pPr>
            <w:r w:rsidRPr="00EE7F93">
              <w:rPr>
                <w:b/>
                <w:color w:val="000000"/>
              </w:rPr>
              <w:t>Tatimi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b/>
                <w:color w:val="000000"/>
              </w:rPr>
            </w:pPr>
            <w:r w:rsidRPr="00EE7F93">
              <w:rPr>
                <w:b/>
                <w:color w:val="000000"/>
              </w:rPr>
              <w:t>Periudha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30F1E" w:rsidRPr="00EE7F93" w:rsidRDefault="00730F1E" w:rsidP="00BC3F22">
            <w:pPr>
              <w:jc w:val="center"/>
              <w:rPr>
                <w:b/>
                <w:color w:val="000000"/>
              </w:rPr>
            </w:pPr>
            <w:r w:rsidRPr="00EE7F93">
              <w:rPr>
                <w:b/>
                <w:color w:val="000000"/>
              </w:rPr>
              <w:t>Detyrim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730F1E" w:rsidRPr="00EE7F93" w:rsidRDefault="00730F1E" w:rsidP="00BC3F22">
            <w:pPr>
              <w:jc w:val="center"/>
              <w:rPr>
                <w:b/>
                <w:color w:val="000000"/>
              </w:rPr>
            </w:pPr>
            <w:r w:rsidRPr="00EE7F93">
              <w:rPr>
                <w:b/>
                <w:color w:val="000000"/>
              </w:rPr>
              <w:t>Gjob</w:t>
            </w:r>
            <w:r w:rsidR="00EE7F93">
              <w:rPr>
                <w:b/>
                <w:color w:val="000000"/>
              </w:rPr>
              <w:t>ë</w:t>
            </w:r>
            <w:r w:rsidRPr="00EE7F93">
              <w:rPr>
                <w:b/>
                <w:color w:val="000000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b/>
                <w:color w:val="000000"/>
              </w:rPr>
            </w:pPr>
            <w:r w:rsidRPr="00EE7F93">
              <w:rPr>
                <w:b/>
                <w:color w:val="000000"/>
              </w:rPr>
              <w:t>Shuma</w:t>
            </w:r>
          </w:p>
        </w:tc>
      </w:tr>
      <w:tr w:rsidR="00730F1E" w:rsidRPr="00EE7F93" w:rsidTr="00BC3F22">
        <w:trPr>
          <w:trHeight w:val="20"/>
          <w:jc w:val="center"/>
        </w:trPr>
        <w:tc>
          <w:tcPr>
            <w:tcW w:w="1884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TVSH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2014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2,971,345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1,485,673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4,457,018</w:t>
            </w:r>
          </w:p>
        </w:tc>
      </w:tr>
      <w:tr w:rsidR="00730F1E" w:rsidRPr="00EE7F93" w:rsidTr="00BC3F22">
        <w:trPr>
          <w:trHeight w:val="20"/>
          <w:jc w:val="center"/>
        </w:trPr>
        <w:tc>
          <w:tcPr>
            <w:tcW w:w="1884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TVSH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2014/12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48,125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10,539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58,664</w:t>
            </w:r>
          </w:p>
        </w:tc>
      </w:tr>
      <w:tr w:rsidR="00730F1E" w:rsidRPr="00EE7F93" w:rsidTr="00BC3F22">
        <w:trPr>
          <w:trHeight w:val="20"/>
          <w:jc w:val="center"/>
        </w:trPr>
        <w:tc>
          <w:tcPr>
            <w:tcW w:w="1884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TVSH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2015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2,870,913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1,435,457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4,306,370</w:t>
            </w:r>
          </w:p>
        </w:tc>
      </w:tr>
      <w:tr w:rsidR="00730F1E" w:rsidRPr="00EE7F93" w:rsidTr="00BC3F22">
        <w:trPr>
          <w:trHeight w:val="20"/>
          <w:jc w:val="center"/>
        </w:trPr>
        <w:tc>
          <w:tcPr>
            <w:tcW w:w="1884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TVSH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2015/12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63,019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13,801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76,820</w:t>
            </w:r>
          </w:p>
        </w:tc>
      </w:tr>
      <w:tr w:rsidR="00730F1E" w:rsidRPr="00EE7F93" w:rsidTr="00BC3F22">
        <w:trPr>
          <w:trHeight w:val="20"/>
          <w:jc w:val="center"/>
        </w:trPr>
        <w:tc>
          <w:tcPr>
            <w:tcW w:w="1884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TVSH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2016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3,558,862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1,779,431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5,338,293</w:t>
            </w:r>
          </w:p>
        </w:tc>
      </w:tr>
      <w:tr w:rsidR="00730F1E" w:rsidRPr="00EE7F93" w:rsidTr="00BC3F22">
        <w:trPr>
          <w:trHeight w:val="20"/>
          <w:jc w:val="center"/>
        </w:trPr>
        <w:tc>
          <w:tcPr>
            <w:tcW w:w="1884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TVSH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2016/12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100,620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22,036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122,656</w:t>
            </w:r>
          </w:p>
        </w:tc>
      </w:tr>
      <w:tr w:rsidR="00730F1E" w:rsidRPr="00EE7F93" w:rsidTr="00BC3F22">
        <w:trPr>
          <w:trHeight w:val="20"/>
          <w:jc w:val="center"/>
        </w:trPr>
        <w:tc>
          <w:tcPr>
            <w:tcW w:w="1884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TVSH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2016/12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264,605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57,948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322,553</w:t>
            </w:r>
          </w:p>
        </w:tc>
      </w:tr>
      <w:tr w:rsidR="00730F1E" w:rsidRPr="00EE7F93" w:rsidTr="00BC3F22">
        <w:trPr>
          <w:trHeight w:val="20"/>
          <w:jc w:val="center"/>
        </w:trPr>
        <w:tc>
          <w:tcPr>
            <w:tcW w:w="1884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TVSH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2017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1,416,638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621,490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2,038,128</w:t>
            </w:r>
          </w:p>
        </w:tc>
      </w:tr>
      <w:tr w:rsidR="00730F1E" w:rsidRPr="00EE7F93" w:rsidTr="00BC3F22">
        <w:trPr>
          <w:trHeight w:val="20"/>
          <w:jc w:val="center"/>
        </w:trPr>
        <w:tc>
          <w:tcPr>
            <w:tcW w:w="1884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TVSH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2017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729,087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729,087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1,458,174</w:t>
            </w:r>
          </w:p>
        </w:tc>
      </w:tr>
      <w:tr w:rsidR="00730F1E" w:rsidRPr="00EE7F93" w:rsidTr="00BC3F22">
        <w:trPr>
          <w:trHeight w:val="20"/>
          <w:jc w:val="center"/>
        </w:trPr>
        <w:tc>
          <w:tcPr>
            <w:tcW w:w="1884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b/>
                <w:bCs/>
                <w:color w:val="000000"/>
              </w:rPr>
            </w:pPr>
            <w:r w:rsidRPr="00EE7F93">
              <w:rPr>
                <w:b/>
                <w:bCs/>
                <w:color w:val="000000"/>
              </w:rPr>
              <w:t>Shuma TVSH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b/>
                <w:bCs/>
                <w:color w:val="000000"/>
              </w:rPr>
            </w:pPr>
            <w:r w:rsidRPr="00EE7F93">
              <w:rPr>
                <w:b/>
                <w:bCs/>
                <w:color w:val="000000"/>
              </w:rPr>
              <w:t>12,023,214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b/>
                <w:bCs/>
                <w:color w:val="000000"/>
              </w:rPr>
            </w:pPr>
            <w:r w:rsidRPr="00EE7F93">
              <w:rPr>
                <w:b/>
                <w:bCs/>
                <w:color w:val="000000"/>
              </w:rPr>
              <w:t>6,155,462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b/>
                <w:bCs/>
                <w:color w:val="000000"/>
              </w:rPr>
            </w:pPr>
            <w:r w:rsidRPr="00EE7F93">
              <w:rPr>
                <w:b/>
                <w:bCs/>
                <w:color w:val="000000"/>
              </w:rPr>
              <w:t>18,178,676</w:t>
            </w:r>
          </w:p>
        </w:tc>
      </w:tr>
      <w:tr w:rsidR="00730F1E" w:rsidRPr="00EE7F93" w:rsidTr="00BC3F22">
        <w:trPr>
          <w:trHeight w:val="20"/>
          <w:jc w:val="center"/>
        </w:trPr>
        <w:tc>
          <w:tcPr>
            <w:tcW w:w="1884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Tatim Fitimi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2014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21,739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4,761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26,500</w:t>
            </w:r>
          </w:p>
        </w:tc>
      </w:tr>
      <w:tr w:rsidR="00730F1E" w:rsidRPr="00EE7F93" w:rsidTr="00BC3F22">
        <w:trPr>
          <w:trHeight w:val="20"/>
          <w:jc w:val="center"/>
        </w:trPr>
        <w:tc>
          <w:tcPr>
            <w:tcW w:w="1884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Tatim Fitimi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2014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239,000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52,341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291,341</w:t>
            </w:r>
          </w:p>
        </w:tc>
      </w:tr>
      <w:tr w:rsidR="00730F1E" w:rsidRPr="00EE7F93" w:rsidTr="00BC3F22">
        <w:trPr>
          <w:trHeight w:val="20"/>
          <w:jc w:val="center"/>
        </w:trPr>
        <w:tc>
          <w:tcPr>
            <w:tcW w:w="1884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b/>
                <w:bCs/>
                <w:color w:val="000000"/>
              </w:rPr>
            </w:pPr>
            <w:r w:rsidRPr="00EE7F93">
              <w:rPr>
                <w:b/>
                <w:bCs/>
                <w:color w:val="000000"/>
              </w:rPr>
              <w:t>Shuma Tatim Fitimi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b/>
                <w:bCs/>
                <w:color w:val="000000"/>
              </w:rPr>
            </w:pPr>
            <w:r w:rsidRPr="00EE7F93">
              <w:rPr>
                <w:b/>
                <w:bCs/>
                <w:color w:val="000000"/>
              </w:rPr>
              <w:t>260,739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b/>
                <w:bCs/>
                <w:color w:val="000000"/>
              </w:rPr>
            </w:pPr>
            <w:r w:rsidRPr="00EE7F93">
              <w:rPr>
                <w:b/>
                <w:bCs/>
                <w:color w:val="000000"/>
              </w:rPr>
              <w:t>57,102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b/>
                <w:bCs/>
                <w:color w:val="000000"/>
              </w:rPr>
            </w:pPr>
            <w:r w:rsidRPr="00EE7F93">
              <w:rPr>
                <w:b/>
                <w:bCs/>
                <w:color w:val="000000"/>
              </w:rPr>
              <w:t>317,841</w:t>
            </w:r>
          </w:p>
        </w:tc>
      </w:tr>
      <w:tr w:rsidR="00730F1E" w:rsidRPr="00EE7F93" w:rsidTr="00BC3F22">
        <w:trPr>
          <w:trHeight w:val="20"/>
          <w:jc w:val="center"/>
        </w:trPr>
        <w:tc>
          <w:tcPr>
            <w:tcW w:w="1884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b/>
                <w:bCs/>
                <w:color w:val="000000"/>
              </w:rPr>
            </w:pPr>
            <w:r w:rsidRPr="00EE7F93">
              <w:rPr>
                <w:b/>
                <w:bCs/>
                <w:color w:val="000000"/>
              </w:rPr>
              <w:t>TAP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b/>
                <w:bCs/>
                <w:color w:val="000000"/>
              </w:rPr>
            </w:pPr>
            <w:r w:rsidRPr="00EE7F93">
              <w:rPr>
                <w:b/>
                <w:bCs/>
                <w:color w:val="000000"/>
              </w:rPr>
              <w:t>2016/05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b/>
                <w:bCs/>
                <w:color w:val="000000"/>
              </w:rPr>
            </w:pPr>
            <w:r w:rsidRPr="00EE7F93">
              <w:rPr>
                <w:b/>
                <w:bCs/>
                <w:color w:val="000000"/>
              </w:rPr>
              <w:t>154,620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b/>
                <w:bCs/>
                <w:color w:val="000000"/>
              </w:rPr>
            </w:pPr>
            <w:r w:rsidRPr="00EE7F93">
              <w:rPr>
                <w:b/>
                <w:bCs/>
                <w:color w:val="000000"/>
              </w:rPr>
              <w:t>33,862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b/>
                <w:bCs/>
                <w:color w:val="000000"/>
              </w:rPr>
            </w:pPr>
            <w:r w:rsidRPr="00EE7F93">
              <w:rPr>
                <w:b/>
                <w:bCs/>
                <w:color w:val="000000"/>
              </w:rPr>
              <w:t>188,482</w:t>
            </w:r>
          </w:p>
        </w:tc>
      </w:tr>
      <w:tr w:rsidR="00730F1E" w:rsidRPr="00EE7F93" w:rsidTr="00BC3F22">
        <w:trPr>
          <w:trHeight w:val="20"/>
          <w:jc w:val="center"/>
        </w:trPr>
        <w:tc>
          <w:tcPr>
            <w:tcW w:w="1884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Tatim ne burim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2014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151,208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75,604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226,812</w:t>
            </w:r>
          </w:p>
        </w:tc>
      </w:tr>
      <w:tr w:rsidR="00730F1E" w:rsidRPr="00EE7F93" w:rsidTr="00BC3F22">
        <w:trPr>
          <w:trHeight w:val="20"/>
          <w:jc w:val="center"/>
        </w:trPr>
        <w:tc>
          <w:tcPr>
            <w:tcW w:w="1884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Tatim ne burim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2015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210,192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105,096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315,288</w:t>
            </w:r>
          </w:p>
        </w:tc>
      </w:tr>
      <w:tr w:rsidR="00730F1E" w:rsidRPr="00EE7F93" w:rsidTr="00BC3F22">
        <w:trPr>
          <w:trHeight w:val="20"/>
          <w:jc w:val="center"/>
        </w:trPr>
        <w:tc>
          <w:tcPr>
            <w:tcW w:w="1884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Tatim ne burim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2016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470,628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235,314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705,942</w:t>
            </w:r>
          </w:p>
        </w:tc>
      </w:tr>
      <w:tr w:rsidR="00730F1E" w:rsidRPr="00EE7F93" w:rsidTr="00BC3F22">
        <w:trPr>
          <w:trHeight w:val="20"/>
          <w:jc w:val="center"/>
        </w:trPr>
        <w:tc>
          <w:tcPr>
            <w:tcW w:w="1884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Tatim ne burim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2017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135,232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67,616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202,848</w:t>
            </w:r>
          </w:p>
        </w:tc>
      </w:tr>
      <w:tr w:rsidR="00730F1E" w:rsidRPr="00EE7F93" w:rsidTr="00BC3F22">
        <w:trPr>
          <w:trHeight w:val="20"/>
          <w:jc w:val="center"/>
        </w:trPr>
        <w:tc>
          <w:tcPr>
            <w:tcW w:w="1884" w:type="pct"/>
            <w:shd w:val="clear" w:color="auto" w:fill="auto"/>
            <w:vAlign w:val="center"/>
            <w:hideMark/>
          </w:tcPr>
          <w:p w:rsidR="00730F1E" w:rsidRPr="00EE7F93" w:rsidRDefault="00730F1E" w:rsidP="00051490">
            <w:pPr>
              <w:jc w:val="center"/>
              <w:rPr>
                <w:b/>
                <w:bCs/>
                <w:color w:val="000000"/>
              </w:rPr>
            </w:pPr>
            <w:r w:rsidRPr="00EE7F93">
              <w:rPr>
                <w:b/>
                <w:bCs/>
                <w:color w:val="000000"/>
              </w:rPr>
              <w:t xml:space="preserve">Shuma </w:t>
            </w:r>
            <w:r w:rsidR="00051490">
              <w:rPr>
                <w:b/>
                <w:bCs/>
                <w:color w:val="000000"/>
              </w:rPr>
              <w:t>t</w:t>
            </w:r>
            <w:r w:rsidRPr="00EE7F93">
              <w:rPr>
                <w:b/>
                <w:bCs/>
                <w:color w:val="000000"/>
              </w:rPr>
              <w:t>atim ne burim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b/>
                <w:bCs/>
                <w:color w:val="000000"/>
              </w:rPr>
            </w:pPr>
            <w:r w:rsidRPr="00EE7F93">
              <w:rPr>
                <w:b/>
                <w:bCs/>
                <w:color w:val="000000"/>
              </w:rPr>
              <w:t>967,260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b/>
                <w:bCs/>
                <w:color w:val="000000"/>
              </w:rPr>
            </w:pPr>
            <w:r w:rsidRPr="00EE7F93">
              <w:rPr>
                <w:b/>
                <w:bCs/>
                <w:color w:val="000000"/>
              </w:rPr>
              <w:t>483,630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b/>
                <w:bCs/>
                <w:color w:val="000000"/>
              </w:rPr>
            </w:pPr>
            <w:r w:rsidRPr="00EE7F93">
              <w:rPr>
                <w:b/>
                <w:bCs/>
                <w:color w:val="000000"/>
              </w:rPr>
              <w:t>1,450,890</w:t>
            </w:r>
          </w:p>
        </w:tc>
      </w:tr>
      <w:tr w:rsidR="00730F1E" w:rsidRPr="00EE7F93" w:rsidTr="00BC3F22">
        <w:trPr>
          <w:trHeight w:val="20"/>
          <w:jc w:val="center"/>
        </w:trPr>
        <w:tc>
          <w:tcPr>
            <w:tcW w:w="1884" w:type="pct"/>
            <w:shd w:val="clear" w:color="auto" w:fill="auto"/>
            <w:vAlign w:val="center"/>
            <w:hideMark/>
          </w:tcPr>
          <w:p w:rsidR="00730F1E" w:rsidRPr="00EE7F93" w:rsidRDefault="00730F1E" w:rsidP="00051490">
            <w:pPr>
              <w:jc w:val="center"/>
              <w:rPr>
                <w:b/>
                <w:bCs/>
                <w:color w:val="000000"/>
              </w:rPr>
            </w:pPr>
            <w:r w:rsidRPr="00EE7F93">
              <w:rPr>
                <w:b/>
                <w:bCs/>
                <w:color w:val="000000"/>
              </w:rPr>
              <w:t xml:space="preserve">Transferimi </w:t>
            </w:r>
            <w:r w:rsidR="00BC3F22" w:rsidRPr="00EE7F93">
              <w:rPr>
                <w:b/>
                <w:bCs/>
                <w:color w:val="000000"/>
              </w:rPr>
              <w:t>i</w:t>
            </w:r>
            <w:r w:rsidRPr="00EE7F93">
              <w:rPr>
                <w:b/>
                <w:bCs/>
                <w:color w:val="000000"/>
              </w:rPr>
              <w:t xml:space="preserve"> </w:t>
            </w:r>
            <w:r w:rsidR="00051490">
              <w:rPr>
                <w:b/>
                <w:bCs/>
                <w:color w:val="000000"/>
              </w:rPr>
              <w:t>ç</w:t>
            </w:r>
            <w:r w:rsidRPr="00EE7F93">
              <w:rPr>
                <w:b/>
                <w:bCs/>
                <w:color w:val="000000"/>
              </w:rPr>
              <w:t>mimit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b/>
                <w:bCs/>
                <w:color w:val="000000"/>
              </w:rPr>
            </w:pPr>
            <w:r w:rsidRPr="00EE7F93">
              <w:rPr>
                <w:b/>
                <w:bCs/>
                <w:color w:val="000000"/>
              </w:rPr>
              <w:t>2014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b/>
                <w:bCs/>
                <w:color w:val="000000"/>
              </w:rPr>
            </w:pPr>
            <w:r w:rsidRPr="00EE7F93">
              <w:rPr>
                <w:b/>
                <w:bCs/>
                <w:color w:val="000000"/>
              </w:rPr>
              <w:t>10,000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:rsidR="00730F1E" w:rsidRPr="00EE7F93" w:rsidRDefault="00730F1E" w:rsidP="00F00171">
            <w:pPr>
              <w:jc w:val="center"/>
              <w:rPr>
                <w:b/>
                <w:bCs/>
                <w:color w:val="000000"/>
              </w:rPr>
            </w:pPr>
            <w:r w:rsidRPr="00EE7F93">
              <w:rPr>
                <w:b/>
                <w:bCs/>
                <w:color w:val="000000"/>
              </w:rPr>
              <w:t>10,000</w:t>
            </w:r>
          </w:p>
        </w:tc>
      </w:tr>
      <w:tr w:rsidR="00051490" w:rsidRPr="00EE7F93" w:rsidTr="00BC3F22">
        <w:trPr>
          <w:trHeight w:val="20"/>
          <w:jc w:val="center"/>
        </w:trPr>
        <w:tc>
          <w:tcPr>
            <w:tcW w:w="1884" w:type="pct"/>
            <w:shd w:val="clear" w:color="auto" w:fill="auto"/>
            <w:vAlign w:val="center"/>
          </w:tcPr>
          <w:p w:rsidR="00051490" w:rsidRPr="00EE7F93" w:rsidRDefault="00051490" w:rsidP="00051490">
            <w:pPr>
              <w:jc w:val="center"/>
              <w:rPr>
                <w:b/>
                <w:color w:val="000000"/>
              </w:rPr>
            </w:pPr>
            <w:r w:rsidRPr="00EE7F93">
              <w:rPr>
                <w:b/>
                <w:color w:val="000000"/>
              </w:rPr>
              <w:t>Totali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051490" w:rsidRPr="00EE7F93" w:rsidRDefault="00051490" w:rsidP="00051490">
            <w:pPr>
              <w:jc w:val="center"/>
              <w:rPr>
                <w:color w:val="000000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051490" w:rsidRPr="00EE7F93" w:rsidRDefault="00051490" w:rsidP="00051490">
            <w:pPr>
              <w:jc w:val="center"/>
              <w:rPr>
                <w:b/>
                <w:bCs/>
                <w:color w:val="000000"/>
              </w:rPr>
            </w:pPr>
            <w:r w:rsidRPr="00EE7F93">
              <w:rPr>
                <w:b/>
                <w:bCs/>
                <w:color w:val="000000"/>
              </w:rPr>
              <w:t>13,405,833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051490" w:rsidRPr="00EE7F93" w:rsidRDefault="00051490" w:rsidP="00051490">
            <w:pPr>
              <w:jc w:val="center"/>
              <w:rPr>
                <w:b/>
                <w:bCs/>
                <w:color w:val="000000"/>
              </w:rPr>
            </w:pPr>
            <w:r w:rsidRPr="00EE7F93">
              <w:rPr>
                <w:b/>
                <w:bCs/>
                <w:color w:val="000000"/>
              </w:rPr>
              <w:t>6,740,056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051490" w:rsidRPr="00EE7F93" w:rsidRDefault="00051490" w:rsidP="00051490">
            <w:pPr>
              <w:jc w:val="center"/>
              <w:rPr>
                <w:b/>
                <w:bCs/>
                <w:color w:val="000000"/>
              </w:rPr>
            </w:pPr>
            <w:r w:rsidRPr="00EE7F93">
              <w:rPr>
                <w:b/>
                <w:bCs/>
                <w:color w:val="000000"/>
              </w:rPr>
              <w:t>20,145,889</w:t>
            </w:r>
          </w:p>
        </w:tc>
      </w:tr>
      <w:tr w:rsidR="00051490" w:rsidRPr="00EE7F93" w:rsidTr="00BC3F22">
        <w:trPr>
          <w:trHeight w:val="20"/>
          <w:jc w:val="center"/>
        </w:trPr>
        <w:tc>
          <w:tcPr>
            <w:tcW w:w="1884" w:type="pct"/>
            <w:shd w:val="clear" w:color="auto" w:fill="auto"/>
            <w:vAlign w:val="center"/>
          </w:tcPr>
          <w:p w:rsidR="00051490" w:rsidRPr="00051490" w:rsidRDefault="00051490" w:rsidP="00051490">
            <w:pPr>
              <w:jc w:val="center"/>
              <w:rPr>
                <w:color w:val="000000"/>
              </w:rPr>
            </w:pPr>
            <w:r w:rsidRPr="00051490">
              <w:rPr>
                <w:color w:val="000000"/>
              </w:rPr>
              <w:t>Tatim f</w:t>
            </w:r>
            <w:r>
              <w:rPr>
                <w:color w:val="000000"/>
              </w:rPr>
              <w:t>i</w:t>
            </w:r>
            <w:r w:rsidRPr="00051490">
              <w:rPr>
                <w:color w:val="000000"/>
              </w:rPr>
              <w:t>timi</w:t>
            </w:r>
            <w:r>
              <w:rPr>
                <w:color w:val="000000"/>
              </w:rPr>
              <w:t xml:space="preserve"> (ulje humbje)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051490" w:rsidRPr="00EE7F93" w:rsidRDefault="00051490" w:rsidP="0005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051490" w:rsidRPr="00051490" w:rsidRDefault="00051490" w:rsidP="00051490">
            <w:pPr>
              <w:jc w:val="center"/>
              <w:rPr>
                <w:bCs/>
                <w:color w:val="000000"/>
              </w:rPr>
            </w:pPr>
            <w:r w:rsidRPr="00051490">
              <w:rPr>
                <w:bCs/>
                <w:color w:val="000000"/>
              </w:rPr>
              <w:t>789.673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051490" w:rsidRPr="00EE7F93" w:rsidRDefault="00051490" w:rsidP="0005149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9" w:type="pct"/>
            <w:shd w:val="clear" w:color="auto" w:fill="auto"/>
            <w:vAlign w:val="center"/>
          </w:tcPr>
          <w:p w:rsidR="00051490" w:rsidRPr="00EE7F93" w:rsidRDefault="00051490" w:rsidP="0005149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51490" w:rsidRPr="00EE7F93" w:rsidTr="00BC3F22">
        <w:trPr>
          <w:trHeight w:val="20"/>
          <w:jc w:val="center"/>
        </w:trPr>
        <w:tc>
          <w:tcPr>
            <w:tcW w:w="1884" w:type="pct"/>
            <w:shd w:val="clear" w:color="auto" w:fill="auto"/>
            <w:vAlign w:val="center"/>
          </w:tcPr>
          <w:p w:rsidR="00051490" w:rsidRPr="00EE7F93" w:rsidRDefault="00051490" w:rsidP="00051490">
            <w:pPr>
              <w:jc w:val="center"/>
              <w:rPr>
                <w:b/>
                <w:bCs/>
                <w:color w:val="000000"/>
              </w:rPr>
            </w:pPr>
            <w:r w:rsidRPr="00051490">
              <w:rPr>
                <w:color w:val="000000"/>
              </w:rPr>
              <w:t>Tatim f</w:t>
            </w:r>
            <w:r>
              <w:rPr>
                <w:color w:val="000000"/>
              </w:rPr>
              <w:t>i</w:t>
            </w:r>
            <w:r w:rsidRPr="00051490">
              <w:rPr>
                <w:color w:val="000000"/>
              </w:rPr>
              <w:t>timi</w:t>
            </w:r>
            <w:r>
              <w:rPr>
                <w:color w:val="000000"/>
              </w:rPr>
              <w:t xml:space="preserve"> (ulje humbje)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051490" w:rsidRPr="00051490" w:rsidRDefault="00051490" w:rsidP="00051490">
            <w:pPr>
              <w:jc w:val="center"/>
              <w:rPr>
                <w:bCs/>
                <w:color w:val="000000"/>
              </w:rPr>
            </w:pPr>
            <w:r w:rsidRPr="00051490">
              <w:rPr>
                <w:bCs/>
                <w:color w:val="000000"/>
              </w:rPr>
              <w:t>2016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051490" w:rsidRPr="00051490" w:rsidRDefault="00051490" w:rsidP="00051490">
            <w:pPr>
              <w:jc w:val="center"/>
              <w:rPr>
                <w:bCs/>
                <w:color w:val="000000"/>
              </w:rPr>
            </w:pPr>
            <w:r w:rsidRPr="00051490">
              <w:rPr>
                <w:bCs/>
                <w:color w:val="000000"/>
              </w:rPr>
              <w:t>98.928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051490" w:rsidRPr="00EE7F93" w:rsidRDefault="00051490" w:rsidP="0005149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9" w:type="pct"/>
            <w:shd w:val="clear" w:color="auto" w:fill="auto"/>
            <w:vAlign w:val="center"/>
          </w:tcPr>
          <w:p w:rsidR="00051490" w:rsidRPr="00EE7F93" w:rsidRDefault="00051490" w:rsidP="0005149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51490" w:rsidRPr="00EE7F93" w:rsidTr="00BC3F22">
        <w:trPr>
          <w:trHeight w:val="20"/>
          <w:jc w:val="center"/>
        </w:trPr>
        <w:tc>
          <w:tcPr>
            <w:tcW w:w="1884" w:type="pct"/>
            <w:shd w:val="clear" w:color="auto" w:fill="auto"/>
            <w:vAlign w:val="center"/>
          </w:tcPr>
          <w:p w:rsidR="00051490" w:rsidRPr="00051490" w:rsidRDefault="00051490" w:rsidP="00051490">
            <w:pPr>
              <w:jc w:val="center"/>
              <w:rPr>
                <w:bCs/>
                <w:color w:val="000000"/>
              </w:rPr>
            </w:pPr>
            <w:r w:rsidRPr="00051490">
              <w:rPr>
                <w:color w:val="000000"/>
              </w:rPr>
              <w:t>Tatim fitimi (ulje humbje)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051490" w:rsidRPr="00051490" w:rsidRDefault="00051490" w:rsidP="00051490">
            <w:pPr>
              <w:jc w:val="center"/>
              <w:rPr>
                <w:bCs/>
                <w:color w:val="000000"/>
              </w:rPr>
            </w:pPr>
            <w:r w:rsidRPr="00051490">
              <w:rPr>
                <w:bCs/>
                <w:color w:val="000000"/>
              </w:rPr>
              <w:t>2017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051490" w:rsidRPr="00051490" w:rsidRDefault="00051490" w:rsidP="00051490">
            <w:pPr>
              <w:jc w:val="center"/>
              <w:rPr>
                <w:bCs/>
                <w:color w:val="000000"/>
              </w:rPr>
            </w:pPr>
            <w:r w:rsidRPr="00051490">
              <w:rPr>
                <w:bCs/>
                <w:color w:val="000000"/>
              </w:rPr>
              <w:t>2.666.423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051490" w:rsidRPr="00EE7F93" w:rsidRDefault="00051490" w:rsidP="0005149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9" w:type="pct"/>
            <w:shd w:val="clear" w:color="auto" w:fill="auto"/>
            <w:vAlign w:val="center"/>
          </w:tcPr>
          <w:p w:rsidR="00051490" w:rsidRPr="00EE7F93" w:rsidRDefault="00051490" w:rsidP="0005149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51490" w:rsidRPr="00EE7F93" w:rsidTr="00051490">
        <w:trPr>
          <w:trHeight w:val="20"/>
          <w:jc w:val="center"/>
        </w:trPr>
        <w:tc>
          <w:tcPr>
            <w:tcW w:w="1884" w:type="pct"/>
            <w:shd w:val="clear" w:color="auto" w:fill="auto"/>
            <w:vAlign w:val="center"/>
          </w:tcPr>
          <w:p w:rsidR="00051490" w:rsidRPr="00EE7F93" w:rsidRDefault="00051490" w:rsidP="00051490">
            <w:pPr>
              <w:jc w:val="center"/>
              <w:rPr>
                <w:b/>
                <w:color w:val="000000"/>
              </w:rPr>
            </w:pPr>
            <w:r w:rsidRPr="00051490">
              <w:rPr>
                <w:color w:val="000000"/>
              </w:rPr>
              <w:t>Tatim f</w:t>
            </w:r>
            <w:r>
              <w:rPr>
                <w:color w:val="000000"/>
              </w:rPr>
              <w:t>i</w:t>
            </w:r>
            <w:r w:rsidRPr="00051490">
              <w:rPr>
                <w:color w:val="000000"/>
              </w:rPr>
              <w:t>timi</w:t>
            </w:r>
            <w:r>
              <w:rPr>
                <w:color w:val="000000"/>
              </w:rPr>
              <w:t xml:space="preserve"> (ulje humbje)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051490" w:rsidRPr="00EE7F93" w:rsidRDefault="00051490" w:rsidP="0005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051490" w:rsidRPr="00051490" w:rsidRDefault="00051490" w:rsidP="00051490">
            <w:pPr>
              <w:jc w:val="center"/>
              <w:rPr>
                <w:bCs/>
                <w:color w:val="000000"/>
              </w:rPr>
            </w:pPr>
            <w:r w:rsidRPr="00051490">
              <w:rPr>
                <w:bCs/>
                <w:color w:val="000000"/>
              </w:rPr>
              <w:t>106.299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051490" w:rsidRPr="00EE7F93" w:rsidRDefault="00051490" w:rsidP="0005149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9" w:type="pct"/>
            <w:shd w:val="clear" w:color="auto" w:fill="auto"/>
            <w:vAlign w:val="center"/>
          </w:tcPr>
          <w:p w:rsidR="00051490" w:rsidRPr="00EE7F93" w:rsidRDefault="00051490" w:rsidP="0005149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51490" w:rsidRPr="00EE7F93" w:rsidTr="00051490">
        <w:trPr>
          <w:trHeight w:val="20"/>
          <w:jc w:val="center"/>
        </w:trPr>
        <w:tc>
          <w:tcPr>
            <w:tcW w:w="1884" w:type="pct"/>
            <w:shd w:val="clear" w:color="auto" w:fill="auto"/>
            <w:vAlign w:val="center"/>
          </w:tcPr>
          <w:p w:rsidR="00051490" w:rsidRPr="00051490" w:rsidRDefault="00051490" w:rsidP="00051490">
            <w:pPr>
              <w:jc w:val="center"/>
              <w:rPr>
                <w:b/>
                <w:color w:val="000000"/>
              </w:rPr>
            </w:pPr>
            <w:r w:rsidRPr="00051490">
              <w:rPr>
                <w:b/>
                <w:color w:val="000000"/>
              </w:rPr>
              <w:t>Total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051490" w:rsidRPr="00EE7F93" w:rsidRDefault="00051490" w:rsidP="00051490">
            <w:pPr>
              <w:jc w:val="center"/>
              <w:rPr>
                <w:color w:val="000000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051490" w:rsidRPr="00EE7F93" w:rsidRDefault="00051490" w:rsidP="00051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3.661.323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051490" w:rsidRPr="00EE7F93" w:rsidRDefault="00051490" w:rsidP="0005149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9" w:type="pct"/>
            <w:shd w:val="clear" w:color="auto" w:fill="auto"/>
            <w:vAlign w:val="center"/>
          </w:tcPr>
          <w:p w:rsidR="00051490" w:rsidRPr="00EE7F93" w:rsidRDefault="00051490" w:rsidP="00051490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4B1B59" w:rsidRPr="00EE7F93" w:rsidRDefault="004B1B59" w:rsidP="004D5847">
      <w:pPr>
        <w:tabs>
          <w:tab w:val="left" w:pos="1260"/>
        </w:tabs>
        <w:spacing w:line="276" w:lineRule="auto"/>
        <w:jc w:val="both"/>
      </w:pPr>
    </w:p>
    <w:p w:rsidR="00BC3F22" w:rsidRPr="00EE7F93" w:rsidRDefault="00BC3F22" w:rsidP="004D5847">
      <w:pPr>
        <w:tabs>
          <w:tab w:val="left" w:pos="1260"/>
        </w:tabs>
        <w:spacing w:line="276" w:lineRule="auto"/>
        <w:jc w:val="both"/>
      </w:pPr>
      <w:r w:rsidRPr="00EE7F93">
        <w:t>Nga shqyrtimi paraprak i k</w:t>
      </w:r>
      <w:r w:rsidR="00EE7F93">
        <w:t>ë</w:t>
      </w:r>
      <w:r w:rsidRPr="00EE7F93">
        <w:t>rkes</w:t>
      </w:r>
      <w:r w:rsidR="00EE7F93">
        <w:t>ë</w:t>
      </w:r>
      <w:r w:rsidRPr="00EE7F93">
        <w:t>s ankimore, konstatohet se tatimpaguesi ankimon pjes</w:t>
      </w:r>
      <w:r w:rsidR="00EE7F93">
        <w:t>ë</w:t>
      </w:r>
      <w:r w:rsidRPr="00EE7F93">
        <w:t>risht detyrimet e p</w:t>
      </w:r>
      <w:r w:rsidR="00EE7F93">
        <w:t>ë</w:t>
      </w:r>
      <w:r w:rsidRPr="00EE7F93">
        <w:t>rcaktuara n</w:t>
      </w:r>
      <w:r w:rsidR="00EE7F93">
        <w:t>ë</w:t>
      </w:r>
      <w:r w:rsidRPr="00EE7F93">
        <w:t xml:space="preserve"> njoftim vler</w:t>
      </w:r>
      <w:r w:rsidR="00EE7F93">
        <w:t>ë</w:t>
      </w:r>
      <w:r w:rsidRPr="00EE7F93">
        <w:t xml:space="preserve">simin e ankimuar, </w:t>
      </w:r>
      <w:r w:rsidR="00614243">
        <w:t>si më poshtë</w:t>
      </w:r>
      <w:r w:rsidRPr="00EE7F93">
        <w:t>:</w:t>
      </w:r>
    </w:p>
    <w:p w:rsidR="00BC3F22" w:rsidRPr="00EE7F93" w:rsidRDefault="00BC3F22" w:rsidP="004D5847">
      <w:pPr>
        <w:tabs>
          <w:tab w:val="left" w:pos="1260"/>
        </w:tabs>
        <w:spacing w:line="276" w:lineRule="auto"/>
        <w:jc w:val="both"/>
      </w:pPr>
    </w:p>
    <w:tbl>
      <w:tblPr>
        <w:tblW w:w="44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1843"/>
        <w:gridCol w:w="1701"/>
        <w:gridCol w:w="1701"/>
      </w:tblGrid>
      <w:tr w:rsidR="00BC3F22" w:rsidRPr="00EE7F93" w:rsidTr="00BC3F22">
        <w:trPr>
          <w:trHeight w:val="20"/>
          <w:jc w:val="center"/>
        </w:trPr>
        <w:tc>
          <w:tcPr>
            <w:tcW w:w="1753" w:type="pct"/>
            <w:shd w:val="clear" w:color="auto" w:fill="auto"/>
            <w:vAlign w:val="center"/>
            <w:hideMark/>
          </w:tcPr>
          <w:p w:rsidR="00BC3F22" w:rsidRPr="00EE7F93" w:rsidRDefault="00BC3F22" w:rsidP="00ED414B">
            <w:pPr>
              <w:jc w:val="center"/>
              <w:rPr>
                <w:b/>
                <w:color w:val="000000"/>
              </w:rPr>
            </w:pPr>
            <w:r w:rsidRPr="00EE7F93">
              <w:rPr>
                <w:b/>
                <w:color w:val="000000"/>
              </w:rPr>
              <w:t>Tatimi</w:t>
            </w:r>
          </w:p>
        </w:tc>
        <w:tc>
          <w:tcPr>
            <w:tcW w:w="1141" w:type="pct"/>
            <w:shd w:val="clear" w:color="auto" w:fill="auto"/>
            <w:vAlign w:val="center"/>
            <w:hideMark/>
          </w:tcPr>
          <w:p w:rsidR="00BC3F22" w:rsidRPr="00EE7F93" w:rsidRDefault="00BC3F22" w:rsidP="00ED414B">
            <w:pPr>
              <w:jc w:val="center"/>
              <w:rPr>
                <w:b/>
                <w:color w:val="000000"/>
              </w:rPr>
            </w:pPr>
            <w:r w:rsidRPr="00EE7F93">
              <w:rPr>
                <w:b/>
                <w:color w:val="000000"/>
              </w:rPr>
              <w:t>Periudha</w:t>
            </w:r>
          </w:p>
        </w:tc>
        <w:tc>
          <w:tcPr>
            <w:tcW w:w="1053" w:type="pct"/>
            <w:shd w:val="clear" w:color="auto" w:fill="auto"/>
            <w:vAlign w:val="center"/>
            <w:hideMark/>
          </w:tcPr>
          <w:p w:rsidR="00BC3F22" w:rsidRPr="00EE7F93" w:rsidRDefault="00BC3F22" w:rsidP="00ED414B">
            <w:pPr>
              <w:jc w:val="center"/>
              <w:rPr>
                <w:b/>
                <w:color w:val="000000"/>
              </w:rPr>
            </w:pPr>
            <w:r w:rsidRPr="00EE7F93">
              <w:rPr>
                <w:b/>
                <w:color w:val="000000"/>
              </w:rPr>
              <w:t>Detyrim</w:t>
            </w:r>
          </w:p>
        </w:tc>
        <w:tc>
          <w:tcPr>
            <w:tcW w:w="1053" w:type="pct"/>
            <w:shd w:val="clear" w:color="auto" w:fill="auto"/>
            <w:vAlign w:val="center"/>
            <w:hideMark/>
          </w:tcPr>
          <w:p w:rsidR="00BC3F22" w:rsidRPr="00EE7F93" w:rsidRDefault="00BC3F22" w:rsidP="00ED414B">
            <w:pPr>
              <w:jc w:val="center"/>
              <w:rPr>
                <w:b/>
                <w:color w:val="000000"/>
              </w:rPr>
            </w:pPr>
            <w:r w:rsidRPr="00EE7F93">
              <w:rPr>
                <w:b/>
                <w:color w:val="000000"/>
              </w:rPr>
              <w:t>Gjob</w:t>
            </w:r>
            <w:r w:rsidR="00EE7F93">
              <w:rPr>
                <w:b/>
                <w:color w:val="000000"/>
              </w:rPr>
              <w:t>ë</w:t>
            </w:r>
            <w:r w:rsidRPr="00EE7F93">
              <w:rPr>
                <w:b/>
                <w:color w:val="000000"/>
              </w:rPr>
              <w:t xml:space="preserve"> </w:t>
            </w:r>
          </w:p>
        </w:tc>
      </w:tr>
      <w:tr w:rsidR="00BC3F22" w:rsidRPr="00EE7F93" w:rsidTr="00BC3F22">
        <w:trPr>
          <w:trHeight w:val="20"/>
          <w:jc w:val="center"/>
        </w:trPr>
        <w:tc>
          <w:tcPr>
            <w:tcW w:w="1753" w:type="pct"/>
            <w:shd w:val="clear" w:color="auto" w:fill="auto"/>
            <w:vAlign w:val="center"/>
            <w:hideMark/>
          </w:tcPr>
          <w:p w:rsidR="00BC3F22" w:rsidRPr="00EE7F93" w:rsidRDefault="00BC3F22" w:rsidP="00ED414B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TVSH</w:t>
            </w:r>
          </w:p>
        </w:tc>
        <w:tc>
          <w:tcPr>
            <w:tcW w:w="1141" w:type="pct"/>
            <w:shd w:val="clear" w:color="auto" w:fill="auto"/>
            <w:vAlign w:val="center"/>
            <w:hideMark/>
          </w:tcPr>
          <w:p w:rsidR="00BC3F22" w:rsidRPr="00EE7F93" w:rsidRDefault="00BC3F22" w:rsidP="00ED414B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2014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BC3F22" w:rsidRPr="00EE7F93" w:rsidRDefault="00BC3F22" w:rsidP="00ED414B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2.971.435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BC3F22" w:rsidRPr="00EE7F93" w:rsidRDefault="00BC3F22" w:rsidP="00ED414B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1.485.672</w:t>
            </w:r>
          </w:p>
        </w:tc>
      </w:tr>
      <w:tr w:rsidR="00BC3F22" w:rsidRPr="00EE7F93" w:rsidTr="00BC3F22">
        <w:trPr>
          <w:trHeight w:val="20"/>
          <w:jc w:val="center"/>
        </w:trPr>
        <w:tc>
          <w:tcPr>
            <w:tcW w:w="1753" w:type="pct"/>
            <w:shd w:val="clear" w:color="auto" w:fill="auto"/>
            <w:vAlign w:val="center"/>
            <w:hideMark/>
          </w:tcPr>
          <w:p w:rsidR="00BC3F22" w:rsidRPr="00EE7F93" w:rsidRDefault="00BC3F22" w:rsidP="00BC3F22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TVSH</w:t>
            </w:r>
          </w:p>
        </w:tc>
        <w:tc>
          <w:tcPr>
            <w:tcW w:w="1141" w:type="pct"/>
            <w:shd w:val="clear" w:color="auto" w:fill="auto"/>
            <w:vAlign w:val="center"/>
            <w:hideMark/>
          </w:tcPr>
          <w:p w:rsidR="00BC3F22" w:rsidRPr="00EE7F93" w:rsidRDefault="00BC3F22" w:rsidP="00BC3F22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2015</w:t>
            </w:r>
          </w:p>
        </w:tc>
        <w:tc>
          <w:tcPr>
            <w:tcW w:w="1053" w:type="pct"/>
            <w:shd w:val="clear" w:color="auto" w:fill="auto"/>
            <w:vAlign w:val="center"/>
            <w:hideMark/>
          </w:tcPr>
          <w:p w:rsidR="00BC3F22" w:rsidRPr="00EE7F93" w:rsidRDefault="00BC3F22" w:rsidP="00BC3F22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2.870.913</w:t>
            </w:r>
          </w:p>
        </w:tc>
        <w:tc>
          <w:tcPr>
            <w:tcW w:w="1053" w:type="pct"/>
            <w:shd w:val="clear" w:color="auto" w:fill="auto"/>
            <w:vAlign w:val="center"/>
            <w:hideMark/>
          </w:tcPr>
          <w:p w:rsidR="00BC3F22" w:rsidRPr="00EE7F93" w:rsidRDefault="00BC3F22" w:rsidP="00BC3F22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1.435.456</w:t>
            </w:r>
          </w:p>
        </w:tc>
      </w:tr>
      <w:tr w:rsidR="00BC3F22" w:rsidRPr="00EE7F93" w:rsidTr="00BC3F22">
        <w:trPr>
          <w:trHeight w:val="20"/>
          <w:jc w:val="center"/>
        </w:trPr>
        <w:tc>
          <w:tcPr>
            <w:tcW w:w="1753" w:type="pct"/>
            <w:shd w:val="clear" w:color="auto" w:fill="auto"/>
            <w:vAlign w:val="center"/>
            <w:hideMark/>
          </w:tcPr>
          <w:p w:rsidR="00BC3F22" w:rsidRPr="00EE7F93" w:rsidRDefault="00BC3F22" w:rsidP="00ED414B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TVSH</w:t>
            </w:r>
          </w:p>
        </w:tc>
        <w:tc>
          <w:tcPr>
            <w:tcW w:w="1141" w:type="pct"/>
            <w:shd w:val="clear" w:color="auto" w:fill="auto"/>
            <w:vAlign w:val="center"/>
            <w:hideMark/>
          </w:tcPr>
          <w:p w:rsidR="00BC3F22" w:rsidRPr="00EE7F93" w:rsidRDefault="00BC3F22" w:rsidP="00ED414B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2016</w:t>
            </w:r>
          </w:p>
        </w:tc>
        <w:tc>
          <w:tcPr>
            <w:tcW w:w="1053" w:type="pct"/>
            <w:shd w:val="clear" w:color="auto" w:fill="auto"/>
            <w:vAlign w:val="center"/>
            <w:hideMark/>
          </w:tcPr>
          <w:p w:rsidR="00BC3F22" w:rsidRPr="00EE7F93" w:rsidRDefault="00BC3F22" w:rsidP="00ED414B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3,558,862</w:t>
            </w:r>
          </w:p>
        </w:tc>
        <w:tc>
          <w:tcPr>
            <w:tcW w:w="1053" w:type="pct"/>
            <w:shd w:val="clear" w:color="auto" w:fill="auto"/>
            <w:vAlign w:val="center"/>
            <w:hideMark/>
          </w:tcPr>
          <w:p w:rsidR="00BC3F22" w:rsidRPr="00EE7F93" w:rsidRDefault="00BC3F22" w:rsidP="00ED414B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1,779,431</w:t>
            </w:r>
          </w:p>
        </w:tc>
      </w:tr>
      <w:tr w:rsidR="00BC3F22" w:rsidRPr="00EE7F93" w:rsidTr="00BC3F22">
        <w:trPr>
          <w:trHeight w:val="20"/>
          <w:jc w:val="center"/>
        </w:trPr>
        <w:tc>
          <w:tcPr>
            <w:tcW w:w="1753" w:type="pct"/>
            <w:shd w:val="clear" w:color="auto" w:fill="auto"/>
            <w:vAlign w:val="center"/>
            <w:hideMark/>
          </w:tcPr>
          <w:p w:rsidR="00BC3F22" w:rsidRPr="00EE7F93" w:rsidRDefault="00BC3F22" w:rsidP="00ED414B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TVSH</w:t>
            </w:r>
          </w:p>
        </w:tc>
        <w:tc>
          <w:tcPr>
            <w:tcW w:w="1141" w:type="pct"/>
            <w:shd w:val="clear" w:color="auto" w:fill="auto"/>
            <w:vAlign w:val="center"/>
            <w:hideMark/>
          </w:tcPr>
          <w:p w:rsidR="00BC3F22" w:rsidRPr="00EE7F93" w:rsidRDefault="00BC3F22" w:rsidP="00ED414B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2017</w:t>
            </w:r>
          </w:p>
        </w:tc>
        <w:tc>
          <w:tcPr>
            <w:tcW w:w="1053" w:type="pct"/>
            <w:shd w:val="clear" w:color="auto" w:fill="auto"/>
            <w:vAlign w:val="center"/>
            <w:hideMark/>
          </w:tcPr>
          <w:p w:rsidR="00BC3F22" w:rsidRPr="00EE7F93" w:rsidRDefault="00BC3F22" w:rsidP="00ED414B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1,416,638</w:t>
            </w:r>
          </w:p>
        </w:tc>
        <w:tc>
          <w:tcPr>
            <w:tcW w:w="1053" w:type="pct"/>
            <w:shd w:val="clear" w:color="auto" w:fill="auto"/>
            <w:vAlign w:val="center"/>
            <w:hideMark/>
          </w:tcPr>
          <w:p w:rsidR="00BC3F22" w:rsidRPr="00EE7F93" w:rsidRDefault="00BC3F22" w:rsidP="00ED414B">
            <w:pPr>
              <w:jc w:val="center"/>
              <w:rPr>
                <w:color w:val="000000"/>
              </w:rPr>
            </w:pPr>
            <w:r w:rsidRPr="00EE7F93">
              <w:rPr>
                <w:color w:val="000000"/>
              </w:rPr>
              <w:t>621,490</w:t>
            </w:r>
          </w:p>
        </w:tc>
      </w:tr>
      <w:tr w:rsidR="00BC3F22" w:rsidRPr="00EE7F93" w:rsidTr="00BC3F22">
        <w:trPr>
          <w:trHeight w:val="20"/>
          <w:jc w:val="center"/>
        </w:trPr>
        <w:tc>
          <w:tcPr>
            <w:tcW w:w="2894" w:type="pct"/>
            <w:gridSpan w:val="2"/>
            <w:shd w:val="clear" w:color="auto" w:fill="auto"/>
            <w:vAlign w:val="center"/>
          </w:tcPr>
          <w:p w:rsidR="00BC3F22" w:rsidRPr="00EE7F93" w:rsidRDefault="00BC3F22" w:rsidP="00ED414B">
            <w:pPr>
              <w:jc w:val="center"/>
              <w:rPr>
                <w:b/>
                <w:color w:val="000000"/>
              </w:rPr>
            </w:pPr>
            <w:r w:rsidRPr="00EE7F93">
              <w:rPr>
                <w:b/>
                <w:color w:val="000000"/>
              </w:rPr>
              <w:t>Shuma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BC3F22" w:rsidRPr="00EE7F93" w:rsidRDefault="00BC3F22" w:rsidP="00ED414B">
            <w:pPr>
              <w:jc w:val="center"/>
              <w:rPr>
                <w:b/>
                <w:color w:val="000000"/>
              </w:rPr>
            </w:pPr>
            <w:r w:rsidRPr="00EE7F93">
              <w:rPr>
                <w:b/>
                <w:color w:val="000000"/>
              </w:rPr>
              <w:t>10.817.758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BC3F22" w:rsidRPr="00EE7F93" w:rsidRDefault="00BC3F22" w:rsidP="00ED414B">
            <w:pPr>
              <w:jc w:val="center"/>
              <w:rPr>
                <w:b/>
                <w:color w:val="000000"/>
              </w:rPr>
            </w:pPr>
            <w:r w:rsidRPr="00EE7F93">
              <w:rPr>
                <w:b/>
                <w:color w:val="000000"/>
              </w:rPr>
              <w:t>5.322.049</w:t>
            </w:r>
          </w:p>
        </w:tc>
      </w:tr>
    </w:tbl>
    <w:p w:rsidR="00BC3F22" w:rsidRPr="00EE7F93" w:rsidRDefault="00BC3F22" w:rsidP="004D5847">
      <w:pPr>
        <w:tabs>
          <w:tab w:val="left" w:pos="1260"/>
        </w:tabs>
        <w:spacing w:line="276" w:lineRule="auto"/>
        <w:jc w:val="both"/>
      </w:pPr>
    </w:p>
    <w:p w:rsidR="00BC3F22" w:rsidRPr="00EE7F93" w:rsidRDefault="00BC3F22" w:rsidP="00BC3F22">
      <w:pPr>
        <w:spacing w:line="276" w:lineRule="auto"/>
        <w:jc w:val="both"/>
      </w:pPr>
      <w:r w:rsidRPr="00EE7F93">
        <w:t>Drejtoria e Apelimit Tatimor sjell n</w:t>
      </w:r>
      <w:r w:rsidR="00EE7F93">
        <w:t>ë</w:t>
      </w:r>
      <w:r w:rsidRPr="00EE7F93">
        <w:t xml:space="preserve"> v</w:t>
      </w:r>
      <w:r w:rsidR="00EE7F93">
        <w:t>ë</w:t>
      </w:r>
      <w:r w:rsidRPr="00EE7F93">
        <w:t>mendje t</w:t>
      </w:r>
      <w:r w:rsidR="00EE7F93">
        <w:t>ë</w:t>
      </w:r>
      <w:r w:rsidRPr="00EE7F93">
        <w:t xml:space="preserve"> tatimpaguesit se në Ligjin nr. 9920, datë 19.05.2008 “Për Procedurat Tatimore në RSH-së”, neni 107, përcaktohet se: </w:t>
      </w:r>
    </w:p>
    <w:p w:rsidR="00BC3F22" w:rsidRPr="00EE7F93" w:rsidRDefault="00BC3F22" w:rsidP="00BC3F22">
      <w:pPr>
        <w:spacing w:line="276" w:lineRule="auto"/>
        <w:jc w:val="both"/>
        <w:rPr>
          <w:i/>
        </w:rPr>
      </w:pPr>
      <w:r w:rsidRPr="00EE7F93">
        <w:t>“</w:t>
      </w:r>
      <w:r w:rsidRPr="00EE7F93">
        <w:rPr>
          <w:i/>
        </w:rPr>
        <w:t>1.Tatimpaguesi, i cili kërkon të ankimojë, sipas pikës 1 të nenit 106 të këtij ligji, duhet që bashkë me ankesën të paguajë shumën e plotë të detyrimit tatimor ose të vendosë minimalisht 6 muaj, por jo më pak se afati, sipas të cilit vendimi ka marrë formë të prerë për shumën e plotë të detyrimit tatimor, të përcaktuar në njoftimin e vlerësimit të administrates tatimore.</w:t>
      </w:r>
    </w:p>
    <w:p w:rsidR="00BC3F22" w:rsidRPr="00EE7F93" w:rsidRDefault="00BC3F22" w:rsidP="00BC3F22">
      <w:pPr>
        <w:spacing w:line="276" w:lineRule="auto"/>
        <w:jc w:val="both"/>
        <w:rPr>
          <w:i/>
        </w:rPr>
      </w:pPr>
      <w:r w:rsidRPr="00EE7F93">
        <w:rPr>
          <w:i/>
        </w:rPr>
        <w:t>2. Shuma e pagueshme ose shuma e vënë si garanci bankare, sipas pikës 1 të këtij neni, përjashton gjobat e përfshira në vlerësimin tatimor të ankimuar dhe kamatëvonesat e llogaritura.</w:t>
      </w:r>
    </w:p>
    <w:p w:rsidR="00BC3F22" w:rsidRPr="00EE7F93" w:rsidRDefault="00BC3F22" w:rsidP="00BC3F22">
      <w:pPr>
        <w:spacing w:line="276" w:lineRule="auto"/>
        <w:jc w:val="both"/>
      </w:pPr>
      <w:r w:rsidRPr="00EE7F93">
        <w:rPr>
          <w:i/>
        </w:rPr>
        <w:t>3. Ankimi merret në shqyrtim vetëm kur tatimpaguesi ka paguar detyrimin tatimor, që është objekt i ankimit, ose ka paraqitur dokumentin bankar që vërteton vendosjen e garancisë, sipas përcaktimit të pikave 1 dhe 2 të këtij neni.</w:t>
      </w:r>
      <w:r w:rsidRPr="00EE7F93">
        <w:t>”</w:t>
      </w:r>
    </w:p>
    <w:p w:rsidR="00BC3F22" w:rsidRPr="00EE7F93" w:rsidRDefault="00BC3F22" w:rsidP="00BC3F22">
      <w:pPr>
        <w:pStyle w:val="Header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</w:p>
    <w:p w:rsidR="00BC3F22" w:rsidRPr="00EE7F93" w:rsidRDefault="00BC3F22" w:rsidP="00BC3F22">
      <w:pPr>
        <w:pStyle w:val="Header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eastAsia="ja-JP"/>
        </w:rPr>
      </w:pPr>
      <w:r w:rsidRPr="00EE7F93">
        <w:rPr>
          <w:rFonts w:ascii="Times New Roman" w:hAnsi="Times New Roman" w:cs="Times New Roman"/>
          <w:bCs/>
          <w:sz w:val="24"/>
          <w:szCs w:val="24"/>
          <w:lang w:eastAsia="ja-JP"/>
        </w:rPr>
        <w:t>Në  Udhëzimin nr. 24, datë 02.09.2008 “Për Procedurat Tatimore në RSH”, paragrafi 107.1 përcakton se “</w:t>
      </w:r>
      <w:r w:rsidRPr="00EE7F93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 xml:space="preserve">Kur një detyrim tatimor është objekt ankimi, ankimi pranohet vetëm në qoftë se ankimuesi, në përputhje me nenin 107 (1) të ligjit: </w:t>
      </w:r>
    </w:p>
    <w:p w:rsidR="00BC3F22" w:rsidRPr="00EE7F93" w:rsidRDefault="00BC3F22" w:rsidP="00BC3F22">
      <w:pPr>
        <w:pStyle w:val="Header"/>
        <w:numPr>
          <w:ilvl w:val="0"/>
          <w:numId w:val="12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eastAsia="ja-JP"/>
        </w:rPr>
      </w:pPr>
      <w:r w:rsidRPr="00EE7F93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>paguan shumën e plotë të detyrimit tatimor, objekt ankimi, të përcaktuar në aktin administrativ që ankimohet ose vendos garanci bankare për këtë shumë me afat minimalisht 6 muaj, me qëllim shqyrtimin administrativ, por jo me pak se afati në të cilin vendimi merr formë të prerë, gjatë shqyrtimit gjyqësor;</w:t>
      </w:r>
    </w:p>
    <w:p w:rsidR="00BC3F22" w:rsidRPr="00EE7F93" w:rsidRDefault="00BC3F22" w:rsidP="00BC3F22">
      <w:pPr>
        <w:pStyle w:val="Header"/>
        <w:numPr>
          <w:ilvl w:val="0"/>
          <w:numId w:val="12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eastAsia="ja-JP"/>
        </w:rPr>
      </w:pPr>
      <w:r w:rsidRPr="00EE7F93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 xml:space="preserve"> vërteton pagesën ose garancinë, duke paraqitur një kopje të dokumentit të pagesës së detyrimit tatimor objekt ankimi ose të garancisë bankare. Si vërtetimi i pagesës, dhe ai i garancisë, janë kërkesa të detyrueshme. Një kopje e garancisë bankare dorëzohet nga tatimpaguesi pranë Drejtorisë Rajonale Tatimore që ka nxjerrë aktin administrativ të ankimuar</w:t>
      </w:r>
    </w:p>
    <w:p w:rsidR="00BC3F22" w:rsidRPr="00EE7F93" w:rsidRDefault="00BC3F22" w:rsidP="00BC3F22">
      <w:pPr>
        <w:pStyle w:val="Header"/>
        <w:tabs>
          <w:tab w:val="left" w:pos="720"/>
        </w:tabs>
        <w:spacing w:line="276" w:lineRule="auto"/>
        <w:ind w:left="720"/>
        <w:jc w:val="both"/>
        <w:rPr>
          <w:rFonts w:ascii="Times New Roman" w:hAnsi="Times New Roman" w:cs="Times New Roman"/>
          <w:bCs/>
          <w:i/>
          <w:sz w:val="24"/>
          <w:szCs w:val="24"/>
          <w:lang w:eastAsia="ja-JP"/>
        </w:rPr>
      </w:pPr>
    </w:p>
    <w:p w:rsidR="00BC3F22" w:rsidRPr="00EE7F93" w:rsidRDefault="00BC3F22" w:rsidP="00BC3F22">
      <w:pPr>
        <w:pStyle w:val="Header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EE7F93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Ndonëse ankimi </w:t>
      </w:r>
      <w:r w:rsidR="00EE7F93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EE7F93" w:rsidRPr="00EE7F93">
        <w:rPr>
          <w:rFonts w:ascii="Times New Roman" w:hAnsi="Times New Roman" w:cs="Times New Roman"/>
          <w:bCs/>
          <w:sz w:val="24"/>
          <w:szCs w:val="24"/>
          <w:lang w:eastAsia="ja-JP"/>
        </w:rPr>
        <w:t>sht</w:t>
      </w:r>
      <w:r w:rsidR="00EE7F93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EE7F93" w:rsidRPr="00EE7F93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pjesor (p</w:t>
      </w:r>
      <w:r w:rsidR="00EE7F93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EE7F93" w:rsidRPr="00EE7F93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r detyrimin </w:t>
      </w:r>
      <w:r w:rsidR="00EE7F93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në vlerën </w:t>
      </w:r>
      <w:r w:rsidR="00EE7F93" w:rsidRPr="00EE7F93">
        <w:rPr>
          <w:rFonts w:ascii="Times New Roman" w:hAnsi="Times New Roman" w:cs="Times New Roman"/>
          <w:bCs/>
          <w:sz w:val="24"/>
          <w:szCs w:val="24"/>
          <w:lang w:eastAsia="ja-JP"/>
        </w:rPr>
        <w:t>10.817.758 lek</w:t>
      </w:r>
      <w:r w:rsidR="00EE7F93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EE7F93" w:rsidRPr="00EE7F93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EE7F93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dhe gjobën në vlerën </w:t>
      </w:r>
      <w:r w:rsidR="00EE7F93" w:rsidRPr="00EE7F93">
        <w:rPr>
          <w:rFonts w:ascii="Times New Roman" w:hAnsi="Times New Roman" w:cs="Times New Roman"/>
          <w:bCs/>
          <w:sz w:val="24"/>
          <w:szCs w:val="24"/>
          <w:lang w:eastAsia="ja-JP"/>
        </w:rPr>
        <w:t>5.322.049</w:t>
      </w:r>
      <w:r w:rsidR="00EE7F93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lekë)</w:t>
      </w:r>
      <w:r w:rsidRPr="00EE7F93">
        <w:rPr>
          <w:rFonts w:ascii="Times New Roman" w:hAnsi="Times New Roman" w:cs="Times New Roman"/>
          <w:bCs/>
          <w:sz w:val="24"/>
          <w:szCs w:val="24"/>
          <w:lang w:eastAsia="ja-JP"/>
        </w:rPr>
        <w:t>, referuar pikës 1 të nenit 107 të Ligjit për Procedurat Tatimore në RSH, tatimpaguesi ka detyrimin për të paguar apo vënë garanci bankare për detyrimin e plotë të përcaktuar në aktin administrativ të ankimuar</w:t>
      </w:r>
      <w:r w:rsidR="00EE7F93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EE7F93" w:rsidRPr="00EE7F93">
        <w:rPr>
          <w:rFonts w:ascii="Times New Roman" w:hAnsi="Times New Roman" w:cs="Times New Roman"/>
          <w:bCs/>
          <w:sz w:val="24"/>
          <w:szCs w:val="24"/>
          <w:lang w:eastAsia="ja-JP"/>
        </w:rPr>
        <w:t>(p</w:t>
      </w:r>
      <w:r w:rsidR="00EE7F93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EE7F93" w:rsidRPr="00EE7F93">
        <w:rPr>
          <w:rFonts w:ascii="Times New Roman" w:hAnsi="Times New Roman" w:cs="Times New Roman"/>
          <w:bCs/>
          <w:sz w:val="24"/>
          <w:szCs w:val="24"/>
          <w:lang w:eastAsia="ja-JP"/>
        </w:rPr>
        <w:t>rjashtuar kamat</w:t>
      </w:r>
      <w:r w:rsidR="00EE7F93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EE7F93" w:rsidRPr="00EE7F93">
        <w:rPr>
          <w:rFonts w:ascii="Times New Roman" w:hAnsi="Times New Roman" w:cs="Times New Roman"/>
          <w:bCs/>
          <w:sz w:val="24"/>
          <w:szCs w:val="24"/>
          <w:lang w:eastAsia="ja-JP"/>
        </w:rPr>
        <w:t>vonesat dhe gjobat)</w:t>
      </w:r>
      <w:r w:rsidR="00EE7F93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EE7F93" w:rsidRPr="00EE7F93">
        <w:rPr>
          <w:rFonts w:ascii="Times New Roman" w:hAnsi="Times New Roman" w:cs="Times New Roman"/>
          <w:bCs/>
          <w:sz w:val="24"/>
          <w:szCs w:val="24"/>
          <w:lang w:eastAsia="ja-JP"/>
        </w:rPr>
        <w:t>në vlerën 13,405,833 lekë</w:t>
      </w:r>
      <w:r w:rsidRPr="00EE7F93">
        <w:rPr>
          <w:rFonts w:ascii="Times New Roman" w:hAnsi="Times New Roman" w:cs="Times New Roman"/>
          <w:bCs/>
          <w:sz w:val="24"/>
          <w:szCs w:val="24"/>
          <w:lang w:eastAsia="ja-JP"/>
        </w:rPr>
        <w:t>, përpara skadimit të afatit të ankimit, pavarësisht vlerës së ankimuar. Në të kundërt, Drejtoria e Apelimit Tatimor nuk mund të marrë në shqyrtim ankimin, madje ka detyrim ligjor refuzimin e tij, për shkak të mosplotësimit të kushteve paraprake për shqyrtimin e ankimeve.</w:t>
      </w:r>
    </w:p>
    <w:p w:rsidR="00EE7F93" w:rsidRDefault="00EE7F93" w:rsidP="00BC3F22">
      <w:pPr>
        <w:pStyle w:val="Header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</w:p>
    <w:p w:rsidR="00BC3F22" w:rsidRPr="00EE7F93" w:rsidRDefault="00BC3F22" w:rsidP="00BC3F22">
      <w:pPr>
        <w:pStyle w:val="Header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EE7F93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Ky qëndrim vjen në përputhje dhe me qëndrimin e mbajtur nga Gjykata e Lartë, me vendimin nr. 00-2012-1994 (307), datë 12.06.2012, </w:t>
      </w:r>
      <w:r w:rsidR="00DF2795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e cila </w:t>
      </w:r>
      <w:r w:rsidRPr="00EE7F93">
        <w:rPr>
          <w:rFonts w:ascii="Times New Roman" w:hAnsi="Times New Roman" w:cs="Times New Roman"/>
          <w:bCs/>
          <w:sz w:val="24"/>
          <w:szCs w:val="24"/>
          <w:lang w:eastAsia="ja-JP"/>
        </w:rPr>
        <w:t>në një rast të ngjashëm</w:t>
      </w:r>
      <w:r w:rsidR="00DF2795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e ka konsideruar të drejtë vendimin e DAT dhe </w:t>
      </w:r>
      <w:r w:rsidRPr="00EE7F93">
        <w:rPr>
          <w:rFonts w:ascii="Times New Roman" w:hAnsi="Times New Roman" w:cs="Times New Roman"/>
          <w:bCs/>
          <w:sz w:val="24"/>
          <w:szCs w:val="24"/>
          <w:lang w:eastAsia="ja-JP"/>
        </w:rPr>
        <w:t>është shprehur se “</w:t>
      </w:r>
      <w:r w:rsidRPr="00EE7F93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 xml:space="preserve">objektivi i njoftim vlerësimit tatimor është që të </w:t>
      </w:r>
      <w:r w:rsidRPr="00EE7F93">
        <w:rPr>
          <w:rFonts w:ascii="Times New Roman" w:hAnsi="Times New Roman" w:cs="Times New Roman"/>
          <w:bCs/>
          <w:i/>
          <w:sz w:val="24"/>
          <w:szCs w:val="24"/>
          <w:lang w:eastAsia="ja-JP"/>
        </w:rPr>
        <w:lastRenderedPageBreak/>
        <w:t>ushtrojë presion mbi tatimpaguesit për të përmbushur detyrimet e tyre dhe për të ndëshkuar shkeljet që kanë shkaktuar mospërmbushjen e detyrimit</w:t>
      </w:r>
      <w:r w:rsidR="00EE7F93">
        <w:rPr>
          <w:rFonts w:ascii="Times New Roman" w:hAnsi="Times New Roman" w:cs="Times New Roman"/>
          <w:bCs/>
          <w:sz w:val="24"/>
          <w:szCs w:val="24"/>
          <w:lang w:eastAsia="ja-JP"/>
        </w:rPr>
        <w:t>”.</w:t>
      </w:r>
    </w:p>
    <w:p w:rsidR="00051490" w:rsidRDefault="00051490" w:rsidP="00BC3F22">
      <w:pPr>
        <w:pStyle w:val="Header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</w:p>
    <w:p w:rsidR="00BC3F22" w:rsidRPr="00EE7F93" w:rsidRDefault="00BC3F22" w:rsidP="00BC3F22">
      <w:pPr>
        <w:pStyle w:val="Header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eastAsia="ja-JP"/>
        </w:rPr>
      </w:pPr>
      <w:r w:rsidRPr="00EE7F93">
        <w:rPr>
          <w:rFonts w:ascii="Times New Roman" w:hAnsi="Times New Roman" w:cs="Times New Roman"/>
          <w:bCs/>
          <w:sz w:val="24"/>
          <w:szCs w:val="24"/>
          <w:lang w:eastAsia="ja-JP"/>
        </w:rPr>
        <w:t>Në vijim, me vendimin nr. 93 datë 13.09.2013, Gjykata Kushtetuese e ka konsideruar të drejtë qëndrimin e mbajtur nga Drejtoria e Apelimit Tatimor dhe vendimin e mësipërm të Gjykatës së Lartë, duke u shprehur se “</w:t>
      </w:r>
      <w:r w:rsidRPr="00EE7F93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>...Veçanërisht në rastet e përmbushjes së detyrimeve fiskale që burojnë nga vlerësimi tatimor nga autoritetet përgjegjëse, procedurat e ankimit ndaj këtij vlerësimi lejohen vetëm pasi personi i kontrolluar të ketë paguar detyrimin...</w:t>
      </w:r>
    </w:p>
    <w:p w:rsidR="00BC3F22" w:rsidRPr="00EE7F93" w:rsidRDefault="00BC3F22" w:rsidP="00BC3F22">
      <w:pPr>
        <w:pStyle w:val="Header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EE7F93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>Kolegji arrin në përfundimin se vendimi i Kolegjit Civil të Gjykatës së Lartë, për nxjerrjen e çështjes jashtë juridiksionit, është marrë në vlerësim të kriterit të parapagimit të plotë të detyrimit tatimor nga tatimpaguesi, si një nga kushtet thelbësore që duhet të plotësohen për garantimin e të drejtës së ankimit të aktit administrativ në rrugë gjyqësore</w:t>
      </w:r>
      <w:r w:rsidRPr="00EE7F93">
        <w:rPr>
          <w:rFonts w:ascii="Times New Roman" w:hAnsi="Times New Roman" w:cs="Times New Roman"/>
          <w:bCs/>
          <w:sz w:val="24"/>
          <w:szCs w:val="24"/>
          <w:lang w:eastAsia="ja-JP"/>
        </w:rPr>
        <w:t>”.</w:t>
      </w:r>
    </w:p>
    <w:p w:rsidR="00BC3F22" w:rsidRDefault="00BC3F22" w:rsidP="00BC3F22">
      <w:pPr>
        <w:pStyle w:val="Header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</w:p>
    <w:p w:rsidR="00614243" w:rsidRDefault="00EE7F93" w:rsidP="00EE7F93">
      <w:pPr>
        <w:tabs>
          <w:tab w:val="left" w:pos="1260"/>
        </w:tabs>
        <w:spacing w:line="276" w:lineRule="auto"/>
        <w:jc w:val="both"/>
      </w:pPr>
      <w:r>
        <w:t>Nga verifikimi i dokumentacionit bashk</w:t>
      </w:r>
      <w:r w:rsidR="00D07E7E">
        <w:t>ë</w:t>
      </w:r>
      <w:r>
        <w:t>lidhur ankimit dhe t</w:t>
      </w:r>
      <w:r w:rsidR="00D07E7E">
        <w:t>ë</w:t>
      </w:r>
      <w:r>
        <w:t xml:space="preserve"> dh</w:t>
      </w:r>
      <w:r w:rsidR="00D07E7E">
        <w:t>ë</w:t>
      </w:r>
      <w:r>
        <w:t>nave n</w:t>
      </w:r>
      <w:r w:rsidR="00D07E7E">
        <w:t>ë</w:t>
      </w:r>
      <w:r>
        <w:t xml:space="preserve"> sistemin tatimor informatik (cats) rezulton se t</w:t>
      </w:r>
      <w:r w:rsidRPr="00EE7F93">
        <w:t>atimpaguesi ka vendosur garancin</w:t>
      </w:r>
      <w:r>
        <w:t>ë</w:t>
      </w:r>
      <w:r w:rsidRPr="00EE7F93">
        <w:t xml:space="preserve"> bankare p</w:t>
      </w:r>
      <w:r>
        <w:t>ë</w:t>
      </w:r>
      <w:r w:rsidRPr="00EE7F93">
        <w:t>r vler</w:t>
      </w:r>
      <w:r>
        <w:t>ë</w:t>
      </w:r>
      <w:r w:rsidRPr="00EE7F93">
        <w:t>n 10.817.758 lek</w:t>
      </w:r>
      <w:r>
        <w:t>ë</w:t>
      </w:r>
      <w:r w:rsidRPr="00EE7F93">
        <w:t>, e cila mbulon vet</w:t>
      </w:r>
      <w:r>
        <w:t>ë</w:t>
      </w:r>
      <w:r w:rsidRPr="00EE7F93">
        <w:t>m detyrimet tatimore t</w:t>
      </w:r>
      <w:r>
        <w:t>ë</w:t>
      </w:r>
      <w:r w:rsidRPr="00EE7F93">
        <w:t xml:space="preserve"> ankimuara (duke p</w:t>
      </w:r>
      <w:r>
        <w:t>ë</w:t>
      </w:r>
      <w:r w:rsidRPr="00EE7F93">
        <w:t>rjashtuar kamat</w:t>
      </w:r>
      <w:r>
        <w:t>ë</w:t>
      </w:r>
      <w:r w:rsidRPr="00EE7F93">
        <w:t>vonesat dhe gjobat). Nd</w:t>
      </w:r>
      <w:r>
        <w:t>ë</w:t>
      </w:r>
      <w:r w:rsidRPr="00EE7F93">
        <w:t>rsa detyrimet totale t</w:t>
      </w:r>
      <w:r>
        <w:t>ë</w:t>
      </w:r>
      <w:r w:rsidRPr="00EE7F93">
        <w:t xml:space="preserve"> p</w:t>
      </w:r>
      <w:r>
        <w:t>ë</w:t>
      </w:r>
      <w:r w:rsidRPr="00EE7F93">
        <w:t>rcaktuara n</w:t>
      </w:r>
      <w:r>
        <w:t>ë</w:t>
      </w:r>
      <w:r w:rsidRPr="00EE7F93">
        <w:t xml:space="preserve"> njoftim vler</w:t>
      </w:r>
      <w:r>
        <w:t>ë</w:t>
      </w:r>
      <w:r w:rsidRPr="00EE7F93">
        <w:t xml:space="preserve">simin </w:t>
      </w:r>
      <w:r w:rsidR="00CC5655">
        <w:t>e ankimuar</w:t>
      </w:r>
      <w:r w:rsidRPr="00EE7F93">
        <w:t xml:space="preserve"> (duke p</w:t>
      </w:r>
      <w:r>
        <w:t>ë</w:t>
      </w:r>
      <w:r w:rsidRPr="00EE7F93">
        <w:t>rjashtuar kamat</w:t>
      </w:r>
      <w:r>
        <w:t>ë</w:t>
      </w:r>
      <w:r w:rsidRPr="00EE7F93">
        <w:t>vonesat dhe gjobat) jan</w:t>
      </w:r>
      <w:r>
        <w:t>ë</w:t>
      </w:r>
      <w:r w:rsidRPr="00EE7F93">
        <w:t xml:space="preserve"> n</w:t>
      </w:r>
      <w:r>
        <w:t>ë</w:t>
      </w:r>
      <w:r w:rsidRPr="00EE7F93">
        <w:t xml:space="preserve"> vler</w:t>
      </w:r>
      <w:r>
        <w:t>ë</w:t>
      </w:r>
      <w:r w:rsidRPr="00EE7F93">
        <w:t>n 13,405,833 lek</w:t>
      </w:r>
      <w:r>
        <w:t>ë</w:t>
      </w:r>
      <w:r w:rsidRPr="00EE7F93">
        <w:t>.</w:t>
      </w:r>
      <w:r>
        <w:t xml:space="preserve"> </w:t>
      </w:r>
    </w:p>
    <w:p w:rsidR="00614243" w:rsidRDefault="00614243" w:rsidP="00EE7F93">
      <w:pPr>
        <w:tabs>
          <w:tab w:val="left" w:pos="1260"/>
        </w:tabs>
        <w:spacing w:line="276" w:lineRule="auto"/>
        <w:jc w:val="both"/>
      </w:pPr>
    </w:p>
    <w:p w:rsidR="00EE7F93" w:rsidRDefault="00EE7F93" w:rsidP="00EE7F93">
      <w:pPr>
        <w:tabs>
          <w:tab w:val="left" w:pos="1260"/>
        </w:tabs>
        <w:spacing w:line="276" w:lineRule="auto"/>
        <w:jc w:val="both"/>
      </w:pPr>
      <w:r>
        <w:t>P</w:t>
      </w:r>
      <w:r w:rsidR="00D07E7E">
        <w:t>ë</w:t>
      </w:r>
      <w:r>
        <w:t>r diferenc</w:t>
      </w:r>
      <w:r w:rsidR="00D07E7E">
        <w:t>ë</w:t>
      </w:r>
      <w:r>
        <w:t>n n</w:t>
      </w:r>
      <w:r w:rsidR="00D07E7E">
        <w:t>ë</w:t>
      </w:r>
      <w:r>
        <w:t xml:space="preserve"> vler</w:t>
      </w:r>
      <w:r w:rsidR="00D07E7E">
        <w:t>ë</w:t>
      </w:r>
      <w:r>
        <w:t>n 2.588.075 lek</w:t>
      </w:r>
      <w:r w:rsidR="00D07E7E">
        <w:t>ë</w:t>
      </w:r>
      <w:r>
        <w:t xml:space="preserve">, </w:t>
      </w:r>
      <w:r w:rsidR="00614243">
        <w:t xml:space="preserve">rezulton se deri në përfundim të afatit të ankimit, nuk është paguar (referuar të dhënave në sistemin tatimor informatik) dhe nuk është vendosur </w:t>
      </w:r>
      <w:r>
        <w:t>garanci</w:t>
      </w:r>
      <w:r w:rsidR="00614243">
        <w:t>a</w:t>
      </w:r>
      <w:r>
        <w:t xml:space="preserve"> bankare.</w:t>
      </w:r>
    </w:p>
    <w:p w:rsidR="00614243" w:rsidRDefault="00614243" w:rsidP="00EE7F93">
      <w:pPr>
        <w:tabs>
          <w:tab w:val="left" w:pos="1260"/>
        </w:tabs>
        <w:spacing w:line="276" w:lineRule="auto"/>
        <w:jc w:val="both"/>
      </w:pPr>
    </w:p>
    <w:p w:rsidR="00BC3F22" w:rsidRPr="00EE7F93" w:rsidRDefault="00BC3F22" w:rsidP="00BC3F22">
      <w:pPr>
        <w:pStyle w:val="Header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EE7F93">
        <w:rPr>
          <w:rFonts w:ascii="Times New Roman" w:hAnsi="Times New Roman" w:cs="Times New Roman"/>
          <w:bCs/>
          <w:sz w:val="24"/>
          <w:szCs w:val="24"/>
          <w:lang w:eastAsia="ja-JP"/>
        </w:rPr>
        <w:t>Sa më sipër, pasi konstaton se detyrimi i plotë i përcaktuar në njoftim vlerësimin e ankimuar nuk është paguar nga tatimpaguesi dhe nuk është vendosur garanci bankare</w:t>
      </w:r>
      <w:r w:rsidR="00EE7F93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brenda afatit të ankimit</w:t>
      </w:r>
      <w:r w:rsidRPr="00EE7F93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, DAT refuzon ankimin, bazuar në paragrafin 107.3.1 të Udhëzimit nr. 24, datë 02.09.2008 </w:t>
      </w:r>
      <w:r w:rsidRPr="00EE7F93">
        <w:rPr>
          <w:rFonts w:ascii="Times New Roman" w:hAnsi="Times New Roman" w:cs="Times New Roman"/>
          <w:sz w:val="24"/>
          <w:szCs w:val="24"/>
        </w:rPr>
        <w:t xml:space="preserve">“Për Procedurat Tatimore në RSH”, ku është përcaktuar se </w:t>
      </w:r>
      <w:r w:rsidRPr="00EE7F93">
        <w:rPr>
          <w:rFonts w:ascii="Times New Roman" w:hAnsi="Times New Roman" w:cs="Times New Roman"/>
          <w:i/>
          <w:sz w:val="24"/>
          <w:szCs w:val="24"/>
        </w:rPr>
        <w:t>“Në qoftë se tatimpaguesi nuk paguan shumën e caktuar para skadimit të afatit të ankimit, ose nuk vendos garancinë bankare, ankimi konsiderohet i papranueshëm dhe refuzohet”.</w:t>
      </w:r>
    </w:p>
    <w:p w:rsidR="00EE7F93" w:rsidRDefault="00EE7F93" w:rsidP="00EE7F93">
      <w:pPr>
        <w:pStyle w:val="Header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E7F93" w:rsidRPr="00E05379" w:rsidRDefault="00EE7F93" w:rsidP="00EE7F93">
      <w:pPr>
        <w:pStyle w:val="Header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79">
        <w:rPr>
          <w:rFonts w:ascii="Times New Roman" w:hAnsi="Times New Roman" w:cs="Times New Roman"/>
          <w:bCs/>
          <w:sz w:val="24"/>
          <w:szCs w:val="24"/>
        </w:rPr>
        <w:t>Sa më sipër</w:t>
      </w:r>
      <w:r w:rsidRPr="00E0537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05379">
        <w:rPr>
          <w:rFonts w:ascii="Times New Roman" w:hAnsi="Times New Roman" w:cs="Times New Roman"/>
          <w:sz w:val="24"/>
          <w:szCs w:val="24"/>
        </w:rPr>
        <w:t>Drejtoria e Apelimit Tatimor, në zbatim të nenit 108, pika 3 të Ligjit nr. 9920 datë 19.05.2008, “Për Procedurat Tatimore në RSH” dhe pikës 108.3.3 gërma (a), të Udhëzimit të Ministrit të Financave nr. 24 datë 02.09.2008, i nxjerrë në bazë dhe për zbatim të këtij ligji,</w:t>
      </w:r>
    </w:p>
    <w:p w:rsidR="00EE7F93" w:rsidRPr="00E05379" w:rsidRDefault="00EE7F93" w:rsidP="00EE7F93">
      <w:pPr>
        <w:pStyle w:val="Header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F93" w:rsidRPr="00E05379" w:rsidRDefault="00EE7F93" w:rsidP="00EE7F93">
      <w:pPr>
        <w:spacing w:line="276" w:lineRule="auto"/>
        <w:jc w:val="both"/>
        <w:rPr>
          <w:b/>
          <w:u w:val="single"/>
        </w:rPr>
      </w:pPr>
      <w:r w:rsidRPr="00E05379">
        <w:rPr>
          <w:b/>
        </w:rPr>
        <w:t xml:space="preserve">                                                          </w:t>
      </w:r>
      <w:r w:rsidRPr="00E05379">
        <w:rPr>
          <w:b/>
          <w:u w:val="single"/>
        </w:rPr>
        <w:t xml:space="preserve">V E N D O S I </w:t>
      </w:r>
    </w:p>
    <w:p w:rsidR="00EE7F93" w:rsidRPr="00E05379" w:rsidRDefault="00EE7F93" w:rsidP="00EE7F93">
      <w:pPr>
        <w:spacing w:line="276" w:lineRule="auto"/>
        <w:jc w:val="both"/>
        <w:rPr>
          <w:b/>
        </w:rPr>
      </w:pPr>
    </w:p>
    <w:p w:rsidR="00EE7F93" w:rsidRPr="00E05379" w:rsidRDefault="00EE7F93" w:rsidP="00D07E7E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79">
        <w:rPr>
          <w:rFonts w:ascii="Times New Roman" w:hAnsi="Times New Roman" w:cs="Times New Roman"/>
          <w:b/>
          <w:sz w:val="24"/>
          <w:szCs w:val="24"/>
        </w:rPr>
        <w:t xml:space="preserve">Refuzimin e ankimit </w:t>
      </w:r>
      <w:r w:rsidRPr="00E05379">
        <w:rPr>
          <w:rFonts w:ascii="Times New Roman" w:hAnsi="Times New Roman" w:cs="Times New Roman"/>
          <w:sz w:val="24"/>
          <w:szCs w:val="24"/>
        </w:rPr>
        <w:t xml:space="preserve">ndaj </w:t>
      </w:r>
      <w:r w:rsidR="00D07E7E" w:rsidRPr="00D07E7E">
        <w:rPr>
          <w:rFonts w:ascii="Times New Roman" w:hAnsi="Times New Roman" w:cs="Times New Roman"/>
          <w:sz w:val="24"/>
          <w:szCs w:val="24"/>
        </w:rPr>
        <w:t xml:space="preserve">njoftim vlerësimit për detyrimet tatimore </w:t>
      </w:r>
      <w:r w:rsidRPr="00E05379">
        <w:rPr>
          <w:rFonts w:ascii="Times New Roman" w:hAnsi="Times New Roman" w:cs="Times New Roman"/>
          <w:sz w:val="24"/>
          <w:szCs w:val="24"/>
        </w:rPr>
        <w:t xml:space="preserve">për shkak se nuk është kryer pagesa dhe nuk është vendosur garanci bankare, në lidhje me detyrimin </w:t>
      </w:r>
      <w:r w:rsidR="00614243">
        <w:rPr>
          <w:rFonts w:ascii="Times New Roman" w:hAnsi="Times New Roman" w:cs="Times New Roman"/>
          <w:sz w:val="24"/>
          <w:szCs w:val="24"/>
        </w:rPr>
        <w:t xml:space="preserve">e plotë </w:t>
      </w:r>
      <w:r w:rsidRPr="00E05379">
        <w:rPr>
          <w:rFonts w:ascii="Times New Roman" w:hAnsi="Times New Roman" w:cs="Times New Roman"/>
          <w:sz w:val="24"/>
          <w:szCs w:val="24"/>
        </w:rPr>
        <w:t>tatimor të përcaktuar në njoftim vlerësimin e ankimuar brënda</w:t>
      </w:r>
      <w:r w:rsidR="00D07E7E">
        <w:rPr>
          <w:rFonts w:ascii="Times New Roman" w:hAnsi="Times New Roman" w:cs="Times New Roman"/>
          <w:sz w:val="24"/>
          <w:szCs w:val="24"/>
        </w:rPr>
        <w:t xml:space="preserve"> afatit të ankimit</w:t>
      </w:r>
    </w:p>
    <w:p w:rsidR="00EE7F93" w:rsidRPr="00E05379" w:rsidRDefault="00EE7F93" w:rsidP="00EE7F93">
      <w:pPr>
        <w:spacing w:line="276" w:lineRule="auto"/>
        <w:jc w:val="both"/>
      </w:pPr>
    </w:p>
    <w:p w:rsidR="00EE7F93" w:rsidRPr="00E05379" w:rsidRDefault="00EE7F93" w:rsidP="00EE7F93">
      <w:pPr>
        <w:pStyle w:val="Default"/>
        <w:spacing w:line="276" w:lineRule="auto"/>
        <w:jc w:val="both"/>
        <w:rPr>
          <w:rFonts w:ascii="Times New Roman" w:hAnsi="Times New Roman" w:cs="Times New Roman"/>
          <w:lang w:val="sq-AL"/>
        </w:rPr>
      </w:pPr>
      <w:r w:rsidRPr="00E05379">
        <w:rPr>
          <w:rFonts w:ascii="Times New Roman" w:hAnsi="Times New Roman" w:cs="Times New Roman"/>
          <w:lang w:val="sq-AL"/>
        </w:rPr>
        <w:t>Bazuar në Ligjin n</w:t>
      </w:r>
      <w:r w:rsidRPr="00E05379">
        <w:rPr>
          <w:rFonts w:ascii="Times New Roman" w:hAnsi="Times New Roman" w:cs="Times New Roman"/>
          <w:bCs/>
          <w:lang w:val="sq-AL"/>
        </w:rPr>
        <w:t xml:space="preserve">r. 9920, datë 19.5.2008 </w:t>
      </w:r>
      <w:r w:rsidRPr="00E05379">
        <w:rPr>
          <w:rFonts w:ascii="Times New Roman" w:hAnsi="Times New Roman" w:cs="Times New Roman"/>
          <w:lang w:val="sq-AL"/>
        </w:rPr>
        <w:t>“</w:t>
      </w:r>
      <w:r w:rsidRPr="00E05379">
        <w:rPr>
          <w:rFonts w:ascii="Times New Roman" w:hAnsi="Times New Roman" w:cs="Times New Roman"/>
          <w:bCs/>
          <w:lang w:val="sq-AL"/>
        </w:rPr>
        <w:t>Per Procedurat Tatimore në R.Sh”</w:t>
      </w:r>
      <w:r w:rsidRPr="00E05379">
        <w:rPr>
          <w:rFonts w:ascii="Times New Roman" w:hAnsi="Times New Roman" w:cs="Times New Roman"/>
          <w:lang w:val="sq-AL"/>
        </w:rPr>
        <w:t xml:space="preserve">, neni 109, pika 2, tatimpaguesi mund t’a kundërshtojë vendimin e Drejtorisë së Apelimit Tatimor  në gjykatën administrative, brenda 30 ditëve kalendarike nga data e marrjes dijeni për këtë vendim. </w:t>
      </w:r>
    </w:p>
    <w:p w:rsidR="003C3207" w:rsidRDefault="003C3207" w:rsidP="0017716A">
      <w:pPr>
        <w:widowControl w:val="0"/>
        <w:spacing w:line="276" w:lineRule="auto"/>
        <w:ind w:left="851" w:hanging="851"/>
        <w:jc w:val="both"/>
      </w:pPr>
    </w:p>
    <w:p w:rsidR="000729A1" w:rsidRPr="00EE7F93" w:rsidRDefault="00EE7F93" w:rsidP="002A48CC">
      <w:pPr>
        <w:widowControl w:val="0"/>
        <w:spacing w:line="276" w:lineRule="auto"/>
        <w:ind w:left="3600" w:firstLine="720"/>
        <w:jc w:val="both"/>
        <w:rPr>
          <w:b/>
        </w:rPr>
      </w:pPr>
      <w:r>
        <w:rPr>
          <w:b/>
        </w:rPr>
        <w:t xml:space="preserve">     </w:t>
      </w:r>
      <w:r w:rsidR="00C2639E" w:rsidRPr="00EE7F93">
        <w:rPr>
          <w:b/>
        </w:rPr>
        <w:t>DREJTOR I APELIMIT TATIMOR</w:t>
      </w:r>
    </w:p>
    <w:p w:rsidR="00C2639E" w:rsidRPr="00EE7F93" w:rsidRDefault="00C2639E" w:rsidP="000729A1">
      <w:pPr>
        <w:widowControl w:val="0"/>
        <w:spacing w:line="276" w:lineRule="auto"/>
        <w:jc w:val="both"/>
      </w:pPr>
      <w:bookmarkStart w:id="0" w:name="_GoBack"/>
      <w:bookmarkEnd w:id="0"/>
    </w:p>
    <w:sectPr w:rsidR="00C2639E" w:rsidRPr="00EE7F93" w:rsidSect="00D018E5">
      <w:footerReference w:type="default" r:id="rId9"/>
      <w:pgSz w:w="11907" w:h="16839" w:code="9"/>
      <w:pgMar w:top="709" w:right="1440" w:bottom="1440" w:left="1440" w:header="709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713" w:rsidRDefault="00D73713" w:rsidP="006725DD">
      <w:r>
        <w:separator/>
      </w:r>
    </w:p>
  </w:endnote>
  <w:endnote w:type="continuationSeparator" w:id="0">
    <w:p w:rsidR="00D73713" w:rsidRDefault="00D73713" w:rsidP="0067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9A3" w:rsidRPr="006725DD" w:rsidRDefault="006C39A3" w:rsidP="006725DD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jc w:val="center"/>
      <w:rPr>
        <w:rFonts w:ascii="Times New Roman" w:hAnsi="Times New Roman" w:cs="Times New Roman"/>
        <w:noProof/>
        <w:color w:val="404040" w:themeColor="text1" w:themeTint="BF"/>
      </w:rPr>
    </w:pPr>
    <w:r w:rsidRPr="006725DD">
      <w:rPr>
        <w:rFonts w:ascii="Times New Roman" w:hAnsi="Times New Roman" w:cs="Times New Roman"/>
        <w:noProof/>
        <w:color w:val="404040" w:themeColor="text1" w:themeTint="BF"/>
      </w:rPr>
      <w:t xml:space="preserve">Bulevardi “Dëshmorët e Kombit”, nr. 3, </w:t>
    </w:r>
    <w:hyperlink r:id="rId1" w:history="1">
      <w:r w:rsidRPr="006725DD">
        <w:rPr>
          <w:rStyle w:val="Hyperlink"/>
          <w:rFonts w:ascii="Times New Roman" w:hAnsi="Times New Roman" w:cs="Times New Roman"/>
          <w:noProof/>
        </w:rPr>
        <w:t>www.financa.gov.al</w:t>
      </w:r>
    </w:hyperlink>
    <w:r w:rsidR="00245AA1">
      <w:rPr>
        <w:rFonts w:ascii="Times New Roman" w:hAnsi="Times New Roman" w:cs="Times New Roman"/>
        <w:noProof/>
        <w:color w:val="404040" w:themeColor="text1" w:themeTint="BF"/>
      </w:rPr>
      <w:t xml:space="preserve">,                              </w:t>
    </w:r>
    <w:r w:rsidR="000E0A88" w:rsidRPr="006725DD">
      <w:rPr>
        <w:rFonts w:ascii="Times New Roman" w:hAnsi="Times New Roman" w:cs="Times New Roman"/>
        <w:noProof/>
        <w:color w:val="404040" w:themeColor="text1" w:themeTint="BF"/>
      </w:rPr>
      <w:fldChar w:fldCharType="begin"/>
    </w:r>
    <w:r w:rsidRPr="006725DD">
      <w:rPr>
        <w:rFonts w:ascii="Times New Roman" w:hAnsi="Times New Roman" w:cs="Times New Roman"/>
        <w:noProof/>
        <w:color w:val="404040" w:themeColor="text1" w:themeTint="BF"/>
      </w:rPr>
      <w:instrText xml:space="preserve"> PAGE   \* MERGEFORMAT </w:instrText>
    </w:r>
    <w:r w:rsidR="000E0A88" w:rsidRPr="006725DD">
      <w:rPr>
        <w:rFonts w:ascii="Times New Roman" w:hAnsi="Times New Roman" w:cs="Times New Roman"/>
        <w:noProof/>
        <w:color w:val="404040" w:themeColor="text1" w:themeTint="BF"/>
      </w:rPr>
      <w:fldChar w:fldCharType="separate"/>
    </w:r>
    <w:r w:rsidR="00D018E5">
      <w:rPr>
        <w:rFonts w:ascii="Times New Roman" w:hAnsi="Times New Roman" w:cs="Times New Roman"/>
        <w:noProof/>
        <w:color w:val="404040" w:themeColor="text1" w:themeTint="BF"/>
      </w:rPr>
      <w:t>3</w:t>
    </w:r>
    <w:r w:rsidR="000E0A88" w:rsidRPr="006725DD">
      <w:rPr>
        <w:rFonts w:ascii="Times New Roman" w:hAnsi="Times New Roman" w:cs="Times New Roman"/>
        <w:noProof/>
        <w:color w:val="404040" w:themeColor="text1" w:themeTint="BF"/>
      </w:rPr>
      <w:fldChar w:fldCharType="end"/>
    </w:r>
  </w:p>
  <w:p w:rsidR="006C39A3" w:rsidRDefault="006C39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713" w:rsidRDefault="00D73713" w:rsidP="006725DD">
      <w:r>
        <w:separator/>
      </w:r>
    </w:p>
  </w:footnote>
  <w:footnote w:type="continuationSeparator" w:id="0">
    <w:p w:rsidR="00D73713" w:rsidRDefault="00D73713" w:rsidP="00672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1247D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117A73"/>
    <w:multiLevelType w:val="hybridMultilevel"/>
    <w:tmpl w:val="273ECF5A"/>
    <w:lvl w:ilvl="0" w:tplc="918E93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0412B"/>
    <w:multiLevelType w:val="hybridMultilevel"/>
    <w:tmpl w:val="A03EE2E4"/>
    <w:lvl w:ilvl="0" w:tplc="5022930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075C1"/>
    <w:multiLevelType w:val="hybridMultilevel"/>
    <w:tmpl w:val="71DEAF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62B49"/>
    <w:multiLevelType w:val="hybridMultilevel"/>
    <w:tmpl w:val="79A660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174E2"/>
    <w:multiLevelType w:val="hybridMultilevel"/>
    <w:tmpl w:val="C22830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6B4518"/>
    <w:multiLevelType w:val="hybridMultilevel"/>
    <w:tmpl w:val="B7A00F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F8103F"/>
    <w:multiLevelType w:val="hybridMultilevel"/>
    <w:tmpl w:val="09102E30"/>
    <w:lvl w:ilvl="0" w:tplc="502AC57E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4E430D"/>
    <w:multiLevelType w:val="hybridMultilevel"/>
    <w:tmpl w:val="DEECBBC6"/>
    <w:lvl w:ilvl="0" w:tplc="9C726A8C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535FE8"/>
    <w:multiLevelType w:val="hybridMultilevel"/>
    <w:tmpl w:val="4D2052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B804B8"/>
    <w:multiLevelType w:val="hybridMultilevel"/>
    <w:tmpl w:val="27D690DC"/>
    <w:lvl w:ilvl="0" w:tplc="A52401F4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206BD4"/>
    <w:multiLevelType w:val="hybridMultilevel"/>
    <w:tmpl w:val="084A547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3C5795"/>
    <w:multiLevelType w:val="hybridMultilevel"/>
    <w:tmpl w:val="687AAA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E819DF"/>
    <w:multiLevelType w:val="hybridMultilevel"/>
    <w:tmpl w:val="747A02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FD5A03"/>
    <w:multiLevelType w:val="hybridMultilevel"/>
    <w:tmpl w:val="B81469D8"/>
    <w:lvl w:ilvl="0" w:tplc="FFD2CF9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D0546E"/>
    <w:multiLevelType w:val="hybridMultilevel"/>
    <w:tmpl w:val="F0080EB8"/>
    <w:lvl w:ilvl="0" w:tplc="3962EEB4">
      <w:start w:val="964"/>
      <w:numFmt w:val="bullet"/>
      <w:lvlText w:val="-"/>
      <w:lvlJc w:val="left"/>
      <w:pPr>
        <w:ind w:left="54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14"/>
  </w:num>
  <w:num w:numId="5">
    <w:abstractNumId w:val="12"/>
  </w:num>
  <w:num w:numId="6">
    <w:abstractNumId w:val="2"/>
  </w:num>
  <w:num w:numId="7">
    <w:abstractNumId w:val="10"/>
  </w:num>
  <w:num w:numId="8">
    <w:abstractNumId w:val="0"/>
  </w:num>
  <w:num w:numId="9">
    <w:abstractNumId w:val="3"/>
  </w:num>
  <w:num w:numId="10">
    <w:abstractNumId w:val="5"/>
  </w:num>
  <w:num w:numId="11">
    <w:abstractNumId w:val="1"/>
  </w:num>
  <w:num w:numId="12">
    <w:abstractNumId w:val="9"/>
  </w:num>
  <w:num w:numId="13">
    <w:abstractNumId w:val="4"/>
  </w:num>
  <w:num w:numId="14">
    <w:abstractNumId w:val="8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051"/>
    <w:rsid w:val="000008C0"/>
    <w:rsid w:val="000045A5"/>
    <w:rsid w:val="000125AF"/>
    <w:rsid w:val="00012A59"/>
    <w:rsid w:val="000145E9"/>
    <w:rsid w:val="0001605C"/>
    <w:rsid w:val="0002102E"/>
    <w:rsid w:val="00023A63"/>
    <w:rsid w:val="000435B1"/>
    <w:rsid w:val="00047DC1"/>
    <w:rsid w:val="00051490"/>
    <w:rsid w:val="00052A68"/>
    <w:rsid w:val="000530E2"/>
    <w:rsid w:val="000562B4"/>
    <w:rsid w:val="00062F49"/>
    <w:rsid w:val="00066696"/>
    <w:rsid w:val="00070B71"/>
    <w:rsid w:val="00070BF3"/>
    <w:rsid w:val="000729A1"/>
    <w:rsid w:val="0008175F"/>
    <w:rsid w:val="000834A7"/>
    <w:rsid w:val="0009239C"/>
    <w:rsid w:val="00097176"/>
    <w:rsid w:val="000A38D6"/>
    <w:rsid w:val="000A49EC"/>
    <w:rsid w:val="000B24F4"/>
    <w:rsid w:val="000E0A88"/>
    <w:rsid w:val="000F3CA1"/>
    <w:rsid w:val="0010030A"/>
    <w:rsid w:val="0010209D"/>
    <w:rsid w:val="00104B84"/>
    <w:rsid w:val="001108B7"/>
    <w:rsid w:val="00114281"/>
    <w:rsid w:val="00116242"/>
    <w:rsid w:val="001636CD"/>
    <w:rsid w:val="001643BB"/>
    <w:rsid w:val="001734CD"/>
    <w:rsid w:val="00173903"/>
    <w:rsid w:val="0017716A"/>
    <w:rsid w:val="00187CA9"/>
    <w:rsid w:val="00191024"/>
    <w:rsid w:val="0019543B"/>
    <w:rsid w:val="0019779F"/>
    <w:rsid w:val="001A3EA2"/>
    <w:rsid w:val="001A6468"/>
    <w:rsid w:val="001C0616"/>
    <w:rsid w:val="001C5D21"/>
    <w:rsid w:val="001D35F4"/>
    <w:rsid w:val="001E5E51"/>
    <w:rsid w:val="001F61D5"/>
    <w:rsid w:val="001F68B2"/>
    <w:rsid w:val="001F7DB1"/>
    <w:rsid w:val="00205904"/>
    <w:rsid w:val="00210701"/>
    <w:rsid w:val="00214ECE"/>
    <w:rsid w:val="002160CD"/>
    <w:rsid w:val="00220923"/>
    <w:rsid w:val="00226A1F"/>
    <w:rsid w:val="00230104"/>
    <w:rsid w:val="0023413F"/>
    <w:rsid w:val="00236A33"/>
    <w:rsid w:val="00242C9E"/>
    <w:rsid w:val="00245AA1"/>
    <w:rsid w:val="00261000"/>
    <w:rsid w:val="002628DA"/>
    <w:rsid w:val="00263CE7"/>
    <w:rsid w:val="00270D36"/>
    <w:rsid w:val="00285D28"/>
    <w:rsid w:val="0029194E"/>
    <w:rsid w:val="00293251"/>
    <w:rsid w:val="00294E36"/>
    <w:rsid w:val="002A48CC"/>
    <w:rsid w:val="002A7F6C"/>
    <w:rsid w:val="002C0A53"/>
    <w:rsid w:val="002C3AB6"/>
    <w:rsid w:val="002C60DA"/>
    <w:rsid w:val="002E3652"/>
    <w:rsid w:val="002E4421"/>
    <w:rsid w:val="002F284E"/>
    <w:rsid w:val="003072D8"/>
    <w:rsid w:val="00311F3C"/>
    <w:rsid w:val="00316D98"/>
    <w:rsid w:val="003234AC"/>
    <w:rsid w:val="00325496"/>
    <w:rsid w:val="00332315"/>
    <w:rsid w:val="00341B2C"/>
    <w:rsid w:val="00367B36"/>
    <w:rsid w:val="003766A4"/>
    <w:rsid w:val="003A36C1"/>
    <w:rsid w:val="003C3207"/>
    <w:rsid w:val="003D2690"/>
    <w:rsid w:val="003E4697"/>
    <w:rsid w:val="00400AF9"/>
    <w:rsid w:val="0042152D"/>
    <w:rsid w:val="0042493F"/>
    <w:rsid w:val="00426317"/>
    <w:rsid w:val="0043006E"/>
    <w:rsid w:val="004332AD"/>
    <w:rsid w:val="00454BB6"/>
    <w:rsid w:val="00455067"/>
    <w:rsid w:val="00466008"/>
    <w:rsid w:val="0046772A"/>
    <w:rsid w:val="00481806"/>
    <w:rsid w:val="00492E31"/>
    <w:rsid w:val="004A6C9D"/>
    <w:rsid w:val="004B0D3E"/>
    <w:rsid w:val="004B1B59"/>
    <w:rsid w:val="004B2D89"/>
    <w:rsid w:val="004C0797"/>
    <w:rsid w:val="004C599E"/>
    <w:rsid w:val="004D558B"/>
    <w:rsid w:val="004D5847"/>
    <w:rsid w:val="004E6F5D"/>
    <w:rsid w:val="004F4FAF"/>
    <w:rsid w:val="005003D6"/>
    <w:rsid w:val="00507A25"/>
    <w:rsid w:val="00517051"/>
    <w:rsid w:val="0051712A"/>
    <w:rsid w:val="0052289B"/>
    <w:rsid w:val="005318EC"/>
    <w:rsid w:val="00535E87"/>
    <w:rsid w:val="0053790E"/>
    <w:rsid w:val="005445DE"/>
    <w:rsid w:val="00557033"/>
    <w:rsid w:val="005607CA"/>
    <w:rsid w:val="00586CD0"/>
    <w:rsid w:val="005966A8"/>
    <w:rsid w:val="005A410C"/>
    <w:rsid w:val="005A673E"/>
    <w:rsid w:val="005B2E8E"/>
    <w:rsid w:val="005C6645"/>
    <w:rsid w:val="005D1F8E"/>
    <w:rsid w:val="005D4586"/>
    <w:rsid w:val="005E3E4A"/>
    <w:rsid w:val="005E6B21"/>
    <w:rsid w:val="005F49AF"/>
    <w:rsid w:val="005F7387"/>
    <w:rsid w:val="00614243"/>
    <w:rsid w:val="0061795A"/>
    <w:rsid w:val="00632C4F"/>
    <w:rsid w:val="00643FAC"/>
    <w:rsid w:val="00651E03"/>
    <w:rsid w:val="006614F4"/>
    <w:rsid w:val="006725DD"/>
    <w:rsid w:val="006862EC"/>
    <w:rsid w:val="006951AF"/>
    <w:rsid w:val="006B0659"/>
    <w:rsid w:val="006B630B"/>
    <w:rsid w:val="006C39A3"/>
    <w:rsid w:val="006C6398"/>
    <w:rsid w:val="006C6CCF"/>
    <w:rsid w:val="006C6D1B"/>
    <w:rsid w:val="006C7CC9"/>
    <w:rsid w:val="006E3E08"/>
    <w:rsid w:val="006F0530"/>
    <w:rsid w:val="006F1A54"/>
    <w:rsid w:val="00704C61"/>
    <w:rsid w:val="00707FB0"/>
    <w:rsid w:val="007136A1"/>
    <w:rsid w:val="00724479"/>
    <w:rsid w:val="00730F1E"/>
    <w:rsid w:val="00733AF8"/>
    <w:rsid w:val="007449D8"/>
    <w:rsid w:val="00744D0F"/>
    <w:rsid w:val="00755BDF"/>
    <w:rsid w:val="00757DBB"/>
    <w:rsid w:val="0076045A"/>
    <w:rsid w:val="0079459D"/>
    <w:rsid w:val="007A704C"/>
    <w:rsid w:val="007B214A"/>
    <w:rsid w:val="007B6AFD"/>
    <w:rsid w:val="007D2FEC"/>
    <w:rsid w:val="007E05E5"/>
    <w:rsid w:val="007E17F0"/>
    <w:rsid w:val="007E261C"/>
    <w:rsid w:val="007E5E76"/>
    <w:rsid w:val="007E76BD"/>
    <w:rsid w:val="007F2BDE"/>
    <w:rsid w:val="007F3B6C"/>
    <w:rsid w:val="007F5679"/>
    <w:rsid w:val="00810948"/>
    <w:rsid w:val="0081371F"/>
    <w:rsid w:val="00816037"/>
    <w:rsid w:val="008162D6"/>
    <w:rsid w:val="00826E08"/>
    <w:rsid w:val="008409F9"/>
    <w:rsid w:val="00841E95"/>
    <w:rsid w:val="0085441A"/>
    <w:rsid w:val="00865E78"/>
    <w:rsid w:val="00873364"/>
    <w:rsid w:val="008827B7"/>
    <w:rsid w:val="008956ED"/>
    <w:rsid w:val="008A013D"/>
    <w:rsid w:val="008A364A"/>
    <w:rsid w:val="008A3D47"/>
    <w:rsid w:val="008C2084"/>
    <w:rsid w:val="008D3BE9"/>
    <w:rsid w:val="008E10FF"/>
    <w:rsid w:val="008E307C"/>
    <w:rsid w:val="008E5C83"/>
    <w:rsid w:val="008F12E6"/>
    <w:rsid w:val="008F4166"/>
    <w:rsid w:val="008F681C"/>
    <w:rsid w:val="009075C8"/>
    <w:rsid w:val="0091161F"/>
    <w:rsid w:val="00934192"/>
    <w:rsid w:val="00942093"/>
    <w:rsid w:val="009506D0"/>
    <w:rsid w:val="00952079"/>
    <w:rsid w:val="009533D4"/>
    <w:rsid w:val="00983BB3"/>
    <w:rsid w:val="00993F6B"/>
    <w:rsid w:val="009969D9"/>
    <w:rsid w:val="009A10B8"/>
    <w:rsid w:val="009A18C2"/>
    <w:rsid w:val="009A3A8B"/>
    <w:rsid w:val="009A6CB6"/>
    <w:rsid w:val="009A7464"/>
    <w:rsid w:val="009B4F0F"/>
    <w:rsid w:val="009C2841"/>
    <w:rsid w:val="009C4B26"/>
    <w:rsid w:val="009D5C8C"/>
    <w:rsid w:val="009E3B33"/>
    <w:rsid w:val="009E4435"/>
    <w:rsid w:val="009F45D2"/>
    <w:rsid w:val="00A00C80"/>
    <w:rsid w:val="00A16DD1"/>
    <w:rsid w:val="00A17A60"/>
    <w:rsid w:val="00A20D4D"/>
    <w:rsid w:val="00A25BC9"/>
    <w:rsid w:val="00A440DA"/>
    <w:rsid w:val="00A44B6D"/>
    <w:rsid w:val="00A51C8C"/>
    <w:rsid w:val="00A547B3"/>
    <w:rsid w:val="00A558A5"/>
    <w:rsid w:val="00A7680E"/>
    <w:rsid w:val="00A76EE6"/>
    <w:rsid w:val="00A804DA"/>
    <w:rsid w:val="00A91520"/>
    <w:rsid w:val="00A9669B"/>
    <w:rsid w:val="00AB2615"/>
    <w:rsid w:val="00AC3901"/>
    <w:rsid w:val="00AD2E11"/>
    <w:rsid w:val="00AE040E"/>
    <w:rsid w:val="00AE2F10"/>
    <w:rsid w:val="00B0583D"/>
    <w:rsid w:val="00B05A8D"/>
    <w:rsid w:val="00B1008B"/>
    <w:rsid w:val="00B10304"/>
    <w:rsid w:val="00B244D0"/>
    <w:rsid w:val="00B26142"/>
    <w:rsid w:val="00B30DF6"/>
    <w:rsid w:val="00B37CA4"/>
    <w:rsid w:val="00B405C3"/>
    <w:rsid w:val="00B43879"/>
    <w:rsid w:val="00B524AA"/>
    <w:rsid w:val="00B525CD"/>
    <w:rsid w:val="00B54154"/>
    <w:rsid w:val="00B61ACE"/>
    <w:rsid w:val="00B633D6"/>
    <w:rsid w:val="00B6418A"/>
    <w:rsid w:val="00B8453A"/>
    <w:rsid w:val="00BB40F9"/>
    <w:rsid w:val="00BC0428"/>
    <w:rsid w:val="00BC3F22"/>
    <w:rsid w:val="00BC416F"/>
    <w:rsid w:val="00BD73CF"/>
    <w:rsid w:val="00BF3EEE"/>
    <w:rsid w:val="00BF5F50"/>
    <w:rsid w:val="00C00A4B"/>
    <w:rsid w:val="00C2639E"/>
    <w:rsid w:val="00C30548"/>
    <w:rsid w:val="00C32090"/>
    <w:rsid w:val="00C545DD"/>
    <w:rsid w:val="00C551A3"/>
    <w:rsid w:val="00C61AB8"/>
    <w:rsid w:val="00C62507"/>
    <w:rsid w:val="00C639A3"/>
    <w:rsid w:val="00C6573F"/>
    <w:rsid w:val="00C73ADA"/>
    <w:rsid w:val="00C853D7"/>
    <w:rsid w:val="00C8548C"/>
    <w:rsid w:val="00C930B7"/>
    <w:rsid w:val="00C94B94"/>
    <w:rsid w:val="00CA0627"/>
    <w:rsid w:val="00CB1525"/>
    <w:rsid w:val="00CC35C5"/>
    <w:rsid w:val="00CC47A8"/>
    <w:rsid w:val="00CC5655"/>
    <w:rsid w:val="00CF4388"/>
    <w:rsid w:val="00D00E02"/>
    <w:rsid w:val="00D018E5"/>
    <w:rsid w:val="00D05FBB"/>
    <w:rsid w:val="00D07E7E"/>
    <w:rsid w:val="00D128F7"/>
    <w:rsid w:val="00D14DA6"/>
    <w:rsid w:val="00D172F8"/>
    <w:rsid w:val="00D17EF0"/>
    <w:rsid w:val="00D204C8"/>
    <w:rsid w:val="00D21C17"/>
    <w:rsid w:val="00D256E7"/>
    <w:rsid w:val="00D34F39"/>
    <w:rsid w:val="00D35369"/>
    <w:rsid w:val="00D4078A"/>
    <w:rsid w:val="00D46A0E"/>
    <w:rsid w:val="00D51DA4"/>
    <w:rsid w:val="00D56FDB"/>
    <w:rsid w:val="00D66A2B"/>
    <w:rsid w:val="00D73713"/>
    <w:rsid w:val="00D83612"/>
    <w:rsid w:val="00D83942"/>
    <w:rsid w:val="00D8542D"/>
    <w:rsid w:val="00D86F77"/>
    <w:rsid w:val="00D87D8A"/>
    <w:rsid w:val="00D87DFE"/>
    <w:rsid w:val="00D96FA9"/>
    <w:rsid w:val="00D97993"/>
    <w:rsid w:val="00DB22A7"/>
    <w:rsid w:val="00DB296F"/>
    <w:rsid w:val="00DC3C9E"/>
    <w:rsid w:val="00DC50D6"/>
    <w:rsid w:val="00DC5CF7"/>
    <w:rsid w:val="00DC61B1"/>
    <w:rsid w:val="00DD29CA"/>
    <w:rsid w:val="00DD7771"/>
    <w:rsid w:val="00DF0640"/>
    <w:rsid w:val="00DF2795"/>
    <w:rsid w:val="00DF5DCB"/>
    <w:rsid w:val="00DF5E65"/>
    <w:rsid w:val="00DF65DF"/>
    <w:rsid w:val="00E0463F"/>
    <w:rsid w:val="00E05379"/>
    <w:rsid w:val="00E063A1"/>
    <w:rsid w:val="00E06717"/>
    <w:rsid w:val="00E10D78"/>
    <w:rsid w:val="00E5790F"/>
    <w:rsid w:val="00E65442"/>
    <w:rsid w:val="00E677AE"/>
    <w:rsid w:val="00E87A31"/>
    <w:rsid w:val="00EA5A6E"/>
    <w:rsid w:val="00EA6959"/>
    <w:rsid w:val="00EB2F3E"/>
    <w:rsid w:val="00EB7A42"/>
    <w:rsid w:val="00EC6E58"/>
    <w:rsid w:val="00ED1328"/>
    <w:rsid w:val="00ED3244"/>
    <w:rsid w:val="00ED39E2"/>
    <w:rsid w:val="00EE078F"/>
    <w:rsid w:val="00EE1F15"/>
    <w:rsid w:val="00EE7F93"/>
    <w:rsid w:val="00EF1697"/>
    <w:rsid w:val="00EF4992"/>
    <w:rsid w:val="00F00171"/>
    <w:rsid w:val="00F0515C"/>
    <w:rsid w:val="00F13AC0"/>
    <w:rsid w:val="00F155F0"/>
    <w:rsid w:val="00F20E35"/>
    <w:rsid w:val="00F2301B"/>
    <w:rsid w:val="00F24123"/>
    <w:rsid w:val="00F25036"/>
    <w:rsid w:val="00F313E6"/>
    <w:rsid w:val="00F3391B"/>
    <w:rsid w:val="00F34480"/>
    <w:rsid w:val="00F44EAE"/>
    <w:rsid w:val="00F47094"/>
    <w:rsid w:val="00F47BA9"/>
    <w:rsid w:val="00F52595"/>
    <w:rsid w:val="00F56CD2"/>
    <w:rsid w:val="00F71535"/>
    <w:rsid w:val="00F754D7"/>
    <w:rsid w:val="00F8399C"/>
    <w:rsid w:val="00F85F00"/>
    <w:rsid w:val="00F86D06"/>
    <w:rsid w:val="00F918E0"/>
    <w:rsid w:val="00F95F82"/>
    <w:rsid w:val="00FA1429"/>
    <w:rsid w:val="00FA5AD5"/>
    <w:rsid w:val="00FA630A"/>
    <w:rsid w:val="00FA7872"/>
    <w:rsid w:val="00FB1C49"/>
    <w:rsid w:val="00FB49E6"/>
    <w:rsid w:val="00FB6A6C"/>
    <w:rsid w:val="00FC6DB3"/>
    <w:rsid w:val="00FD2077"/>
    <w:rsid w:val="00FD7B45"/>
    <w:rsid w:val="00FE51C8"/>
    <w:rsid w:val="00FE6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7D00BF-7864-4E04-A5E9-6EAD3F7A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aliases w:val=" Char,Char,Intestazione.int"/>
    <w:basedOn w:val="Normal"/>
    <w:link w:val="HeaderChar"/>
    <w:unhideWhenUsed/>
    <w:rsid w:val="006725D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aliases w:val=" Char Char,Char Char,Intestazione.int Char"/>
    <w:basedOn w:val="DefaultParagraphFont"/>
    <w:link w:val="Header"/>
    <w:rsid w:val="006725DD"/>
  </w:style>
  <w:style w:type="paragraph" w:styleId="Footer">
    <w:name w:val="footer"/>
    <w:basedOn w:val="Normal"/>
    <w:link w:val="FooterChar"/>
    <w:unhideWhenUsed/>
    <w:qFormat/>
    <w:rsid w:val="006725D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725DD"/>
  </w:style>
  <w:style w:type="character" w:styleId="Hyperlink">
    <w:name w:val="Hyperlink"/>
    <w:basedOn w:val="DefaultParagraphFont"/>
    <w:uiPriority w:val="99"/>
    <w:unhideWhenUsed/>
    <w:rsid w:val="006725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7C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">
    <w:name w:val="List Bullet"/>
    <w:basedOn w:val="Normal"/>
    <w:uiPriority w:val="99"/>
    <w:unhideWhenUsed/>
    <w:rsid w:val="00AD2E11"/>
    <w:pPr>
      <w:numPr>
        <w:numId w:val="8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2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910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191024"/>
    <w:pPr>
      <w:jc w:val="both"/>
    </w:pPr>
    <w:rPr>
      <w:rFonts w:ascii="Arial" w:eastAsia="MS Mincho" w:hAnsi="Arial"/>
      <w:noProof/>
      <w:szCs w:val="20"/>
    </w:rPr>
  </w:style>
  <w:style w:type="character" w:customStyle="1" w:styleId="BodyTextChar">
    <w:name w:val="Body Text Char"/>
    <w:basedOn w:val="DefaultParagraphFont"/>
    <w:link w:val="BodyText"/>
    <w:rsid w:val="00191024"/>
    <w:rPr>
      <w:rFonts w:ascii="Arial" w:eastAsia="MS Mincho" w:hAnsi="Arial" w:cs="Times New Roman"/>
      <w:noProof/>
      <w:sz w:val="24"/>
      <w:szCs w:val="20"/>
      <w:lang w:val="sq-AL"/>
    </w:rPr>
  </w:style>
  <w:style w:type="paragraph" w:styleId="NoSpacing">
    <w:name w:val="No Spacing"/>
    <w:uiPriority w:val="1"/>
    <w:qFormat/>
    <w:rsid w:val="00262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1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anc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F7452-C596-4759-B12C-0AB84CCA3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Julvit Shazivari</dc:creator>
  <cp:lastModifiedBy>julvit shazivari</cp:lastModifiedBy>
  <cp:revision>5</cp:revision>
  <cp:lastPrinted>2021-02-17T13:18:00Z</cp:lastPrinted>
  <dcterms:created xsi:type="dcterms:W3CDTF">2022-09-12T13:02:00Z</dcterms:created>
  <dcterms:modified xsi:type="dcterms:W3CDTF">2022-09-16T11:29:00Z</dcterms:modified>
</cp:coreProperties>
</file>