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E85" w:rsidRPr="00E50800" w:rsidRDefault="00453E85" w:rsidP="00453E85">
      <w:pPr>
        <w:spacing w:after="0" w:line="240" w:lineRule="auto"/>
        <w:jc w:val="center"/>
        <w:rPr>
          <w:rFonts w:ascii="Times New Roman" w:eastAsia="Times New Roman" w:hAnsi="Times New Roman" w:cs="Times New Roman"/>
          <w:b/>
          <w:bCs/>
          <w:sz w:val="24"/>
          <w:szCs w:val="24"/>
        </w:rPr>
      </w:pPr>
      <w:r w:rsidRPr="00E50800">
        <w:rPr>
          <w:rFonts w:ascii="Times New Roman" w:eastAsia="Times New Roman" w:hAnsi="Times New Roman" w:cs="Times New Roman"/>
          <w:b/>
          <w:bCs/>
          <w:sz w:val="24"/>
          <w:szCs w:val="24"/>
        </w:rPr>
        <w:t>REPUBLIKA E SHQIPËRISË</w:t>
      </w:r>
    </w:p>
    <w:p w:rsidR="00453E85" w:rsidRPr="00E50800" w:rsidRDefault="00453E85" w:rsidP="00453E85">
      <w:pPr>
        <w:spacing w:after="0" w:line="240" w:lineRule="auto"/>
        <w:jc w:val="center"/>
        <w:rPr>
          <w:rFonts w:ascii="Times New Roman" w:eastAsia="Calibri" w:hAnsi="Times New Roman" w:cs="Times New Roman"/>
          <w:bCs/>
          <w:sz w:val="24"/>
          <w:szCs w:val="24"/>
          <w:lang w:eastAsia="en-GB"/>
        </w:rPr>
      </w:pPr>
      <w:r w:rsidRPr="00E50800">
        <w:rPr>
          <w:rFonts w:ascii="Times New Roman" w:eastAsia="Calibri" w:hAnsi="Times New Roman" w:cs="Times New Roman"/>
          <w:b/>
          <w:bCs/>
          <w:sz w:val="24"/>
          <w:szCs w:val="24"/>
        </w:rPr>
        <w:t>KUVENDI</w:t>
      </w:r>
    </w:p>
    <w:p w:rsidR="003A38DC" w:rsidRPr="00E50800" w:rsidRDefault="003A38DC" w:rsidP="00453E85">
      <w:pPr>
        <w:spacing w:after="0"/>
        <w:rPr>
          <w:rFonts w:ascii="Times New Roman" w:eastAsia="Times New Roman" w:hAnsi="Times New Roman" w:cs="Times New Roman"/>
          <w:b/>
          <w:bCs/>
          <w:sz w:val="24"/>
          <w:szCs w:val="24"/>
        </w:rPr>
      </w:pPr>
    </w:p>
    <w:p w:rsidR="0086360A" w:rsidRPr="00E50800" w:rsidRDefault="0086360A" w:rsidP="00096985">
      <w:pPr>
        <w:spacing w:after="0"/>
        <w:rPr>
          <w:rFonts w:ascii="Times New Roman" w:hAnsi="Times New Roman" w:cs="Times New Roman"/>
          <w:b/>
          <w:sz w:val="24"/>
          <w:szCs w:val="24"/>
        </w:rPr>
      </w:pPr>
    </w:p>
    <w:p w:rsidR="00420682" w:rsidRPr="00E50800" w:rsidRDefault="00420682" w:rsidP="00420682">
      <w:pPr>
        <w:spacing w:after="0"/>
        <w:jc w:val="center"/>
        <w:rPr>
          <w:rFonts w:ascii="Times New Roman" w:hAnsi="Times New Roman" w:cs="Times New Roman"/>
          <w:b/>
          <w:sz w:val="24"/>
          <w:szCs w:val="24"/>
        </w:rPr>
      </w:pPr>
      <w:r w:rsidRPr="00E50800">
        <w:rPr>
          <w:rFonts w:ascii="Times New Roman" w:hAnsi="Times New Roman" w:cs="Times New Roman"/>
          <w:b/>
          <w:sz w:val="24"/>
          <w:szCs w:val="24"/>
        </w:rPr>
        <w:t>LIGJ</w:t>
      </w:r>
      <w:r w:rsidR="00035FB8">
        <w:rPr>
          <w:rFonts w:ascii="Times New Roman" w:hAnsi="Times New Roman" w:cs="Times New Roman"/>
          <w:b/>
          <w:sz w:val="24"/>
          <w:szCs w:val="24"/>
        </w:rPr>
        <w:t xml:space="preserve">   Projekt</w:t>
      </w:r>
    </w:p>
    <w:p w:rsidR="00420682" w:rsidRPr="00E50800" w:rsidRDefault="00420682" w:rsidP="00420682">
      <w:pPr>
        <w:spacing w:after="0"/>
        <w:jc w:val="center"/>
        <w:rPr>
          <w:rFonts w:ascii="Times New Roman" w:hAnsi="Times New Roman" w:cs="Times New Roman"/>
          <w:b/>
          <w:sz w:val="24"/>
          <w:szCs w:val="24"/>
        </w:rPr>
      </w:pPr>
    </w:p>
    <w:p w:rsidR="00035FB8" w:rsidRPr="00E50800" w:rsidRDefault="002009A1" w:rsidP="00035FB8">
      <w:pPr>
        <w:spacing w:after="0"/>
        <w:jc w:val="center"/>
        <w:rPr>
          <w:rFonts w:ascii="Times New Roman" w:hAnsi="Times New Roman" w:cs="Times New Roman"/>
          <w:b/>
          <w:sz w:val="24"/>
          <w:szCs w:val="24"/>
        </w:rPr>
      </w:pPr>
      <w:r w:rsidRPr="00E50800">
        <w:rPr>
          <w:rFonts w:ascii="Times New Roman" w:hAnsi="Times New Roman" w:cs="Times New Roman"/>
          <w:b/>
          <w:sz w:val="24"/>
          <w:szCs w:val="24"/>
        </w:rPr>
        <w:t xml:space="preserve">Nr. </w:t>
      </w:r>
    </w:p>
    <w:p w:rsidR="00663243" w:rsidRPr="00E50800" w:rsidRDefault="00663243" w:rsidP="00621A17">
      <w:pPr>
        <w:spacing w:after="0"/>
        <w:jc w:val="both"/>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
          <w:bCs/>
          <w:sz w:val="24"/>
          <w:szCs w:val="24"/>
        </w:rPr>
      </w:pPr>
      <w:r w:rsidRPr="00E50800">
        <w:rPr>
          <w:rFonts w:ascii="Times New Roman" w:hAnsi="Times New Roman" w:cs="Times New Roman"/>
          <w:b/>
          <w:bCs/>
          <w:sz w:val="24"/>
          <w:szCs w:val="24"/>
        </w:rPr>
        <w:t>PËR BUXHETIN E VITIT 202</w:t>
      </w:r>
      <w:r w:rsidR="00035FB8">
        <w:rPr>
          <w:rFonts w:ascii="Times New Roman" w:hAnsi="Times New Roman" w:cs="Times New Roman"/>
          <w:b/>
          <w:bCs/>
          <w:sz w:val="24"/>
          <w:szCs w:val="24"/>
        </w:rPr>
        <w:t>3</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Në mbështetje të neneve 78, 83, pika 1, e 158 të Kushtetutës dhe të nenit 30 të  ligjit nr. 9936, datë 26.6.2008, “Për menaxhimin e sistemit buxhetor në Republikën e Shqipërisë”, të ndryshuar, me propozimin e Këshillit të Ministrave, </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K U V E N D I</w:t>
      </w:r>
    </w:p>
    <w:p w:rsidR="00BD14E1" w:rsidRPr="00E50800" w:rsidRDefault="00BD14E1" w:rsidP="00BD14E1">
      <w:pPr>
        <w:spacing w:after="0"/>
        <w:jc w:val="center"/>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I REPUBLIKËS SË SHQIPËRISË</w:t>
      </w:r>
    </w:p>
    <w:p w:rsidR="00BD14E1" w:rsidRPr="00E50800" w:rsidRDefault="00BD14E1" w:rsidP="00BD14E1">
      <w:pPr>
        <w:spacing w:after="0"/>
        <w:jc w:val="center"/>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V E N D O S I:</w:t>
      </w:r>
    </w:p>
    <w:p w:rsidR="00BD14E1" w:rsidRPr="00E50800" w:rsidRDefault="00BD14E1" w:rsidP="00BD14E1">
      <w:pPr>
        <w:spacing w:after="0"/>
        <w:jc w:val="center"/>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KREU I</w:t>
      </w:r>
    </w:p>
    <w:p w:rsidR="00BD14E1" w:rsidRPr="00E50800" w:rsidRDefault="00BD14E1" w:rsidP="00BD14E1">
      <w:pPr>
        <w:spacing w:after="0"/>
        <w:jc w:val="center"/>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BUXHETI</w:t>
      </w:r>
    </w:p>
    <w:p w:rsidR="00BD14E1" w:rsidRPr="00E50800" w:rsidRDefault="00BD14E1" w:rsidP="00BD14E1">
      <w:pPr>
        <w:spacing w:after="0"/>
        <w:jc w:val="center"/>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l</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Buxheti për vitin 202</w:t>
      </w:r>
      <w:r w:rsidR="0053564A">
        <w:rPr>
          <w:rFonts w:ascii="Times New Roman" w:hAnsi="Times New Roman" w:cs="Times New Roman"/>
          <w:bCs/>
          <w:sz w:val="24"/>
          <w:szCs w:val="24"/>
        </w:rPr>
        <w:t>3</w:t>
      </w:r>
      <w:r w:rsidRPr="00E50800">
        <w:rPr>
          <w:rFonts w:ascii="Times New Roman" w:hAnsi="Times New Roman" w:cs="Times New Roman"/>
          <w:bCs/>
          <w:sz w:val="24"/>
          <w:szCs w:val="24"/>
        </w:rPr>
        <w:t xml:space="preserve"> është: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6</w:t>
      </w:r>
      <w:r w:rsidR="007E0621">
        <w:rPr>
          <w:rFonts w:ascii="Times New Roman" w:hAnsi="Times New Roman" w:cs="Times New Roman"/>
          <w:bCs/>
          <w:sz w:val="24"/>
          <w:szCs w:val="24"/>
        </w:rPr>
        <w:t>31 711</w:t>
      </w:r>
      <w:r w:rsidRPr="00E50800">
        <w:rPr>
          <w:rFonts w:ascii="Times New Roman" w:hAnsi="Times New Roman" w:cs="Times New Roman"/>
          <w:bCs/>
          <w:sz w:val="24"/>
          <w:szCs w:val="24"/>
        </w:rPr>
        <w:tab/>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Shpenzimet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6</w:t>
      </w:r>
      <w:r w:rsidR="0040612F">
        <w:rPr>
          <w:rFonts w:ascii="Times New Roman" w:hAnsi="Times New Roman" w:cs="Times New Roman"/>
          <w:bCs/>
          <w:sz w:val="24"/>
          <w:szCs w:val="24"/>
        </w:rPr>
        <w:t>87 209</w:t>
      </w:r>
      <w:r w:rsidR="00B43DD4">
        <w:rPr>
          <w:rFonts w:ascii="Times New Roman" w:hAnsi="Times New Roman" w:cs="Times New Roman"/>
          <w:bCs/>
          <w:sz w:val="24"/>
          <w:szCs w:val="24"/>
        </w:rPr>
        <w:t xml:space="preserve">    </w:t>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Deficiti</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55 498</w:t>
      </w:r>
      <w:r w:rsidRPr="00E50800">
        <w:rPr>
          <w:rFonts w:ascii="Times New Roman" w:hAnsi="Times New Roman" w:cs="Times New Roman"/>
          <w:bCs/>
          <w:sz w:val="24"/>
          <w:szCs w:val="24"/>
        </w:rPr>
        <w:tab/>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Ai përbëhet nga buxheti i shtetit, buxheti vendor dhe fondet speciale, sigurimet shoqërore, sigurimet shëndetësore dhe kompensimi i ish-pronarëve.</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2</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Buxheti i shtetit për vitin 202</w:t>
      </w:r>
      <w:r w:rsidR="0053564A">
        <w:rPr>
          <w:rFonts w:ascii="Times New Roman" w:hAnsi="Times New Roman" w:cs="Times New Roman"/>
          <w:bCs/>
          <w:sz w:val="24"/>
          <w:szCs w:val="24"/>
        </w:rPr>
        <w:t>3</w:t>
      </w:r>
      <w:r w:rsidRPr="00E50800">
        <w:rPr>
          <w:rFonts w:ascii="Times New Roman" w:hAnsi="Times New Roman" w:cs="Times New Roman"/>
          <w:bCs/>
          <w:sz w:val="24"/>
          <w:szCs w:val="24"/>
        </w:rPr>
        <w:t xml:space="preserve"> është: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4</w:t>
      </w:r>
      <w:r w:rsidR="0040612F">
        <w:rPr>
          <w:rFonts w:ascii="Times New Roman" w:hAnsi="Times New Roman" w:cs="Times New Roman"/>
          <w:bCs/>
          <w:sz w:val="24"/>
          <w:szCs w:val="24"/>
        </w:rPr>
        <w:t>75 058</w:t>
      </w:r>
      <w:r w:rsidR="00B43DD4">
        <w:rPr>
          <w:rFonts w:ascii="Times New Roman" w:hAnsi="Times New Roman" w:cs="Times New Roman"/>
          <w:bCs/>
          <w:sz w:val="24"/>
          <w:szCs w:val="24"/>
        </w:rPr>
        <w:t xml:space="preserve"> </w:t>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w:t>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Shpenzimet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w:t>
      </w:r>
      <w:r w:rsidR="0040612F">
        <w:rPr>
          <w:rFonts w:ascii="Times New Roman" w:hAnsi="Times New Roman" w:cs="Times New Roman"/>
          <w:bCs/>
          <w:sz w:val="24"/>
          <w:szCs w:val="24"/>
        </w:rPr>
        <w:t>530 556</w:t>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Deficiti</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55 498</w:t>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BD14E1">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3</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Buxheti vendor për vitin 202</w:t>
      </w:r>
      <w:r w:rsidR="0053564A">
        <w:rPr>
          <w:rFonts w:ascii="Times New Roman" w:hAnsi="Times New Roman" w:cs="Times New Roman"/>
          <w:bCs/>
          <w:sz w:val="24"/>
          <w:szCs w:val="24"/>
        </w:rPr>
        <w:t>3</w:t>
      </w:r>
      <w:r w:rsidRPr="00E50800">
        <w:rPr>
          <w:rFonts w:ascii="Times New Roman" w:hAnsi="Times New Roman" w:cs="Times New Roman"/>
          <w:bCs/>
          <w:sz w:val="24"/>
          <w:szCs w:val="24"/>
        </w:rPr>
        <w:t xml:space="preserve"> është:</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65 584</w:t>
      </w:r>
      <w:r w:rsidRPr="00E50800">
        <w:rPr>
          <w:rFonts w:ascii="Times New Roman" w:hAnsi="Times New Roman" w:cs="Times New Roman"/>
          <w:bCs/>
          <w:sz w:val="24"/>
          <w:szCs w:val="24"/>
        </w:rPr>
        <w:tab/>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r w:rsidR="00E50800">
        <w:rPr>
          <w:rFonts w:ascii="Times New Roman" w:hAnsi="Times New Roman" w:cs="Times New Roman"/>
          <w:bCs/>
          <w:sz w:val="24"/>
          <w:szCs w:val="24"/>
        </w:rPr>
        <w:t>,</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nga të cilat:</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transferta e pakushtëzuar e përgjithshme</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21 761</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transferta e pakushtëzuar sektoriale</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w:t>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9 890</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t xml:space="preserve"> </w:t>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lastRenderedPageBreak/>
        <w:t>- të ardhura të tjera</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33 933</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Shpenzimet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65 584</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B43DD4">
        <w:rPr>
          <w:rFonts w:ascii="Times New Roman" w:hAnsi="Times New Roman" w:cs="Times New Roman"/>
          <w:bCs/>
          <w:sz w:val="24"/>
          <w:szCs w:val="24"/>
        </w:rPr>
        <w:t xml:space="preserve">      </w:t>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jc w:val="both"/>
        <w:rPr>
          <w:rFonts w:ascii="Times New Roman" w:hAnsi="Times New Roman" w:cs="Times New Roman"/>
          <w:bCs/>
          <w:sz w:val="24"/>
          <w:szCs w:val="24"/>
        </w:rPr>
      </w:pPr>
    </w:p>
    <w:p w:rsidR="00BD14E1" w:rsidRPr="0027656E" w:rsidRDefault="00BD14E1" w:rsidP="00BD14E1">
      <w:pPr>
        <w:spacing w:after="0"/>
        <w:jc w:val="center"/>
        <w:rPr>
          <w:rFonts w:ascii="Times New Roman" w:hAnsi="Times New Roman" w:cs="Times New Roman"/>
          <w:bCs/>
          <w:sz w:val="24"/>
          <w:szCs w:val="24"/>
        </w:rPr>
      </w:pPr>
      <w:r w:rsidRPr="0027656E">
        <w:rPr>
          <w:rFonts w:ascii="Times New Roman" w:hAnsi="Times New Roman" w:cs="Times New Roman"/>
          <w:bCs/>
          <w:sz w:val="24"/>
          <w:szCs w:val="24"/>
        </w:rPr>
        <w:t>Neni 4</w:t>
      </w:r>
    </w:p>
    <w:p w:rsidR="00BD14E1" w:rsidRPr="0027656E" w:rsidRDefault="00BD14E1" w:rsidP="00BD14E1">
      <w:pPr>
        <w:spacing w:after="0"/>
        <w:jc w:val="both"/>
        <w:rPr>
          <w:rFonts w:ascii="Times New Roman" w:hAnsi="Times New Roman" w:cs="Times New Roman"/>
          <w:bCs/>
          <w:sz w:val="24"/>
          <w:szCs w:val="24"/>
        </w:rPr>
      </w:pPr>
    </w:p>
    <w:p w:rsidR="00BD14E1" w:rsidRPr="0027656E" w:rsidRDefault="00BD14E1" w:rsidP="00BD14E1">
      <w:pPr>
        <w:spacing w:after="0"/>
        <w:ind w:firstLine="340"/>
        <w:jc w:val="both"/>
        <w:rPr>
          <w:rFonts w:ascii="Times New Roman" w:hAnsi="Times New Roman" w:cs="Times New Roman"/>
          <w:bCs/>
          <w:sz w:val="24"/>
          <w:szCs w:val="24"/>
        </w:rPr>
      </w:pPr>
      <w:r w:rsidRPr="0027656E">
        <w:rPr>
          <w:rFonts w:ascii="Times New Roman" w:hAnsi="Times New Roman" w:cs="Times New Roman"/>
          <w:bCs/>
          <w:sz w:val="24"/>
          <w:szCs w:val="24"/>
        </w:rPr>
        <w:t>Buxheti i sigurimeve shoqërore për vitin 202</w:t>
      </w:r>
      <w:r w:rsidR="0053564A" w:rsidRPr="0027656E">
        <w:rPr>
          <w:rFonts w:ascii="Times New Roman" w:hAnsi="Times New Roman" w:cs="Times New Roman"/>
          <w:bCs/>
          <w:sz w:val="24"/>
          <w:szCs w:val="24"/>
        </w:rPr>
        <w:t>3</w:t>
      </w:r>
      <w:r w:rsidRPr="0027656E">
        <w:rPr>
          <w:rFonts w:ascii="Times New Roman" w:hAnsi="Times New Roman" w:cs="Times New Roman"/>
          <w:bCs/>
          <w:sz w:val="24"/>
          <w:szCs w:val="24"/>
        </w:rPr>
        <w:t xml:space="preserve"> është:</w:t>
      </w:r>
    </w:p>
    <w:p w:rsidR="00BD14E1" w:rsidRPr="0027656E" w:rsidRDefault="00BD14E1" w:rsidP="00E50800">
      <w:pPr>
        <w:spacing w:after="0"/>
        <w:ind w:firstLine="340"/>
        <w:jc w:val="both"/>
        <w:rPr>
          <w:rFonts w:ascii="Times New Roman" w:hAnsi="Times New Roman" w:cs="Times New Roman"/>
          <w:bCs/>
          <w:sz w:val="24"/>
          <w:szCs w:val="24"/>
        </w:rPr>
      </w:pPr>
      <w:r w:rsidRPr="0027656E">
        <w:rPr>
          <w:rFonts w:ascii="Times New Roman" w:hAnsi="Times New Roman" w:cs="Times New Roman"/>
          <w:bCs/>
          <w:sz w:val="24"/>
          <w:szCs w:val="24"/>
        </w:rPr>
        <w:t>l. Sigurimi i detyrueshëm, programet kompensuese dhe trajtimet e veçanta.</w:t>
      </w:r>
    </w:p>
    <w:p w:rsidR="00BD14E1" w:rsidRPr="0027656E" w:rsidRDefault="00BD14E1" w:rsidP="00BD14E1">
      <w:pPr>
        <w:spacing w:after="0"/>
        <w:ind w:firstLine="340"/>
        <w:jc w:val="both"/>
        <w:rPr>
          <w:rFonts w:ascii="Times New Roman" w:hAnsi="Times New Roman" w:cs="Times New Roman"/>
          <w:bCs/>
          <w:sz w:val="24"/>
          <w:szCs w:val="24"/>
        </w:rPr>
      </w:pPr>
      <w:r w:rsidRPr="0027656E">
        <w:rPr>
          <w:rFonts w:ascii="Times New Roman" w:hAnsi="Times New Roman" w:cs="Times New Roman"/>
          <w:bCs/>
          <w:sz w:val="24"/>
          <w:szCs w:val="24"/>
        </w:rPr>
        <w:t>Të ardhurat gjithsej</w:t>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001A144D" w:rsidRPr="0027656E">
        <w:rPr>
          <w:rFonts w:ascii="Times New Roman" w:hAnsi="Times New Roman" w:cs="Times New Roman"/>
          <w:bCs/>
          <w:sz w:val="24"/>
          <w:szCs w:val="24"/>
        </w:rPr>
        <w:t xml:space="preserve"> 1</w:t>
      </w:r>
      <w:r w:rsidR="0040612F" w:rsidRPr="0027656E">
        <w:rPr>
          <w:rFonts w:ascii="Times New Roman" w:hAnsi="Times New Roman" w:cs="Times New Roman"/>
          <w:bCs/>
          <w:sz w:val="24"/>
          <w:szCs w:val="24"/>
        </w:rPr>
        <w:t>59 912</w:t>
      </w:r>
      <w:r w:rsidRPr="0027656E">
        <w:rPr>
          <w:rFonts w:ascii="Times New Roman" w:hAnsi="Times New Roman" w:cs="Times New Roman"/>
          <w:bCs/>
          <w:sz w:val="24"/>
          <w:szCs w:val="24"/>
        </w:rPr>
        <w:tab/>
        <w:t xml:space="preserve"> milionë lekë</w:t>
      </w:r>
      <w:r w:rsidR="00E50800" w:rsidRPr="0027656E">
        <w:rPr>
          <w:rFonts w:ascii="Times New Roman" w:hAnsi="Times New Roman" w:cs="Times New Roman"/>
          <w:bCs/>
          <w:sz w:val="24"/>
          <w:szCs w:val="24"/>
        </w:rPr>
        <w:t>,</w:t>
      </w:r>
    </w:p>
    <w:p w:rsidR="00BD14E1" w:rsidRPr="0027656E" w:rsidRDefault="00BD14E1" w:rsidP="00BD14E1">
      <w:pPr>
        <w:spacing w:after="0"/>
        <w:ind w:firstLine="340"/>
        <w:jc w:val="both"/>
        <w:rPr>
          <w:rFonts w:ascii="Times New Roman" w:hAnsi="Times New Roman" w:cs="Times New Roman"/>
          <w:bCs/>
          <w:sz w:val="24"/>
          <w:szCs w:val="24"/>
        </w:rPr>
      </w:pPr>
      <w:r w:rsidRPr="0027656E">
        <w:rPr>
          <w:rFonts w:ascii="Times New Roman" w:hAnsi="Times New Roman" w:cs="Times New Roman"/>
          <w:bCs/>
          <w:sz w:val="24"/>
          <w:szCs w:val="24"/>
        </w:rPr>
        <w:t>nga të cilat:</w:t>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p>
    <w:p w:rsidR="00BD14E1" w:rsidRPr="0027656E" w:rsidRDefault="00BD14E1" w:rsidP="00BD14E1">
      <w:pPr>
        <w:spacing w:after="0"/>
        <w:ind w:firstLine="340"/>
        <w:jc w:val="both"/>
        <w:rPr>
          <w:rFonts w:ascii="Times New Roman" w:hAnsi="Times New Roman" w:cs="Times New Roman"/>
          <w:bCs/>
          <w:sz w:val="24"/>
          <w:szCs w:val="24"/>
        </w:rPr>
      </w:pPr>
      <w:r w:rsidRPr="0027656E">
        <w:rPr>
          <w:rFonts w:ascii="Times New Roman" w:hAnsi="Times New Roman" w:cs="Times New Roman"/>
          <w:bCs/>
          <w:sz w:val="24"/>
          <w:szCs w:val="24"/>
        </w:rPr>
        <w:t>- kontributet</w:t>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001A144D" w:rsidRPr="0027656E">
        <w:rPr>
          <w:rFonts w:ascii="Times New Roman" w:hAnsi="Times New Roman" w:cs="Times New Roman"/>
          <w:bCs/>
          <w:sz w:val="24"/>
          <w:szCs w:val="24"/>
        </w:rPr>
        <w:t xml:space="preserve">           </w:t>
      </w:r>
      <w:r w:rsidR="00B43DD4" w:rsidRPr="0027656E">
        <w:rPr>
          <w:rFonts w:ascii="Times New Roman" w:hAnsi="Times New Roman" w:cs="Times New Roman"/>
          <w:bCs/>
          <w:sz w:val="24"/>
          <w:szCs w:val="24"/>
        </w:rPr>
        <w:t>10</w:t>
      </w:r>
      <w:r w:rsidR="005338A2" w:rsidRPr="0027656E">
        <w:rPr>
          <w:rFonts w:ascii="Times New Roman" w:hAnsi="Times New Roman" w:cs="Times New Roman"/>
          <w:bCs/>
          <w:sz w:val="24"/>
          <w:szCs w:val="24"/>
        </w:rPr>
        <w:t>7 233</w:t>
      </w:r>
      <w:r w:rsidRPr="0027656E">
        <w:rPr>
          <w:rFonts w:ascii="Times New Roman" w:hAnsi="Times New Roman" w:cs="Times New Roman"/>
          <w:bCs/>
          <w:sz w:val="24"/>
          <w:szCs w:val="24"/>
        </w:rPr>
        <w:tab/>
        <w:t xml:space="preserve"> milionë lekë;</w:t>
      </w:r>
      <w:r w:rsidR="007D65E1" w:rsidRPr="0027656E">
        <w:rPr>
          <w:rFonts w:ascii="Times New Roman" w:hAnsi="Times New Roman" w:cs="Times New Roman"/>
          <w:bCs/>
          <w:sz w:val="24"/>
          <w:szCs w:val="24"/>
        </w:rPr>
        <w:t xml:space="preserve"> </w:t>
      </w:r>
    </w:p>
    <w:p w:rsidR="00BD14E1" w:rsidRPr="0027656E" w:rsidRDefault="00BD14E1" w:rsidP="00BD14E1">
      <w:pPr>
        <w:spacing w:after="0"/>
        <w:ind w:firstLine="340"/>
        <w:jc w:val="both"/>
        <w:rPr>
          <w:rFonts w:ascii="Times New Roman" w:hAnsi="Times New Roman" w:cs="Times New Roman"/>
          <w:bCs/>
          <w:sz w:val="24"/>
          <w:szCs w:val="24"/>
        </w:rPr>
      </w:pPr>
      <w:r w:rsidRPr="0027656E">
        <w:rPr>
          <w:rFonts w:ascii="Times New Roman" w:hAnsi="Times New Roman" w:cs="Times New Roman"/>
          <w:bCs/>
          <w:sz w:val="24"/>
          <w:szCs w:val="24"/>
        </w:rPr>
        <w:t>- transferimet nga buxheti i shtetit</w:t>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001A144D" w:rsidRPr="0027656E">
        <w:rPr>
          <w:rFonts w:ascii="Times New Roman" w:hAnsi="Times New Roman" w:cs="Times New Roman"/>
          <w:bCs/>
          <w:sz w:val="24"/>
          <w:szCs w:val="24"/>
        </w:rPr>
        <w:t xml:space="preserve"> 48 </w:t>
      </w:r>
      <w:r w:rsidR="00CC6D22" w:rsidRPr="0027656E">
        <w:rPr>
          <w:rFonts w:ascii="Times New Roman" w:hAnsi="Times New Roman" w:cs="Times New Roman"/>
          <w:bCs/>
          <w:sz w:val="24"/>
          <w:szCs w:val="24"/>
        </w:rPr>
        <w:t>049</w:t>
      </w:r>
      <w:r w:rsidRPr="0027656E">
        <w:rPr>
          <w:rFonts w:ascii="Times New Roman" w:hAnsi="Times New Roman" w:cs="Times New Roman"/>
          <w:bCs/>
          <w:sz w:val="24"/>
          <w:szCs w:val="24"/>
        </w:rPr>
        <w:tab/>
        <w:t xml:space="preserve"> milionë lekë;</w:t>
      </w:r>
    </w:p>
    <w:p w:rsidR="00BD14E1" w:rsidRPr="0027656E" w:rsidRDefault="00BD14E1" w:rsidP="00BD14E1">
      <w:pPr>
        <w:spacing w:after="0"/>
        <w:ind w:firstLine="340"/>
        <w:jc w:val="both"/>
        <w:rPr>
          <w:rFonts w:ascii="Times New Roman" w:hAnsi="Times New Roman" w:cs="Times New Roman"/>
          <w:bCs/>
          <w:sz w:val="24"/>
          <w:szCs w:val="24"/>
        </w:rPr>
      </w:pPr>
      <w:r w:rsidRPr="0027656E">
        <w:rPr>
          <w:rFonts w:ascii="Times New Roman" w:hAnsi="Times New Roman" w:cs="Times New Roman"/>
          <w:bCs/>
          <w:sz w:val="24"/>
          <w:szCs w:val="24"/>
        </w:rPr>
        <w:t>- transferta për indeksimin e pensioneve</w:t>
      </w:r>
      <w:r w:rsidRPr="0027656E">
        <w:rPr>
          <w:rFonts w:ascii="Times New Roman" w:hAnsi="Times New Roman" w:cs="Times New Roman"/>
          <w:bCs/>
          <w:sz w:val="24"/>
          <w:szCs w:val="24"/>
        </w:rPr>
        <w:tab/>
      </w:r>
      <w:r w:rsidR="001A144D" w:rsidRPr="0027656E">
        <w:rPr>
          <w:rFonts w:ascii="Times New Roman" w:hAnsi="Times New Roman" w:cs="Times New Roman"/>
          <w:bCs/>
          <w:sz w:val="24"/>
          <w:szCs w:val="24"/>
        </w:rPr>
        <w:t xml:space="preserve">        </w:t>
      </w:r>
      <w:r w:rsidR="0040612F" w:rsidRPr="0027656E">
        <w:rPr>
          <w:rFonts w:ascii="Times New Roman" w:hAnsi="Times New Roman" w:cs="Times New Roman"/>
          <w:bCs/>
          <w:sz w:val="24"/>
          <w:szCs w:val="24"/>
        </w:rPr>
        <w:t>1 100</w:t>
      </w:r>
      <w:r w:rsidRPr="0027656E">
        <w:rPr>
          <w:rFonts w:ascii="Times New Roman" w:hAnsi="Times New Roman" w:cs="Times New Roman"/>
          <w:bCs/>
          <w:sz w:val="24"/>
          <w:szCs w:val="24"/>
        </w:rPr>
        <w:tab/>
        <w:t xml:space="preserve">  milionë lekë;</w:t>
      </w:r>
    </w:p>
    <w:p w:rsidR="00BD14E1" w:rsidRPr="00E50800" w:rsidRDefault="00BD14E1" w:rsidP="00E50800">
      <w:pPr>
        <w:spacing w:after="0"/>
        <w:ind w:firstLine="340"/>
        <w:jc w:val="both"/>
        <w:rPr>
          <w:rFonts w:ascii="Times New Roman" w:hAnsi="Times New Roman" w:cs="Times New Roman"/>
          <w:bCs/>
          <w:sz w:val="24"/>
          <w:szCs w:val="24"/>
        </w:rPr>
      </w:pPr>
      <w:r w:rsidRPr="0027656E">
        <w:rPr>
          <w:rFonts w:ascii="Times New Roman" w:hAnsi="Times New Roman" w:cs="Times New Roman"/>
          <w:bCs/>
          <w:sz w:val="24"/>
          <w:szCs w:val="24"/>
        </w:rPr>
        <w:t>- bonusi i pensionistëve</w:t>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Pr="0027656E">
        <w:rPr>
          <w:rFonts w:ascii="Times New Roman" w:hAnsi="Times New Roman" w:cs="Times New Roman"/>
          <w:bCs/>
          <w:sz w:val="24"/>
          <w:szCs w:val="24"/>
        </w:rPr>
        <w:tab/>
      </w:r>
      <w:r w:rsidR="001A144D" w:rsidRPr="0027656E">
        <w:rPr>
          <w:rFonts w:ascii="Times New Roman" w:hAnsi="Times New Roman" w:cs="Times New Roman"/>
          <w:bCs/>
          <w:sz w:val="24"/>
          <w:szCs w:val="24"/>
        </w:rPr>
        <w:t xml:space="preserve">   </w:t>
      </w:r>
      <w:r w:rsidRPr="0027656E">
        <w:rPr>
          <w:rFonts w:ascii="Times New Roman" w:hAnsi="Times New Roman" w:cs="Times New Roman"/>
          <w:bCs/>
          <w:sz w:val="24"/>
          <w:szCs w:val="24"/>
        </w:rPr>
        <w:tab/>
      </w:r>
      <w:r w:rsidR="001A144D" w:rsidRPr="0027656E">
        <w:rPr>
          <w:rFonts w:ascii="Times New Roman" w:hAnsi="Times New Roman" w:cs="Times New Roman"/>
          <w:bCs/>
          <w:sz w:val="24"/>
          <w:szCs w:val="24"/>
        </w:rPr>
        <w:t xml:space="preserve">        </w:t>
      </w:r>
      <w:r w:rsidR="00354DF5" w:rsidRPr="0027656E">
        <w:rPr>
          <w:rFonts w:ascii="Times New Roman" w:hAnsi="Times New Roman" w:cs="Times New Roman"/>
          <w:bCs/>
          <w:sz w:val="24"/>
          <w:szCs w:val="24"/>
        </w:rPr>
        <w:t>3 530</w:t>
      </w:r>
      <w:r w:rsidRPr="0027656E">
        <w:rPr>
          <w:rFonts w:ascii="Times New Roman" w:hAnsi="Times New Roman" w:cs="Times New Roman"/>
          <w:bCs/>
          <w:sz w:val="24"/>
          <w:szCs w:val="24"/>
        </w:rPr>
        <w:tab/>
        <w:t xml:space="preserve">  milionë</w:t>
      </w:r>
      <w:r w:rsidRPr="00E50800">
        <w:rPr>
          <w:rFonts w:ascii="Times New Roman" w:hAnsi="Times New Roman" w:cs="Times New Roman"/>
          <w:bCs/>
          <w:sz w:val="24"/>
          <w:szCs w:val="24"/>
        </w:rPr>
        <w:t xml:space="preserve"> lekë;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Shpenzimet</w:t>
      </w:r>
      <w:r w:rsidRPr="00E50800">
        <w:rPr>
          <w:rFonts w:ascii="Times New Roman" w:hAnsi="Times New Roman" w:cs="Times New Roman"/>
          <w:bCs/>
          <w:sz w:val="24"/>
          <w:szCs w:val="24"/>
        </w:rPr>
        <w:tab/>
      </w:r>
      <w:r w:rsidR="00E50800">
        <w:rPr>
          <w:rFonts w:ascii="Times New Roman" w:hAnsi="Times New Roman" w:cs="Times New Roman"/>
          <w:bCs/>
          <w:sz w:val="24"/>
          <w:szCs w:val="24"/>
        </w:rPr>
        <w:tab/>
      </w:r>
      <w:r w:rsidR="00E50800">
        <w:rPr>
          <w:rFonts w:ascii="Times New Roman" w:hAnsi="Times New Roman" w:cs="Times New Roman"/>
          <w:bCs/>
          <w:sz w:val="24"/>
          <w:szCs w:val="24"/>
        </w:rPr>
        <w:tab/>
      </w:r>
      <w:r w:rsidR="00E50800">
        <w:rPr>
          <w:rFonts w:ascii="Times New Roman" w:hAnsi="Times New Roman" w:cs="Times New Roman"/>
          <w:bCs/>
          <w:sz w:val="24"/>
          <w:szCs w:val="24"/>
        </w:rPr>
        <w:tab/>
      </w:r>
      <w:r w:rsidR="00E50800">
        <w:rPr>
          <w:rFonts w:ascii="Times New Roman" w:hAnsi="Times New Roman" w:cs="Times New Roman"/>
          <w:bCs/>
          <w:sz w:val="24"/>
          <w:szCs w:val="24"/>
        </w:rPr>
        <w:tab/>
      </w:r>
      <w:r w:rsidR="00E50800">
        <w:rPr>
          <w:rFonts w:ascii="Times New Roman" w:hAnsi="Times New Roman" w:cs="Times New Roman"/>
          <w:bCs/>
          <w:sz w:val="24"/>
          <w:szCs w:val="24"/>
        </w:rPr>
        <w:tab/>
      </w:r>
      <w:r w:rsidR="00E50800">
        <w:rPr>
          <w:rFonts w:ascii="Times New Roman" w:hAnsi="Times New Roman" w:cs="Times New Roman"/>
          <w:bCs/>
          <w:sz w:val="24"/>
          <w:szCs w:val="24"/>
        </w:rPr>
        <w:tab/>
      </w:r>
      <w:r w:rsidR="00E50800">
        <w:rPr>
          <w:rFonts w:ascii="Times New Roman" w:hAnsi="Times New Roman" w:cs="Times New Roman"/>
          <w:bCs/>
          <w:sz w:val="24"/>
          <w:szCs w:val="24"/>
        </w:rPr>
        <w:tab/>
      </w:r>
      <w:r w:rsidR="00E50800">
        <w:rPr>
          <w:rFonts w:ascii="Times New Roman" w:hAnsi="Times New Roman" w:cs="Times New Roman"/>
          <w:bCs/>
          <w:sz w:val="24"/>
          <w:szCs w:val="24"/>
        </w:rPr>
        <w:tab/>
      </w:r>
      <w:r w:rsidR="00E50800">
        <w:rPr>
          <w:rFonts w:ascii="Times New Roman" w:hAnsi="Times New Roman" w:cs="Times New Roman"/>
          <w:bCs/>
          <w:sz w:val="24"/>
          <w:szCs w:val="24"/>
        </w:rPr>
        <w:tab/>
      </w:r>
      <w:r w:rsidR="001A144D">
        <w:rPr>
          <w:rFonts w:ascii="Times New Roman" w:hAnsi="Times New Roman" w:cs="Times New Roman"/>
          <w:bCs/>
          <w:sz w:val="24"/>
          <w:szCs w:val="24"/>
        </w:rPr>
        <w:t>1</w:t>
      </w:r>
      <w:r w:rsidR="0040612F">
        <w:rPr>
          <w:rFonts w:ascii="Times New Roman" w:hAnsi="Times New Roman" w:cs="Times New Roman"/>
          <w:bCs/>
          <w:sz w:val="24"/>
          <w:szCs w:val="24"/>
        </w:rPr>
        <w:t>59 912</w:t>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 xml:space="preserve"> milionë lekë </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Paga minimale, për efekt të pagesës së kontributit të sigurimeve shoqërore dhe shëndetësore, është e barabartë me pagën minimale në shkallë vendi dhe ndryshon sa herë që ndryshon kjo pagë. Këshilli i Ministrave përcakton masën e kontributit për personat e vetëpunësuar në bujqësi, si dhe të kategorive të veçanta të personave të vetëpunësuar. Për vitin 2022 teprica ndërmjet të ardhurave dhe shpenzimeve, sipas degëve dhe programeve të sigurimit shoqëror të detyrueshëm e suplementar, përdoret për mbulimin e deficitit të degës së pensioneve.</w:t>
      </w:r>
    </w:p>
    <w:p w:rsidR="00BD14E1" w:rsidRPr="00E50800" w:rsidRDefault="00F74453" w:rsidP="00BD14E1">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2. Sigurimi suplementar.</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 gjithsej</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1A144D">
        <w:rPr>
          <w:rFonts w:ascii="Times New Roman" w:hAnsi="Times New Roman" w:cs="Times New Roman"/>
          <w:bCs/>
          <w:sz w:val="24"/>
          <w:szCs w:val="24"/>
        </w:rPr>
        <w:t xml:space="preserve">7 </w:t>
      </w:r>
      <w:r w:rsidR="0040612F">
        <w:rPr>
          <w:rFonts w:ascii="Times New Roman" w:hAnsi="Times New Roman" w:cs="Times New Roman"/>
          <w:bCs/>
          <w:sz w:val="24"/>
          <w:szCs w:val="24"/>
        </w:rPr>
        <w:t>403</w:t>
      </w:r>
      <w:r w:rsidRPr="00E50800">
        <w:rPr>
          <w:rFonts w:ascii="Times New Roman" w:hAnsi="Times New Roman" w:cs="Times New Roman"/>
          <w:bCs/>
          <w:sz w:val="24"/>
          <w:szCs w:val="24"/>
        </w:rPr>
        <w:tab/>
        <w:t>milionë lekë</w:t>
      </w:r>
      <w:r w:rsidR="00E50800">
        <w:rPr>
          <w:rFonts w:ascii="Times New Roman" w:hAnsi="Times New Roman" w:cs="Times New Roman"/>
          <w:bCs/>
          <w:sz w:val="24"/>
          <w:szCs w:val="24"/>
        </w:rPr>
        <w:t>,</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nga të cilat: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p>
    <w:p w:rsidR="00BD14E1" w:rsidRPr="00BE2F4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kontributet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1A144D" w:rsidRPr="00BE2F40">
        <w:rPr>
          <w:rFonts w:ascii="Times New Roman" w:hAnsi="Times New Roman" w:cs="Times New Roman"/>
          <w:bCs/>
          <w:sz w:val="24"/>
          <w:szCs w:val="24"/>
        </w:rPr>
        <w:t>2 1</w:t>
      </w:r>
      <w:r w:rsidR="005338A2" w:rsidRPr="00BE2F40">
        <w:rPr>
          <w:rFonts w:ascii="Times New Roman" w:hAnsi="Times New Roman" w:cs="Times New Roman"/>
          <w:bCs/>
          <w:sz w:val="24"/>
          <w:szCs w:val="24"/>
        </w:rPr>
        <w:t>90</w:t>
      </w:r>
      <w:r w:rsidRPr="00BE2F40">
        <w:rPr>
          <w:rFonts w:ascii="Times New Roman" w:hAnsi="Times New Roman" w:cs="Times New Roman"/>
          <w:bCs/>
          <w:sz w:val="24"/>
          <w:szCs w:val="24"/>
        </w:rPr>
        <w:tab/>
        <w:t>milionë lekë;</w:t>
      </w:r>
    </w:p>
    <w:p w:rsidR="00BD14E1" w:rsidRPr="00E50800" w:rsidRDefault="00BD14E1" w:rsidP="00BD14E1">
      <w:pPr>
        <w:spacing w:after="0"/>
        <w:ind w:firstLine="340"/>
        <w:jc w:val="both"/>
        <w:rPr>
          <w:rFonts w:ascii="Times New Roman" w:hAnsi="Times New Roman" w:cs="Times New Roman"/>
          <w:bCs/>
          <w:sz w:val="24"/>
          <w:szCs w:val="24"/>
        </w:rPr>
      </w:pPr>
      <w:r w:rsidRPr="00BE2F40">
        <w:rPr>
          <w:rFonts w:ascii="Times New Roman" w:hAnsi="Times New Roman" w:cs="Times New Roman"/>
          <w:bCs/>
          <w:sz w:val="24"/>
          <w:szCs w:val="24"/>
        </w:rPr>
        <w:t>- transferimet nga buxheti i shtetit</w:t>
      </w:r>
      <w:r w:rsidRPr="00BE2F40">
        <w:rPr>
          <w:rFonts w:ascii="Times New Roman" w:hAnsi="Times New Roman" w:cs="Times New Roman"/>
          <w:bCs/>
          <w:sz w:val="24"/>
          <w:szCs w:val="24"/>
        </w:rPr>
        <w:tab/>
      </w:r>
      <w:r w:rsidRPr="00BE2F40">
        <w:rPr>
          <w:rFonts w:ascii="Times New Roman" w:hAnsi="Times New Roman" w:cs="Times New Roman"/>
          <w:bCs/>
          <w:sz w:val="24"/>
          <w:szCs w:val="24"/>
        </w:rPr>
        <w:tab/>
      </w:r>
      <w:r w:rsidRPr="00BE2F40">
        <w:rPr>
          <w:rFonts w:ascii="Times New Roman" w:hAnsi="Times New Roman" w:cs="Times New Roman"/>
          <w:bCs/>
          <w:sz w:val="24"/>
          <w:szCs w:val="24"/>
        </w:rPr>
        <w:tab/>
      </w:r>
      <w:r w:rsidRPr="00BE2F40">
        <w:rPr>
          <w:rFonts w:ascii="Times New Roman" w:hAnsi="Times New Roman" w:cs="Times New Roman"/>
          <w:bCs/>
          <w:sz w:val="24"/>
          <w:szCs w:val="24"/>
        </w:rPr>
        <w:tab/>
      </w:r>
      <w:r w:rsidRPr="00BE2F40">
        <w:rPr>
          <w:rFonts w:ascii="Times New Roman" w:hAnsi="Times New Roman" w:cs="Times New Roman"/>
          <w:bCs/>
          <w:sz w:val="24"/>
          <w:szCs w:val="24"/>
        </w:rPr>
        <w:tab/>
      </w:r>
      <w:r w:rsidRPr="00BE2F40">
        <w:rPr>
          <w:rFonts w:ascii="Times New Roman" w:hAnsi="Times New Roman" w:cs="Times New Roman"/>
          <w:bCs/>
          <w:sz w:val="24"/>
          <w:szCs w:val="24"/>
        </w:rPr>
        <w:tab/>
      </w:r>
      <w:r w:rsidR="001A144D" w:rsidRPr="00BE2F40">
        <w:rPr>
          <w:rFonts w:ascii="Times New Roman" w:hAnsi="Times New Roman" w:cs="Times New Roman"/>
          <w:bCs/>
          <w:sz w:val="24"/>
          <w:szCs w:val="24"/>
        </w:rPr>
        <w:t>5 11</w:t>
      </w:r>
      <w:r w:rsidR="00CC6D22" w:rsidRPr="00BE2F40">
        <w:rPr>
          <w:rFonts w:ascii="Times New Roman" w:hAnsi="Times New Roman" w:cs="Times New Roman"/>
          <w:bCs/>
          <w:sz w:val="24"/>
          <w:szCs w:val="24"/>
        </w:rPr>
        <w:t>3</w:t>
      </w:r>
      <w:r w:rsidRPr="00E50800">
        <w:rPr>
          <w:rFonts w:ascii="Times New Roman" w:hAnsi="Times New Roman" w:cs="Times New Roman"/>
          <w:bCs/>
          <w:sz w:val="24"/>
          <w:szCs w:val="24"/>
        </w:rPr>
        <w:tab/>
      </w:r>
      <w:r w:rsidR="001A144D">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transferta për indeksimin e pensioneve</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1A144D">
        <w:rPr>
          <w:rFonts w:ascii="Times New Roman" w:hAnsi="Times New Roman" w:cs="Times New Roman"/>
          <w:bCs/>
          <w:sz w:val="24"/>
          <w:szCs w:val="24"/>
        </w:rPr>
        <w:t xml:space="preserve">      </w:t>
      </w:r>
      <w:r w:rsidRPr="00E50800">
        <w:rPr>
          <w:rFonts w:ascii="Times New Roman" w:hAnsi="Times New Roman" w:cs="Times New Roman"/>
          <w:bCs/>
          <w:sz w:val="24"/>
          <w:szCs w:val="24"/>
        </w:rPr>
        <w:t xml:space="preserve">  </w:t>
      </w:r>
      <w:r w:rsidR="0040612F">
        <w:rPr>
          <w:rFonts w:ascii="Times New Roman" w:hAnsi="Times New Roman" w:cs="Times New Roman"/>
          <w:bCs/>
          <w:sz w:val="24"/>
          <w:szCs w:val="24"/>
        </w:rPr>
        <w:t>100</w:t>
      </w:r>
      <w:r w:rsidR="001A144D">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F74453">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Shpenzimet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r w:rsidR="001A144D">
        <w:rPr>
          <w:rFonts w:ascii="Times New Roman" w:hAnsi="Times New Roman" w:cs="Times New Roman"/>
          <w:bCs/>
          <w:sz w:val="24"/>
          <w:szCs w:val="24"/>
        </w:rPr>
        <w:t xml:space="preserve">7 </w:t>
      </w:r>
      <w:r w:rsidR="0040612F">
        <w:rPr>
          <w:rFonts w:ascii="Times New Roman" w:hAnsi="Times New Roman" w:cs="Times New Roman"/>
          <w:bCs/>
          <w:sz w:val="24"/>
          <w:szCs w:val="24"/>
        </w:rPr>
        <w:t>403</w:t>
      </w:r>
      <w:r w:rsidRPr="00E50800">
        <w:rPr>
          <w:rFonts w:ascii="Times New Roman" w:hAnsi="Times New Roman" w:cs="Times New Roman"/>
          <w:bCs/>
          <w:sz w:val="24"/>
          <w:szCs w:val="24"/>
        </w:rPr>
        <w:tab/>
        <w:t>milionë lekë.</w:t>
      </w:r>
    </w:p>
    <w:p w:rsidR="00F74453" w:rsidRDefault="00F74453" w:rsidP="00BD14E1">
      <w:pPr>
        <w:spacing w:after="0"/>
        <w:ind w:firstLine="340"/>
        <w:jc w:val="both"/>
        <w:rPr>
          <w:rFonts w:ascii="Times New Roman" w:hAnsi="Times New Roman" w:cs="Times New Roman"/>
          <w:bCs/>
          <w:sz w:val="24"/>
          <w:szCs w:val="24"/>
        </w:rPr>
      </w:pP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Fondi për indeksimin e pensioneve është</w:t>
      </w:r>
      <w:r w:rsidRPr="00E50800">
        <w:rPr>
          <w:rFonts w:ascii="Times New Roman" w:hAnsi="Times New Roman" w:cs="Times New Roman"/>
          <w:bCs/>
          <w:sz w:val="24"/>
          <w:szCs w:val="24"/>
        </w:rPr>
        <w:tab/>
        <w:t xml:space="preserve">parashikuar  </w:t>
      </w:r>
      <w:r w:rsidR="0040612F">
        <w:rPr>
          <w:rFonts w:ascii="Times New Roman" w:hAnsi="Times New Roman" w:cs="Times New Roman"/>
          <w:bCs/>
          <w:sz w:val="24"/>
          <w:szCs w:val="24"/>
        </w:rPr>
        <w:t>1 200</w:t>
      </w:r>
      <w:r w:rsidR="001A144D">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BD14E1">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Përdorimi i këtij fondi bëhet sipas përcaktimeve në nenin 61 të ligjit nr. 7703, datë 11.5.1993, “Për sigurimet shoqërore në Republikën e Shqipërisë”, tё ndryshuar. Shpenzimet administrative, si pjesë e shpenzimeve totale për    skemën e sigurimeve shoqërore, janë jo më shumë se </w:t>
      </w:r>
      <w:r w:rsidR="0053564A">
        <w:rPr>
          <w:rFonts w:ascii="Times New Roman" w:hAnsi="Times New Roman" w:cs="Times New Roman"/>
          <w:bCs/>
          <w:sz w:val="24"/>
          <w:szCs w:val="24"/>
        </w:rPr>
        <w:t>3 450</w:t>
      </w:r>
      <w:r w:rsidRPr="00E50800">
        <w:rPr>
          <w:rFonts w:ascii="Times New Roman" w:hAnsi="Times New Roman" w:cs="Times New Roman"/>
          <w:bCs/>
          <w:sz w:val="24"/>
          <w:szCs w:val="24"/>
        </w:rPr>
        <w:t xml:space="preserve"> milionë lekë dhe ndahen sipas skemave në proporcion me shpenzimet e drejtpërdrejta.</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0468DA">
      <w:pPr>
        <w:spacing w:after="0"/>
        <w:jc w:val="center"/>
        <w:rPr>
          <w:rFonts w:ascii="Times New Roman" w:hAnsi="Times New Roman" w:cs="Times New Roman"/>
          <w:bCs/>
          <w:sz w:val="24"/>
          <w:szCs w:val="24"/>
        </w:rPr>
      </w:pPr>
      <w:r w:rsidRPr="007D65E1">
        <w:rPr>
          <w:rFonts w:ascii="Times New Roman" w:hAnsi="Times New Roman" w:cs="Times New Roman"/>
          <w:bCs/>
          <w:sz w:val="24"/>
          <w:szCs w:val="24"/>
        </w:rPr>
        <w:t>Neni 5</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Buxheti i sigurimeve shëndetësore për vitin 202</w:t>
      </w:r>
      <w:r w:rsidR="0053564A">
        <w:rPr>
          <w:rFonts w:ascii="Times New Roman" w:hAnsi="Times New Roman" w:cs="Times New Roman"/>
          <w:bCs/>
          <w:sz w:val="24"/>
          <w:szCs w:val="24"/>
        </w:rPr>
        <w:t>3</w:t>
      </w:r>
      <w:r w:rsidRPr="00E50800">
        <w:rPr>
          <w:rFonts w:ascii="Times New Roman" w:hAnsi="Times New Roman" w:cs="Times New Roman"/>
          <w:bCs/>
          <w:sz w:val="24"/>
          <w:szCs w:val="24"/>
        </w:rPr>
        <w:t xml:space="preserve"> është:</w:t>
      </w: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 gjithsej</w:t>
      </w:r>
      <w:r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354DF5">
        <w:rPr>
          <w:rFonts w:ascii="Times New Roman" w:hAnsi="Times New Roman" w:cs="Times New Roman"/>
          <w:bCs/>
          <w:sz w:val="24"/>
          <w:szCs w:val="24"/>
        </w:rPr>
        <w:t xml:space="preserve">      54 536</w:t>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Pr="00E50800">
        <w:rPr>
          <w:rFonts w:ascii="Times New Roman" w:hAnsi="Times New Roman" w:cs="Times New Roman"/>
          <w:bCs/>
          <w:sz w:val="24"/>
          <w:szCs w:val="24"/>
        </w:rPr>
        <w:t>milionë lekë</w:t>
      </w:r>
      <w:r w:rsidR="00E50800">
        <w:rPr>
          <w:rFonts w:ascii="Times New Roman" w:hAnsi="Times New Roman" w:cs="Times New Roman"/>
          <w:bCs/>
          <w:sz w:val="24"/>
          <w:szCs w:val="24"/>
        </w:rPr>
        <w:t>,</w:t>
      </w: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nga të cilat:</w:t>
      </w:r>
      <w:r w:rsidRPr="00E50800">
        <w:rPr>
          <w:rFonts w:ascii="Times New Roman" w:hAnsi="Times New Roman" w:cs="Times New Roman"/>
          <w:bCs/>
          <w:sz w:val="24"/>
          <w:szCs w:val="24"/>
        </w:rPr>
        <w:tab/>
      </w:r>
      <w:r w:rsidRPr="00E50800">
        <w:rPr>
          <w:rFonts w:ascii="Times New Roman" w:hAnsi="Times New Roman" w:cs="Times New Roman"/>
          <w:bCs/>
          <w:sz w:val="24"/>
          <w:szCs w:val="24"/>
        </w:rPr>
        <w:tab/>
      </w:r>
    </w:p>
    <w:p w:rsidR="00BD14E1" w:rsidRPr="00BE2F4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kontributet dhe të tjera</w:t>
      </w:r>
      <w:r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354DF5" w:rsidRPr="00BE2F40">
        <w:rPr>
          <w:rFonts w:ascii="Times New Roman" w:hAnsi="Times New Roman" w:cs="Times New Roman"/>
          <w:bCs/>
          <w:sz w:val="24"/>
          <w:szCs w:val="24"/>
        </w:rPr>
        <w:t xml:space="preserve">17 </w:t>
      </w:r>
      <w:r w:rsidR="005338A2" w:rsidRPr="00BE2F40">
        <w:rPr>
          <w:rFonts w:ascii="Times New Roman" w:hAnsi="Times New Roman" w:cs="Times New Roman"/>
          <w:bCs/>
          <w:sz w:val="24"/>
          <w:szCs w:val="24"/>
        </w:rPr>
        <w:t>077</w:t>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t xml:space="preserve"> </w:t>
      </w:r>
      <w:r w:rsidRPr="00BE2F40">
        <w:rPr>
          <w:rFonts w:ascii="Times New Roman" w:hAnsi="Times New Roman" w:cs="Times New Roman"/>
          <w:bCs/>
          <w:sz w:val="24"/>
          <w:szCs w:val="24"/>
        </w:rPr>
        <w:t>milionë lekë;</w:t>
      </w:r>
    </w:p>
    <w:p w:rsidR="00BD14E1" w:rsidRPr="00BE2F40" w:rsidRDefault="00BD14E1" w:rsidP="000468DA">
      <w:pPr>
        <w:spacing w:after="0"/>
        <w:ind w:firstLine="340"/>
        <w:jc w:val="both"/>
        <w:rPr>
          <w:rFonts w:ascii="Times New Roman" w:hAnsi="Times New Roman" w:cs="Times New Roman"/>
          <w:bCs/>
          <w:sz w:val="24"/>
          <w:szCs w:val="24"/>
        </w:rPr>
      </w:pPr>
      <w:r w:rsidRPr="00BE2F40">
        <w:rPr>
          <w:rFonts w:ascii="Times New Roman" w:hAnsi="Times New Roman" w:cs="Times New Roman"/>
          <w:bCs/>
          <w:sz w:val="24"/>
          <w:szCs w:val="24"/>
        </w:rPr>
        <w:t>- transferimet nga buxheti i shtetit</w:t>
      </w:r>
      <w:r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354DF5" w:rsidRPr="00BE2F40">
        <w:rPr>
          <w:rFonts w:ascii="Times New Roman" w:hAnsi="Times New Roman" w:cs="Times New Roman"/>
          <w:bCs/>
          <w:sz w:val="24"/>
          <w:szCs w:val="24"/>
        </w:rPr>
        <w:t>3</w:t>
      </w:r>
      <w:r w:rsidR="005338A2" w:rsidRPr="00BE2F40">
        <w:rPr>
          <w:rFonts w:ascii="Times New Roman" w:hAnsi="Times New Roman" w:cs="Times New Roman"/>
          <w:bCs/>
          <w:sz w:val="24"/>
          <w:szCs w:val="24"/>
        </w:rPr>
        <w:t>7 459</w:t>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53564A" w:rsidRPr="00BE2F40">
        <w:rPr>
          <w:rFonts w:ascii="Times New Roman" w:hAnsi="Times New Roman" w:cs="Times New Roman"/>
          <w:bCs/>
          <w:sz w:val="24"/>
          <w:szCs w:val="24"/>
        </w:rPr>
        <w:t xml:space="preserve">      </w:t>
      </w:r>
      <w:r w:rsidR="000468DA" w:rsidRPr="00BE2F40">
        <w:rPr>
          <w:rFonts w:ascii="Times New Roman" w:hAnsi="Times New Roman" w:cs="Times New Roman"/>
          <w:bCs/>
          <w:sz w:val="24"/>
          <w:szCs w:val="24"/>
        </w:rPr>
        <w:t xml:space="preserve"> </w:t>
      </w:r>
      <w:r w:rsidRPr="00BE2F40">
        <w:rPr>
          <w:rFonts w:ascii="Times New Roman" w:hAnsi="Times New Roman" w:cs="Times New Roman"/>
          <w:bCs/>
          <w:sz w:val="24"/>
          <w:szCs w:val="24"/>
        </w:rPr>
        <w:t>milionë lekë;</w:t>
      </w:r>
    </w:p>
    <w:p w:rsidR="00BD14E1" w:rsidRPr="00E50800" w:rsidRDefault="00BD14E1" w:rsidP="000468DA">
      <w:pPr>
        <w:spacing w:after="0"/>
        <w:ind w:firstLine="340"/>
        <w:jc w:val="both"/>
        <w:rPr>
          <w:rFonts w:ascii="Times New Roman" w:hAnsi="Times New Roman" w:cs="Times New Roman"/>
          <w:bCs/>
          <w:sz w:val="24"/>
          <w:szCs w:val="24"/>
        </w:rPr>
      </w:pPr>
      <w:r w:rsidRPr="00BE2F40">
        <w:rPr>
          <w:rFonts w:ascii="Times New Roman" w:hAnsi="Times New Roman" w:cs="Times New Roman"/>
          <w:bCs/>
          <w:sz w:val="24"/>
          <w:szCs w:val="24"/>
        </w:rPr>
        <w:t>Shpenzimet</w:t>
      </w:r>
      <w:r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354DF5" w:rsidRPr="00BE2F40">
        <w:rPr>
          <w:rFonts w:ascii="Times New Roman" w:hAnsi="Times New Roman" w:cs="Times New Roman"/>
          <w:bCs/>
          <w:sz w:val="24"/>
          <w:szCs w:val="24"/>
        </w:rPr>
        <w:t>54 536</w:t>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0468DA" w:rsidRPr="00BE2F40">
        <w:rPr>
          <w:rFonts w:ascii="Times New Roman" w:hAnsi="Times New Roman" w:cs="Times New Roman"/>
          <w:bCs/>
          <w:sz w:val="24"/>
          <w:szCs w:val="24"/>
        </w:rPr>
        <w:tab/>
      </w:r>
      <w:r w:rsidR="00354DF5" w:rsidRPr="00BE2F40">
        <w:rPr>
          <w:rFonts w:ascii="Times New Roman" w:hAnsi="Times New Roman" w:cs="Times New Roman"/>
          <w:bCs/>
          <w:sz w:val="24"/>
          <w:szCs w:val="24"/>
        </w:rPr>
        <w:t xml:space="preserve"> </w:t>
      </w:r>
      <w:r w:rsidR="0053564A" w:rsidRPr="00BE2F40">
        <w:rPr>
          <w:rFonts w:ascii="Times New Roman" w:hAnsi="Times New Roman" w:cs="Times New Roman"/>
          <w:bCs/>
          <w:sz w:val="24"/>
          <w:szCs w:val="24"/>
        </w:rPr>
        <w:t xml:space="preserve"> </w:t>
      </w:r>
      <w:r w:rsidRPr="00BE2F40">
        <w:rPr>
          <w:rFonts w:ascii="Times New Roman" w:hAnsi="Times New Roman" w:cs="Times New Roman"/>
          <w:bCs/>
          <w:sz w:val="24"/>
          <w:szCs w:val="24"/>
        </w:rPr>
        <w:t>milionë lekë</w:t>
      </w:r>
      <w:r w:rsidRPr="00E50800">
        <w:rPr>
          <w:rFonts w:ascii="Times New Roman" w:hAnsi="Times New Roman" w:cs="Times New Roman"/>
          <w:bCs/>
          <w:sz w:val="24"/>
          <w:szCs w:val="24"/>
        </w:rPr>
        <w:t>.</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lastRenderedPageBreak/>
        <w:t xml:space="preserve">Fondi pёr rimbursimin e medikamenteve nuk tejkalon tavanin prej 11 </w:t>
      </w:r>
      <w:r w:rsidR="0053564A">
        <w:rPr>
          <w:rFonts w:ascii="Times New Roman" w:hAnsi="Times New Roman" w:cs="Times New Roman"/>
          <w:bCs/>
          <w:sz w:val="24"/>
          <w:szCs w:val="24"/>
        </w:rPr>
        <w:t>4</w:t>
      </w:r>
      <w:r w:rsidRPr="00E50800">
        <w:rPr>
          <w:rFonts w:ascii="Times New Roman" w:hAnsi="Times New Roman" w:cs="Times New Roman"/>
          <w:bCs/>
          <w:sz w:val="24"/>
          <w:szCs w:val="24"/>
        </w:rPr>
        <w:t>00 milionë lekësh</w:t>
      </w:r>
      <w:r w:rsidR="0053564A">
        <w:rPr>
          <w:rFonts w:ascii="Times New Roman" w:hAnsi="Times New Roman" w:cs="Times New Roman"/>
          <w:bCs/>
          <w:sz w:val="24"/>
          <w:szCs w:val="24"/>
        </w:rPr>
        <w:t>.</w:t>
      </w:r>
      <w:r w:rsidRPr="00E50800">
        <w:rPr>
          <w:rFonts w:ascii="Times New Roman" w:hAnsi="Times New Roman" w:cs="Times New Roman"/>
          <w:bCs/>
          <w:sz w:val="24"/>
          <w:szCs w:val="24"/>
        </w:rPr>
        <w:t xml:space="preserve"> Fondi për shërbimin spitalor detajohet dhe përdoret me vendim të Këshillit të Ministrave.</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0468DA">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6</w:t>
      </w:r>
    </w:p>
    <w:p w:rsidR="00BD14E1" w:rsidRPr="00E50800" w:rsidRDefault="00BD14E1" w:rsidP="00BD14E1">
      <w:pPr>
        <w:spacing w:after="0"/>
        <w:jc w:val="both"/>
        <w:rPr>
          <w:rFonts w:ascii="Times New Roman" w:hAnsi="Times New Roman" w:cs="Times New Roman"/>
          <w:bCs/>
          <w:sz w:val="24"/>
          <w:szCs w:val="24"/>
        </w:rPr>
      </w:pPr>
    </w:p>
    <w:p w:rsidR="000468DA"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Buxheti i fondit për kompensimin në vlerë të pronarëve për vitin 202</w:t>
      </w:r>
      <w:r w:rsidR="0053564A">
        <w:rPr>
          <w:rFonts w:ascii="Times New Roman" w:hAnsi="Times New Roman" w:cs="Times New Roman"/>
          <w:bCs/>
          <w:sz w:val="24"/>
          <w:szCs w:val="24"/>
        </w:rPr>
        <w:t>3</w:t>
      </w:r>
      <w:r w:rsidRPr="00E50800">
        <w:rPr>
          <w:rFonts w:ascii="Times New Roman" w:hAnsi="Times New Roman" w:cs="Times New Roman"/>
          <w:bCs/>
          <w:sz w:val="24"/>
          <w:szCs w:val="24"/>
        </w:rPr>
        <w:t xml:space="preserve"> është: </w:t>
      </w: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 gjithsej</w:t>
      </w:r>
      <w:r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t xml:space="preserve">4 500 </w:t>
      </w:r>
      <w:r w:rsidRPr="00E50800">
        <w:rPr>
          <w:rFonts w:ascii="Times New Roman" w:hAnsi="Times New Roman" w:cs="Times New Roman"/>
          <w:bCs/>
          <w:sz w:val="24"/>
          <w:szCs w:val="24"/>
        </w:rPr>
        <w:t>milionë lekë</w:t>
      </w:r>
      <w:r w:rsidR="00E50800">
        <w:rPr>
          <w:rFonts w:ascii="Times New Roman" w:hAnsi="Times New Roman" w:cs="Times New Roman"/>
          <w:bCs/>
          <w:sz w:val="24"/>
          <w:szCs w:val="24"/>
        </w:rPr>
        <w:t>,</w:t>
      </w: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nga të cilat:</w:t>
      </w: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të ardhura të tjera</w:t>
      </w:r>
      <w:r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E50800">
        <w:rPr>
          <w:rFonts w:ascii="Times New Roman" w:hAnsi="Times New Roman" w:cs="Times New Roman"/>
          <w:bCs/>
          <w:sz w:val="24"/>
          <w:szCs w:val="24"/>
        </w:rPr>
        <w:t xml:space="preserve">1 000 </w:t>
      </w:r>
      <w:r w:rsidRPr="00E50800">
        <w:rPr>
          <w:rFonts w:ascii="Times New Roman" w:hAnsi="Times New Roman" w:cs="Times New Roman"/>
          <w:bCs/>
          <w:sz w:val="24"/>
          <w:szCs w:val="24"/>
        </w:rPr>
        <w:t>milionë lekë;</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transferimet nga buxheti i shtetit</w:t>
      </w:r>
      <w:r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E50800">
        <w:rPr>
          <w:rFonts w:ascii="Times New Roman" w:hAnsi="Times New Roman" w:cs="Times New Roman"/>
          <w:bCs/>
          <w:sz w:val="24"/>
          <w:szCs w:val="24"/>
        </w:rPr>
        <w:t xml:space="preserve">3 500 </w:t>
      </w:r>
      <w:r w:rsidRPr="00E50800">
        <w:rPr>
          <w:rFonts w:ascii="Times New Roman" w:hAnsi="Times New Roman" w:cs="Times New Roman"/>
          <w:bCs/>
          <w:sz w:val="24"/>
          <w:szCs w:val="24"/>
        </w:rPr>
        <w:t>milionë lekë;</w:t>
      </w: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Shpenzimet</w:t>
      </w:r>
      <w:r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0468DA" w:rsidRPr="00E50800">
        <w:rPr>
          <w:rFonts w:ascii="Times New Roman" w:hAnsi="Times New Roman" w:cs="Times New Roman"/>
          <w:bCs/>
          <w:sz w:val="24"/>
          <w:szCs w:val="24"/>
        </w:rPr>
        <w:tab/>
      </w:r>
      <w:r w:rsidR="00E50800">
        <w:rPr>
          <w:rFonts w:ascii="Times New Roman" w:hAnsi="Times New Roman" w:cs="Times New Roman"/>
          <w:bCs/>
          <w:sz w:val="24"/>
          <w:szCs w:val="24"/>
        </w:rPr>
        <w:t xml:space="preserve">4 500 </w:t>
      </w:r>
      <w:r w:rsidRPr="00E50800">
        <w:rPr>
          <w:rFonts w:ascii="Times New Roman" w:hAnsi="Times New Roman" w:cs="Times New Roman"/>
          <w:bCs/>
          <w:sz w:val="24"/>
          <w:szCs w:val="24"/>
        </w:rPr>
        <w:t>milionë lekë.</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0468DA">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7</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Fondi i rindërtimit për përballimin e pasojave t</w:t>
      </w:r>
      <w:r w:rsidR="00E50800">
        <w:rPr>
          <w:rFonts w:ascii="Times New Roman" w:hAnsi="Times New Roman" w:cs="Times New Roman"/>
          <w:bCs/>
          <w:sz w:val="24"/>
          <w:szCs w:val="24"/>
        </w:rPr>
        <w:t xml:space="preserve">ë tërmetit të vitit 2019 prej </w:t>
      </w:r>
      <w:r w:rsidR="0053564A">
        <w:rPr>
          <w:rFonts w:ascii="Times New Roman" w:hAnsi="Times New Roman" w:cs="Times New Roman"/>
          <w:bCs/>
          <w:sz w:val="24"/>
          <w:szCs w:val="24"/>
        </w:rPr>
        <w:t>5</w:t>
      </w:r>
      <w:r w:rsidRPr="00E50800">
        <w:rPr>
          <w:rFonts w:ascii="Times New Roman" w:hAnsi="Times New Roman" w:cs="Times New Roman"/>
          <w:bCs/>
          <w:sz w:val="24"/>
          <w:szCs w:val="24"/>
        </w:rPr>
        <w:t xml:space="preserve"> 000 milionë lekësh përdoret për të përballuar kostot për projektet e miratuara dhe të pafinancuara të viteve të mëparshme dhe pjesa e mbetur për projekte të reja.</w:t>
      </w: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Ky fond shton kufijtë e shpenzimeve për çdo ministri dhe institucion në nivel programi dhe kufijtë e transfertës së pakushtëzuar, të miratuar në tabelat 1 dhe 3, të përmendura në nenet 11 e 15 të këtij ligji.</w:t>
      </w: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Çdo e ardhur në formë granti, me destinacion përballimin e pasojave të tërmetit,  rrit në të njëjtën masë të ardhurat dhe shpenzimet e fondit të rindërtimit, duke shtuar kufijtë e përcaktuar në nenet 1, 2, 3 e 11, si dhe kufijtë e miratuar në tabelat  1, 3 dhe 4, të përmendura në nenet 11 e 15 të këtij ligji.</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0468DA">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8</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0468D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Përdorimi dhe investimi i fondit rezervë të sigurimeve shoqërore dhe shëndetësore bëhet sipas dispozitave ligjore në fuqi.</w:t>
      </w:r>
    </w:p>
    <w:p w:rsidR="000468DA" w:rsidRPr="00E50800" w:rsidRDefault="000468DA" w:rsidP="00BD14E1">
      <w:pPr>
        <w:spacing w:after="0"/>
        <w:jc w:val="both"/>
        <w:rPr>
          <w:rFonts w:ascii="Times New Roman" w:hAnsi="Times New Roman" w:cs="Times New Roman"/>
          <w:bCs/>
          <w:sz w:val="24"/>
          <w:szCs w:val="24"/>
        </w:rPr>
      </w:pPr>
    </w:p>
    <w:p w:rsidR="00BD14E1" w:rsidRPr="00E50800" w:rsidRDefault="00BD14E1" w:rsidP="00FF7D4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KREU II</w:t>
      </w:r>
    </w:p>
    <w:p w:rsidR="00BD14E1" w:rsidRPr="00E50800" w:rsidRDefault="00BD14E1" w:rsidP="00FF7D40">
      <w:pPr>
        <w:spacing w:after="0"/>
        <w:jc w:val="center"/>
        <w:rPr>
          <w:rFonts w:ascii="Times New Roman" w:hAnsi="Times New Roman" w:cs="Times New Roman"/>
          <w:bCs/>
          <w:sz w:val="24"/>
          <w:szCs w:val="24"/>
        </w:rPr>
      </w:pPr>
    </w:p>
    <w:p w:rsidR="00BD14E1" w:rsidRPr="00E50800" w:rsidRDefault="00BD14E1" w:rsidP="00FF7D4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BURIMET PËR MBËSHTETJEN E SHPENZIMEVE TË BUXHETIT TË SHTETIT</w:t>
      </w:r>
    </w:p>
    <w:p w:rsidR="00BD14E1" w:rsidRPr="00E50800" w:rsidRDefault="00BD14E1" w:rsidP="00FF7D40">
      <w:pPr>
        <w:spacing w:after="0"/>
        <w:jc w:val="center"/>
        <w:rPr>
          <w:rFonts w:ascii="Times New Roman" w:hAnsi="Times New Roman" w:cs="Times New Roman"/>
          <w:bCs/>
          <w:sz w:val="24"/>
          <w:szCs w:val="24"/>
        </w:rPr>
      </w:pPr>
    </w:p>
    <w:p w:rsidR="00BD14E1" w:rsidRPr="00E50800" w:rsidRDefault="00BD14E1" w:rsidP="00FF7D4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9</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 e buxhetit të shtetit sipas grupeve kryesore janë:</w:t>
      </w:r>
    </w:p>
    <w:p w:rsidR="00BD14E1" w:rsidRPr="00E50800" w:rsidRDefault="00BD14E1" w:rsidP="00FF7D4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Grantet</w:t>
      </w:r>
      <w:r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B008B9">
        <w:rPr>
          <w:rFonts w:ascii="Times New Roman" w:hAnsi="Times New Roman" w:cs="Times New Roman"/>
          <w:bCs/>
          <w:sz w:val="24"/>
          <w:szCs w:val="24"/>
        </w:rPr>
        <w:t xml:space="preserve">            </w:t>
      </w:r>
      <w:r w:rsidR="00FF7D40" w:rsidRPr="00E50800">
        <w:rPr>
          <w:rFonts w:ascii="Times New Roman" w:hAnsi="Times New Roman" w:cs="Times New Roman"/>
          <w:bCs/>
          <w:sz w:val="24"/>
          <w:szCs w:val="24"/>
        </w:rPr>
        <w:tab/>
      </w:r>
      <w:r w:rsidR="00B008B9">
        <w:rPr>
          <w:rFonts w:ascii="Times New Roman" w:hAnsi="Times New Roman" w:cs="Times New Roman"/>
          <w:bCs/>
          <w:sz w:val="24"/>
          <w:szCs w:val="24"/>
        </w:rPr>
        <w:t xml:space="preserve"> </w:t>
      </w:r>
      <w:r w:rsidR="00C925BC">
        <w:rPr>
          <w:rFonts w:ascii="Times New Roman" w:hAnsi="Times New Roman" w:cs="Times New Roman"/>
          <w:bCs/>
          <w:sz w:val="24"/>
          <w:szCs w:val="24"/>
        </w:rPr>
        <w:t>20 958</w:t>
      </w:r>
      <w:r w:rsidR="00FF7D40" w:rsidRPr="00E50800">
        <w:rPr>
          <w:rFonts w:ascii="Times New Roman" w:hAnsi="Times New Roman" w:cs="Times New Roman"/>
          <w:bCs/>
          <w:sz w:val="24"/>
          <w:szCs w:val="24"/>
        </w:rPr>
        <w:tab/>
      </w:r>
      <w:r w:rsidR="00B008B9">
        <w:rPr>
          <w:rFonts w:ascii="Times New Roman" w:hAnsi="Times New Roman" w:cs="Times New Roman"/>
          <w:bCs/>
          <w:sz w:val="24"/>
          <w:szCs w:val="24"/>
        </w:rPr>
        <w:t xml:space="preserve"> </w:t>
      </w:r>
      <w:r w:rsidR="00FF7D40" w:rsidRPr="00E50800">
        <w:rPr>
          <w:rFonts w:ascii="Times New Roman" w:hAnsi="Times New Roman" w:cs="Times New Roman"/>
          <w:bCs/>
          <w:sz w:val="24"/>
          <w:szCs w:val="24"/>
        </w:rPr>
        <w:t xml:space="preserve"> </w:t>
      </w:r>
      <w:r w:rsidR="00F74453">
        <w:rPr>
          <w:rFonts w:ascii="Times New Roman" w:hAnsi="Times New Roman" w:cs="Times New Roman"/>
          <w:bCs/>
          <w:sz w:val="24"/>
          <w:szCs w:val="24"/>
        </w:rPr>
        <w:t xml:space="preserve"> </w:t>
      </w:r>
      <w:r w:rsidR="00FF7D40" w:rsidRP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FF7D4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 tatimore</w:t>
      </w:r>
      <w:r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B008B9">
        <w:rPr>
          <w:rFonts w:ascii="Times New Roman" w:hAnsi="Times New Roman" w:cs="Times New Roman"/>
          <w:bCs/>
          <w:sz w:val="24"/>
          <w:szCs w:val="24"/>
        </w:rPr>
        <w:t>431 200</w:t>
      </w:r>
      <w:r w:rsidR="00FF7D40" w:rsidRPr="00E50800">
        <w:rPr>
          <w:rFonts w:ascii="Times New Roman" w:hAnsi="Times New Roman" w:cs="Times New Roman"/>
          <w:bCs/>
          <w:sz w:val="24"/>
          <w:szCs w:val="24"/>
        </w:rPr>
        <w:tab/>
      </w:r>
      <w:r w:rsidR="0053564A">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Default="00BD14E1" w:rsidP="00FF7D4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 jotatimore</w:t>
      </w:r>
      <w:r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r>
      <w:r w:rsidR="00B008B9">
        <w:rPr>
          <w:rFonts w:ascii="Times New Roman" w:hAnsi="Times New Roman" w:cs="Times New Roman"/>
          <w:bCs/>
          <w:sz w:val="24"/>
          <w:szCs w:val="24"/>
        </w:rPr>
        <w:t xml:space="preserve"> 22 900</w:t>
      </w:r>
      <w:r w:rsidR="00FF7D40" w:rsidRPr="00E50800">
        <w:rPr>
          <w:rFonts w:ascii="Times New Roman" w:hAnsi="Times New Roman" w:cs="Times New Roman"/>
          <w:bCs/>
          <w:sz w:val="24"/>
          <w:szCs w:val="24"/>
        </w:rPr>
        <w:tab/>
      </w:r>
      <w:r w:rsidR="00FF7D40" w:rsidRPr="00E50800">
        <w:rPr>
          <w:rFonts w:ascii="Times New Roman" w:hAnsi="Times New Roman" w:cs="Times New Roman"/>
          <w:bCs/>
          <w:sz w:val="24"/>
          <w:szCs w:val="24"/>
        </w:rPr>
        <w:tab/>
        <w:t xml:space="preserve"> </w:t>
      </w:r>
      <w:r w:rsidRPr="00E50800">
        <w:rPr>
          <w:rFonts w:ascii="Times New Roman" w:hAnsi="Times New Roman" w:cs="Times New Roman"/>
          <w:bCs/>
          <w:sz w:val="24"/>
          <w:szCs w:val="24"/>
        </w:rPr>
        <w:t>milionë lekë.</w:t>
      </w:r>
    </w:p>
    <w:p w:rsidR="00E50800" w:rsidRDefault="00E50800" w:rsidP="0053564A">
      <w:pPr>
        <w:spacing w:after="0"/>
        <w:jc w:val="both"/>
        <w:rPr>
          <w:rFonts w:ascii="Times New Roman" w:hAnsi="Times New Roman" w:cs="Times New Roman"/>
          <w:bCs/>
          <w:sz w:val="24"/>
          <w:szCs w:val="24"/>
        </w:rPr>
      </w:pPr>
    </w:p>
    <w:p w:rsidR="00E50800" w:rsidRPr="00E50800" w:rsidRDefault="00E50800" w:rsidP="00B008B9">
      <w:pPr>
        <w:spacing w:after="0"/>
        <w:jc w:val="both"/>
        <w:rPr>
          <w:rFonts w:ascii="Times New Roman" w:hAnsi="Times New Roman" w:cs="Times New Roman"/>
          <w:bCs/>
          <w:sz w:val="24"/>
          <w:szCs w:val="24"/>
        </w:rPr>
      </w:pPr>
    </w:p>
    <w:p w:rsidR="00BD14E1" w:rsidRPr="00E50800" w:rsidRDefault="00BD14E1" w:rsidP="00BD14E1">
      <w:pPr>
        <w:spacing w:after="0"/>
        <w:jc w:val="both"/>
        <w:rPr>
          <w:rFonts w:ascii="Times New Roman" w:hAnsi="Times New Roman" w:cs="Times New Roman"/>
          <w:bCs/>
          <w:sz w:val="24"/>
          <w:szCs w:val="24"/>
        </w:rPr>
      </w:pPr>
      <w:r w:rsidRPr="00E50800">
        <w:rPr>
          <w:rFonts w:ascii="Times New Roman" w:hAnsi="Times New Roman" w:cs="Times New Roman"/>
          <w:bCs/>
          <w:sz w:val="24"/>
          <w:szCs w:val="24"/>
        </w:rPr>
        <w:t xml:space="preserve"> </w:t>
      </w:r>
    </w:p>
    <w:p w:rsidR="00593289" w:rsidRDefault="00593289" w:rsidP="00593289">
      <w:pPr>
        <w:spacing w:after="0"/>
        <w:jc w:val="center"/>
        <w:rPr>
          <w:rFonts w:ascii="Times New Roman" w:hAnsi="Times New Roman" w:cs="Times New Roman"/>
          <w:bCs/>
          <w:sz w:val="24"/>
          <w:szCs w:val="24"/>
        </w:rPr>
      </w:pPr>
      <w:r>
        <w:rPr>
          <w:rFonts w:ascii="Times New Roman" w:hAnsi="Times New Roman" w:cs="Times New Roman"/>
          <w:bCs/>
          <w:sz w:val="24"/>
          <w:szCs w:val="24"/>
        </w:rPr>
        <w:t>Neni 10</w:t>
      </w:r>
    </w:p>
    <w:p w:rsidR="00593289" w:rsidRDefault="00593289" w:rsidP="00593289">
      <w:pPr>
        <w:spacing w:after="0"/>
        <w:jc w:val="both"/>
        <w:rPr>
          <w:rFonts w:ascii="Times New Roman" w:hAnsi="Times New Roman" w:cs="Times New Roman"/>
          <w:bCs/>
          <w:sz w:val="24"/>
          <w:szCs w:val="24"/>
        </w:rPr>
      </w:pP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lastRenderedPageBreak/>
        <w:t>Deficiti faktik i buxhetit të shtetit, i cili nuk duhet të rezultojë më tepër se deficiti i përcaktuar në nenin 1 të këtij ligji, mund të financohet nëpërmjet huamarrjes neto nga burime të brendshme deri në kufirin maksimal prej 25 000 milionë lekësh.</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Pjesa tjetër e financimit të deficitit faktik të buxhetit të shtetit financohet nëpërmjet huamarrjes neto nga burime të huaja, si dhe ndryshimit pakësues ose shtues të gjendjes së llogarisë unike të Këshillit të Ministrave në Bankën e Shqipërisë dhe llogarive të fondeve speciale në bankat e nivelit të dytë.</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Vlera indikative e financimit nëpërmjet huamarrjes neto nga burime të huaja është rreth 25 353 milionë lekë, ku përfshihen huamarrjet dhe ripagesat me vlera të përafërta indikative si më poshtë:</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huamarrje afatgjatë të destinuara për projekte me vlerë rreth 33 660 milionë lekë;</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emetimi i një Eurobondi me vlerë orientuese prej rreth 59 335 milionë lekë;</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huamarrje në formën “mbështetje buxhetore” nga institucione financiare ndërkombëtare me vlerë rreth 11 867 milionë lekë;</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 ripagesa të principalit me vlerë rreth (minus) 80 </w:t>
      </w:r>
      <w:r w:rsidR="008C032E">
        <w:rPr>
          <w:rFonts w:ascii="Times New Roman" w:hAnsi="Times New Roman" w:cs="Times New Roman"/>
          <w:bCs/>
          <w:sz w:val="24"/>
          <w:szCs w:val="24"/>
        </w:rPr>
        <w:t xml:space="preserve">310 </w:t>
      </w:r>
      <w:r>
        <w:rPr>
          <w:rFonts w:ascii="Times New Roman" w:hAnsi="Times New Roman" w:cs="Times New Roman"/>
          <w:bCs/>
          <w:sz w:val="24"/>
          <w:szCs w:val="24"/>
        </w:rPr>
        <w:t>milionë lekë të cilat përfshijnë edhe një parablerje të mundshme, të pjesëshme, të Eurobondit ekzistues që maturohet në vitin 2025, për një vlerë orientuese prej rreth (minus) 29 668 milion Lekë;</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nënhua për pushtetin vendor me vlerë rreth 800 milionë lekë.</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Vlera indikative e financimit nëpërmjet përdorimit të gjendjes së akumuluar në llogarinë unike të Këshillit të Ministrave në Bankën e Shqipërisë është rreth  (minus) 854 milionë lekë.</w:t>
      </w:r>
    </w:p>
    <w:p w:rsidR="00B40D3B" w:rsidRDefault="00B40D3B" w:rsidP="00B40D3B">
      <w:pPr>
        <w:spacing w:after="0" w:line="240" w:lineRule="auto"/>
        <w:ind w:firstLine="3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Vlera indikative e financimit nëpërmjet përdorimit të gjendjes së akumuluar në llogaritë e fondeve speciale në bankat e nivelit të dytë është rreth 6 000 milionë lekë.</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Çdo diferencë që mund të rezultojë midis financimit total neto nga burimet e ndryshme të përmendura në këtë nen dhe deficitit faktik të buxhetit të shtetit, në rast teprice, akumulohet në llogarinë unike të Këshillit të Ministrave në Bankën e Shqipërisë ose, në rast mungese, përdoret nga gjendja e kësaj llogarie.</w:t>
      </w:r>
    </w:p>
    <w:p w:rsidR="00B40D3B" w:rsidRDefault="00B40D3B" w:rsidP="00B40D3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Të ardhurat nga privatizimi, që mund të krijohen gjatë vitit 2023, përdoren jo më pak se 50 për qind për uljen e kufirit të huamarrjes neto nga burime të brendshme dhe pjesa tjetër përdoret me vendim të Këshillit të Ministrave për rritjen e kufirit të shpenzimeve kapitale, e cila automatikisht rrit me të njëjtën masë kufirin e deficitit të buxhetit të shtetit, të përcaktuar në nenet 1 dhe 2 të këtij ligji.</w:t>
      </w:r>
    </w:p>
    <w:p w:rsidR="00B40D3B" w:rsidRDefault="00B40D3B" w:rsidP="00B40D3B">
      <w:pPr>
        <w:spacing w:after="0"/>
        <w:jc w:val="both"/>
        <w:rPr>
          <w:rFonts w:ascii="Times New Roman" w:hAnsi="Times New Roman" w:cs="Times New Roman"/>
          <w:bCs/>
          <w:sz w:val="24"/>
          <w:szCs w:val="24"/>
        </w:rPr>
      </w:pPr>
    </w:p>
    <w:p w:rsidR="00FF7D40" w:rsidRPr="00E50800" w:rsidRDefault="00FF7D40" w:rsidP="00BD14E1">
      <w:pPr>
        <w:spacing w:after="0"/>
        <w:jc w:val="both"/>
        <w:rPr>
          <w:rFonts w:ascii="Times New Roman" w:hAnsi="Times New Roman" w:cs="Times New Roman"/>
          <w:bCs/>
          <w:sz w:val="24"/>
          <w:szCs w:val="24"/>
        </w:rPr>
      </w:pPr>
    </w:p>
    <w:p w:rsidR="00BD14E1" w:rsidRPr="00E50800" w:rsidRDefault="00BD14E1" w:rsidP="00FF7D4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KREU III</w:t>
      </w:r>
    </w:p>
    <w:p w:rsidR="00BD14E1" w:rsidRPr="00E50800" w:rsidRDefault="00BD14E1" w:rsidP="00FF7D40">
      <w:pPr>
        <w:spacing w:after="0"/>
        <w:jc w:val="center"/>
        <w:rPr>
          <w:rFonts w:ascii="Times New Roman" w:hAnsi="Times New Roman" w:cs="Times New Roman"/>
          <w:bCs/>
          <w:sz w:val="24"/>
          <w:szCs w:val="24"/>
        </w:rPr>
      </w:pPr>
    </w:p>
    <w:p w:rsidR="00BD14E1" w:rsidRPr="00E50800" w:rsidRDefault="00BD14E1" w:rsidP="00FF7D4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SHPENZIMET E BUXHETIT TË SHTETIT</w:t>
      </w:r>
    </w:p>
    <w:p w:rsidR="00BD14E1" w:rsidRPr="00E50800" w:rsidRDefault="00BD14E1" w:rsidP="00FF7D40">
      <w:pPr>
        <w:spacing w:after="0"/>
        <w:jc w:val="center"/>
        <w:rPr>
          <w:rFonts w:ascii="Times New Roman" w:hAnsi="Times New Roman" w:cs="Times New Roman"/>
          <w:bCs/>
          <w:sz w:val="24"/>
          <w:szCs w:val="24"/>
        </w:rPr>
      </w:pPr>
    </w:p>
    <w:p w:rsidR="00BD14E1" w:rsidRPr="00E50800" w:rsidRDefault="00BD14E1" w:rsidP="00FF7D4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11</w:t>
      </w:r>
    </w:p>
    <w:p w:rsidR="00BD14E1" w:rsidRPr="00E50800" w:rsidRDefault="00BD14E1" w:rsidP="00FF7D40">
      <w:pPr>
        <w:spacing w:after="0"/>
        <w:jc w:val="center"/>
        <w:rPr>
          <w:rFonts w:ascii="Times New Roman" w:hAnsi="Times New Roman" w:cs="Times New Roman"/>
          <w:bCs/>
          <w:sz w:val="24"/>
          <w:szCs w:val="24"/>
        </w:rPr>
      </w:pP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Shpenzimet e buxhetit të shtetit sipas grupeve kryesore janë: </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w:t>
      </w:r>
      <w:r w:rsidRPr="00E50800">
        <w:rPr>
          <w:rFonts w:ascii="Times New Roman" w:hAnsi="Times New Roman" w:cs="Times New Roman"/>
          <w:bCs/>
          <w:sz w:val="24"/>
          <w:szCs w:val="24"/>
        </w:rPr>
        <w:tab/>
        <w:t>shpenzime të buxhetit qendror</w:t>
      </w:r>
      <w:r w:rsidRPr="00E50800">
        <w:rPr>
          <w:rFonts w:ascii="Times New Roman" w:hAnsi="Times New Roman" w:cs="Times New Roman"/>
          <w:bCs/>
          <w:sz w:val="24"/>
          <w:szCs w:val="24"/>
        </w:rPr>
        <w:tab/>
        <w:t xml:space="preserve"> </w:t>
      </w:r>
      <w:r w:rsidR="00223E8B" w:rsidRPr="00E50800">
        <w:rPr>
          <w:rFonts w:ascii="Times New Roman" w:hAnsi="Times New Roman" w:cs="Times New Roman"/>
          <w:bCs/>
          <w:sz w:val="24"/>
          <w:szCs w:val="24"/>
        </w:rPr>
        <w:tab/>
      </w:r>
      <w:r w:rsidR="00223E8B" w:rsidRPr="00E50800">
        <w:rPr>
          <w:rFonts w:ascii="Times New Roman" w:hAnsi="Times New Roman" w:cs="Times New Roman"/>
          <w:bCs/>
          <w:sz w:val="24"/>
          <w:szCs w:val="24"/>
        </w:rPr>
        <w:tab/>
      </w:r>
      <w:r w:rsidR="00223E8B" w:rsidRPr="00E50800">
        <w:rPr>
          <w:rFonts w:ascii="Times New Roman" w:hAnsi="Times New Roman" w:cs="Times New Roman"/>
          <w:bCs/>
          <w:sz w:val="24"/>
          <w:szCs w:val="24"/>
        </w:rPr>
        <w:tab/>
      </w:r>
      <w:r w:rsidR="00B008B9">
        <w:rPr>
          <w:rFonts w:ascii="Times New Roman" w:hAnsi="Times New Roman" w:cs="Times New Roman"/>
          <w:bCs/>
          <w:sz w:val="24"/>
          <w:szCs w:val="24"/>
        </w:rPr>
        <w:t xml:space="preserve"> </w:t>
      </w:r>
      <w:r w:rsidR="00C925BC">
        <w:rPr>
          <w:rFonts w:ascii="Times New Roman" w:hAnsi="Times New Roman" w:cs="Times New Roman"/>
          <w:bCs/>
          <w:sz w:val="24"/>
          <w:szCs w:val="24"/>
        </w:rPr>
        <w:t xml:space="preserve">  </w:t>
      </w:r>
      <w:r w:rsidR="00B008B9">
        <w:rPr>
          <w:rFonts w:ascii="Times New Roman" w:hAnsi="Times New Roman" w:cs="Times New Roman"/>
          <w:bCs/>
          <w:sz w:val="24"/>
          <w:szCs w:val="24"/>
        </w:rPr>
        <w:t xml:space="preserve">  51</w:t>
      </w:r>
      <w:r w:rsidR="00C925BC">
        <w:rPr>
          <w:rFonts w:ascii="Times New Roman" w:hAnsi="Times New Roman" w:cs="Times New Roman"/>
          <w:bCs/>
          <w:sz w:val="24"/>
          <w:szCs w:val="24"/>
        </w:rPr>
        <w:t>9</w:t>
      </w:r>
      <w:r w:rsidR="00B008B9">
        <w:rPr>
          <w:rFonts w:ascii="Times New Roman" w:hAnsi="Times New Roman" w:cs="Times New Roman"/>
          <w:bCs/>
          <w:sz w:val="24"/>
          <w:szCs w:val="24"/>
        </w:rPr>
        <w:t xml:space="preserve"> 056</w:t>
      </w:r>
      <w:r w:rsidR="00223E8B" w:rsidRPr="00E50800">
        <w:rPr>
          <w:rFonts w:ascii="Times New Roman" w:hAnsi="Times New Roman" w:cs="Times New Roman"/>
          <w:bCs/>
          <w:sz w:val="24"/>
          <w:szCs w:val="24"/>
        </w:rPr>
        <w:tab/>
      </w:r>
      <w:r w:rsidRPr="00E50800">
        <w:rPr>
          <w:rFonts w:ascii="Times New Roman" w:hAnsi="Times New Roman" w:cs="Times New Roman"/>
          <w:bCs/>
          <w:sz w:val="24"/>
          <w:szCs w:val="24"/>
        </w:rPr>
        <w:t>milionë lekë;</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w:t>
      </w:r>
      <w:r w:rsidRPr="00E50800">
        <w:rPr>
          <w:rFonts w:ascii="Times New Roman" w:hAnsi="Times New Roman" w:cs="Times New Roman"/>
          <w:bCs/>
          <w:sz w:val="24"/>
          <w:szCs w:val="24"/>
        </w:rPr>
        <w:tab/>
        <w:t>fondi rezervë i buxhetit</w:t>
      </w:r>
      <w:r w:rsidR="00C925BC">
        <w:rPr>
          <w:rFonts w:ascii="Times New Roman" w:hAnsi="Times New Roman" w:cs="Times New Roman"/>
          <w:bCs/>
          <w:sz w:val="24"/>
          <w:szCs w:val="24"/>
        </w:rPr>
        <w:t xml:space="preserve"> dhe kontigjenca  </w:t>
      </w:r>
      <w:r w:rsidR="00B008B9">
        <w:rPr>
          <w:rFonts w:ascii="Times New Roman" w:hAnsi="Times New Roman" w:cs="Times New Roman"/>
          <w:bCs/>
          <w:sz w:val="24"/>
          <w:szCs w:val="24"/>
        </w:rPr>
        <w:t xml:space="preserve">   </w:t>
      </w:r>
      <w:r w:rsidR="00C925BC">
        <w:rPr>
          <w:rFonts w:ascii="Times New Roman" w:hAnsi="Times New Roman" w:cs="Times New Roman"/>
          <w:bCs/>
          <w:sz w:val="24"/>
          <w:szCs w:val="24"/>
        </w:rPr>
        <w:t xml:space="preserve">  </w:t>
      </w:r>
      <w:r w:rsidR="00223E8B" w:rsidRPr="00E50800">
        <w:rPr>
          <w:rFonts w:ascii="Times New Roman" w:hAnsi="Times New Roman" w:cs="Times New Roman"/>
          <w:bCs/>
          <w:sz w:val="24"/>
          <w:szCs w:val="24"/>
        </w:rPr>
        <w:tab/>
      </w:r>
      <w:r w:rsidR="00B008B9">
        <w:rPr>
          <w:rFonts w:ascii="Times New Roman" w:hAnsi="Times New Roman" w:cs="Times New Roman"/>
          <w:bCs/>
          <w:sz w:val="24"/>
          <w:szCs w:val="24"/>
        </w:rPr>
        <w:t xml:space="preserve"> </w:t>
      </w:r>
      <w:r w:rsidR="00C925BC">
        <w:rPr>
          <w:rFonts w:ascii="Times New Roman" w:hAnsi="Times New Roman" w:cs="Times New Roman"/>
          <w:bCs/>
          <w:sz w:val="24"/>
          <w:szCs w:val="24"/>
        </w:rPr>
        <w:t xml:space="preserve"> 6</w:t>
      </w:r>
      <w:r w:rsidR="00B008B9">
        <w:rPr>
          <w:rFonts w:ascii="Times New Roman" w:hAnsi="Times New Roman" w:cs="Times New Roman"/>
          <w:bCs/>
          <w:sz w:val="24"/>
          <w:szCs w:val="24"/>
        </w:rPr>
        <w:t xml:space="preserve"> 600</w:t>
      </w:r>
      <w:r w:rsidR="00223E8B" w:rsidRPr="00E50800">
        <w:rPr>
          <w:rFonts w:ascii="Times New Roman" w:hAnsi="Times New Roman" w:cs="Times New Roman"/>
          <w:bCs/>
          <w:sz w:val="24"/>
          <w:szCs w:val="24"/>
        </w:rPr>
        <w:tab/>
      </w:r>
      <w:r w:rsidR="0053564A">
        <w:rPr>
          <w:rFonts w:ascii="Times New Roman" w:hAnsi="Times New Roman" w:cs="Times New Roman"/>
          <w:bCs/>
          <w:sz w:val="24"/>
          <w:szCs w:val="24"/>
        </w:rPr>
        <w:t xml:space="preserve">     </w:t>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w:t>
      </w:r>
      <w:r w:rsidRPr="00E50800">
        <w:rPr>
          <w:rFonts w:ascii="Times New Roman" w:hAnsi="Times New Roman" w:cs="Times New Roman"/>
          <w:bCs/>
          <w:sz w:val="24"/>
          <w:szCs w:val="24"/>
        </w:rPr>
        <w:tab/>
        <w:t>kontingjencë për risqet e borxhit</w:t>
      </w:r>
      <w:r w:rsidRPr="00E50800">
        <w:rPr>
          <w:rFonts w:ascii="Times New Roman" w:hAnsi="Times New Roman" w:cs="Times New Roman"/>
          <w:bCs/>
          <w:sz w:val="24"/>
          <w:szCs w:val="24"/>
        </w:rPr>
        <w:tab/>
      </w:r>
      <w:r w:rsidR="00223E8B" w:rsidRPr="00E50800">
        <w:rPr>
          <w:rFonts w:ascii="Times New Roman" w:hAnsi="Times New Roman" w:cs="Times New Roman"/>
          <w:bCs/>
          <w:sz w:val="24"/>
          <w:szCs w:val="24"/>
        </w:rPr>
        <w:tab/>
      </w:r>
      <w:r w:rsidR="00223E8B" w:rsidRPr="00E50800">
        <w:rPr>
          <w:rFonts w:ascii="Times New Roman" w:hAnsi="Times New Roman" w:cs="Times New Roman"/>
          <w:bCs/>
          <w:sz w:val="24"/>
          <w:szCs w:val="24"/>
        </w:rPr>
        <w:tab/>
      </w:r>
      <w:r w:rsidR="00B008B9">
        <w:rPr>
          <w:rFonts w:ascii="Times New Roman" w:hAnsi="Times New Roman" w:cs="Times New Roman"/>
          <w:bCs/>
          <w:sz w:val="24"/>
          <w:szCs w:val="24"/>
        </w:rPr>
        <w:t xml:space="preserve">  </w:t>
      </w:r>
      <w:r w:rsidR="00223E8B" w:rsidRPr="00E50800">
        <w:rPr>
          <w:rFonts w:ascii="Times New Roman" w:hAnsi="Times New Roman" w:cs="Times New Roman"/>
          <w:bCs/>
          <w:sz w:val="24"/>
          <w:szCs w:val="24"/>
        </w:rPr>
        <w:tab/>
      </w:r>
      <w:r w:rsidR="00C925BC">
        <w:rPr>
          <w:rFonts w:ascii="Times New Roman" w:hAnsi="Times New Roman" w:cs="Times New Roman"/>
          <w:bCs/>
          <w:sz w:val="24"/>
          <w:szCs w:val="24"/>
        </w:rPr>
        <w:t xml:space="preserve"> </w:t>
      </w:r>
      <w:r w:rsidR="00B008B9">
        <w:rPr>
          <w:rFonts w:ascii="Times New Roman" w:hAnsi="Times New Roman" w:cs="Times New Roman"/>
          <w:bCs/>
          <w:sz w:val="24"/>
          <w:szCs w:val="24"/>
        </w:rPr>
        <w:t xml:space="preserve"> 4 900</w:t>
      </w:r>
      <w:r w:rsidR="00223E8B" w:rsidRPr="00E50800">
        <w:rPr>
          <w:rFonts w:ascii="Times New Roman" w:hAnsi="Times New Roman" w:cs="Times New Roman"/>
          <w:bCs/>
          <w:sz w:val="24"/>
          <w:szCs w:val="24"/>
        </w:rPr>
        <w:tab/>
      </w:r>
      <w:r w:rsidR="0053564A">
        <w:rPr>
          <w:rFonts w:ascii="Times New Roman" w:hAnsi="Times New Roman" w:cs="Times New Roman"/>
          <w:bCs/>
          <w:sz w:val="24"/>
          <w:szCs w:val="24"/>
        </w:rPr>
        <w:t xml:space="preserve">      </w:t>
      </w:r>
      <w:r w:rsidR="00E50800">
        <w:rPr>
          <w:rFonts w:ascii="Times New Roman" w:hAnsi="Times New Roman" w:cs="Times New Roman"/>
          <w:bCs/>
          <w:sz w:val="24"/>
          <w:szCs w:val="24"/>
        </w:rPr>
        <w:t xml:space="preserve"> </w:t>
      </w:r>
      <w:r w:rsidRPr="00E50800">
        <w:rPr>
          <w:rFonts w:ascii="Times New Roman" w:hAnsi="Times New Roman" w:cs="Times New Roman"/>
          <w:bCs/>
          <w:sz w:val="24"/>
          <w:szCs w:val="24"/>
        </w:rPr>
        <w:t>milionë lekë;</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Kufiri i shpenzimeve për çdo ministri dhe institucion, në nivel programi, për shpenzime korrente dhe kapitale është sipas tabelës 1 që i bashkëlidhet këtij ligji.</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Në tabelat 1/1 dhe 1/2 përcaktohen kufijtë e shpenzimeve për çdo ministri dhe institucion, në nivel programi, për shpenzime korrente dhe kapitale, përkatësisht  për vitet 202</w:t>
      </w:r>
      <w:r w:rsidR="0053564A">
        <w:rPr>
          <w:rFonts w:ascii="Times New Roman" w:hAnsi="Times New Roman" w:cs="Times New Roman"/>
          <w:bCs/>
          <w:sz w:val="24"/>
          <w:szCs w:val="24"/>
        </w:rPr>
        <w:t>4</w:t>
      </w:r>
      <w:r w:rsidRPr="00E50800">
        <w:rPr>
          <w:rFonts w:ascii="Times New Roman" w:hAnsi="Times New Roman" w:cs="Times New Roman"/>
          <w:bCs/>
          <w:sz w:val="24"/>
          <w:szCs w:val="24"/>
        </w:rPr>
        <w:t xml:space="preserve"> dhe 202</w:t>
      </w:r>
      <w:r w:rsidR="0053564A">
        <w:rPr>
          <w:rFonts w:ascii="Times New Roman" w:hAnsi="Times New Roman" w:cs="Times New Roman"/>
          <w:bCs/>
          <w:sz w:val="24"/>
          <w:szCs w:val="24"/>
        </w:rPr>
        <w:t>5</w:t>
      </w:r>
      <w:r w:rsidRPr="00E50800">
        <w:rPr>
          <w:rFonts w:ascii="Times New Roman" w:hAnsi="Times New Roman" w:cs="Times New Roman"/>
          <w:bCs/>
          <w:sz w:val="24"/>
          <w:szCs w:val="24"/>
        </w:rPr>
        <w:t xml:space="preserve">. </w:t>
      </w:r>
      <w:r w:rsidRPr="00E50800">
        <w:rPr>
          <w:rFonts w:ascii="Times New Roman" w:hAnsi="Times New Roman" w:cs="Times New Roman"/>
          <w:bCs/>
          <w:sz w:val="24"/>
          <w:szCs w:val="24"/>
        </w:rPr>
        <w:lastRenderedPageBreak/>
        <w:t>Transferta e pakushtëzuar p</w:t>
      </w:r>
      <w:r w:rsidR="00F74453">
        <w:rPr>
          <w:rFonts w:ascii="Times New Roman" w:hAnsi="Times New Roman" w:cs="Times New Roman"/>
          <w:bCs/>
          <w:sz w:val="24"/>
          <w:szCs w:val="24"/>
        </w:rPr>
        <w:t xml:space="preserve">ër çdo njësi të vetëqeverisjes </w:t>
      </w:r>
      <w:r w:rsidRPr="00E50800">
        <w:rPr>
          <w:rFonts w:ascii="Times New Roman" w:hAnsi="Times New Roman" w:cs="Times New Roman"/>
          <w:bCs/>
          <w:sz w:val="24"/>
          <w:szCs w:val="24"/>
        </w:rPr>
        <w:t>vendore miratohet vetëm për vitin 202</w:t>
      </w:r>
      <w:r w:rsidR="0053564A">
        <w:rPr>
          <w:rFonts w:ascii="Times New Roman" w:hAnsi="Times New Roman" w:cs="Times New Roman"/>
          <w:bCs/>
          <w:sz w:val="24"/>
          <w:szCs w:val="24"/>
        </w:rPr>
        <w:t>3</w:t>
      </w:r>
      <w:r w:rsidRPr="00E50800">
        <w:rPr>
          <w:rFonts w:ascii="Times New Roman" w:hAnsi="Times New Roman" w:cs="Times New Roman"/>
          <w:bCs/>
          <w:sz w:val="24"/>
          <w:szCs w:val="24"/>
        </w:rPr>
        <w:t>.</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Të ardhurat dhe shpenzimet e buxhetit, sipas zërave kryesorë, për dy vitet e mëparshme fiskale dhe tri vitet e ardhshme janë sipas tabelës 4 që i bashkëlidhet  këtij ligji.</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Njësitë e qeverisjes së përgjithshme mund të filloj</w:t>
      </w:r>
      <w:r w:rsidR="00F74453">
        <w:rPr>
          <w:rFonts w:ascii="Times New Roman" w:hAnsi="Times New Roman" w:cs="Times New Roman"/>
          <w:bCs/>
          <w:sz w:val="24"/>
          <w:szCs w:val="24"/>
        </w:rPr>
        <w:t xml:space="preserve">në procedurën e prokurimit që  </w:t>
      </w:r>
      <w:r w:rsidRPr="00E50800">
        <w:rPr>
          <w:rFonts w:ascii="Times New Roman" w:hAnsi="Times New Roman" w:cs="Times New Roman"/>
          <w:bCs/>
          <w:sz w:val="24"/>
          <w:szCs w:val="24"/>
        </w:rPr>
        <w:t>në muajin nëntor të vitit korrent, nëse fondet janë akorduar/regjistruar në sistemin e thesarit për vitet 202</w:t>
      </w:r>
      <w:r w:rsidR="0053564A">
        <w:rPr>
          <w:rFonts w:ascii="Times New Roman" w:hAnsi="Times New Roman" w:cs="Times New Roman"/>
          <w:bCs/>
          <w:sz w:val="24"/>
          <w:szCs w:val="24"/>
        </w:rPr>
        <w:t>3</w:t>
      </w:r>
      <w:r w:rsidRPr="00E50800">
        <w:rPr>
          <w:rFonts w:ascii="Times New Roman" w:hAnsi="Times New Roman" w:cs="Times New Roman"/>
          <w:bCs/>
          <w:sz w:val="24"/>
          <w:szCs w:val="24"/>
        </w:rPr>
        <w:t xml:space="preserve"> dhe 202</w:t>
      </w:r>
      <w:r w:rsidR="0053564A">
        <w:rPr>
          <w:rFonts w:ascii="Times New Roman" w:hAnsi="Times New Roman" w:cs="Times New Roman"/>
          <w:bCs/>
          <w:sz w:val="24"/>
          <w:szCs w:val="24"/>
        </w:rPr>
        <w:t>4</w:t>
      </w:r>
      <w:r w:rsidRPr="00E50800">
        <w:rPr>
          <w:rFonts w:ascii="Times New Roman" w:hAnsi="Times New Roman" w:cs="Times New Roman"/>
          <w:bCs/>
          <w:sz w:val="24"/>
          <w:szCs w:val="24"/>
        </w:rPr>
        <w:t>, me kushtin që lidhja e kontratës të bëhet efektive vetëm pas hyrjes në fuqi të këtij ligji.</w:t>
      </w:r>
    </w:p>
    <w:p w:rsidR="00BD14E1"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Kriteret bazë, masa e përfitimit, mënyra e përdorimit të fondit, të përcaktuara në shpenzimet korrente të programit buxhetor “Zhvillimi rural duke mbështetur prodhimin bujqësor, blegtoral, agroindustrial dhe marketingun” në Ministrinë e Bujqësisë dhe Zhvillimit Rural, për skemën e mbës</w:t>
      </w:r>
      <w:r w:rsidR="00F74453">
        <w:rPr>
          <w:rFonts w:ascii="Times New Roman" w:hAnsi="Times New Roman" w:cs="Times New Roman"/>
          <w:bCs/>
          <w:sz w:val="24"/>
          <w:szCs w:val="24"/>
        </w:rPr>
        <w:t>htetjes së naftës për bujqësinë</w:t>
      </w:r>
      <w:r w:rsidRPr="00E50800">
        <w:rPr>
          <w:rFonts w:ascii="Times New Roman" w:hAnsi="Times New Roman" w:cs="Times New Roman"/>
          <w:bCs/>
          <w:sz w:val="24"/>
          <w:szCs w:val="24"/>
        </w:rPr>
        <w:t xml:space="preserve"> miratohen me vendim të Këshillit të Ministrave.</w:t>
      </w:r>
    </w:p>
    <w:p w:rsidR="009E58D8" w:rsidRPr="00E50800" w:rsidRDefault="009E58D8" w:rsidP="009E58D8">
      <w:pPr>
        <w:spacing w:after="0"/>
        <w:ind w:firstLine="340"/>
        <w:jc w:val="both"/>
        <w:rPr>
          <w:rFonts w:ascii="Times New Roman" w:hAnsi="Times New Roman" w:cs="Times New Roman"/>
          <w:bCs/>
          <w:sz w:val="24"/>
          <w:szCs w:val="24"/>
        </w:rPr>
      </w:pPr>
      <w:r w:rsidRPr="00185F95">
        <w:rPr>
          <w:rFonts w:ascii="Times New Roman" w:hAnsi="Times New Roman" w:cs="Times New Roman"/>
          <w:bCs/>
          <w:sz w:val="24"/>
          <w:szCs w:val="24"/>
        </w:rPr>
        <w:t xml:space="preserve">Fondi prej </w:t>
      </w:r>
      <w:r>
        <w:rPr>
          <w:rFonts w:ascii="Times New Roman" w:hAnsi="Times New Roman" w:cs="Times New Roman"/>
          <w:bCs/>
          <w:sz w:val="24"/>
          <w:szCs w:val="24"/>
        </w:rPr>
        <w:t>12</w:t>
      </w:r>
      <w:r w:rsidRPr="00185F95">
        <w:rPr>
          <w:rFonts w:ascii="Times New Roman" w:hAnsi="Times New Roman" w:cs="Times New Roman"/>
          <w:bCs/>
          <w:sz w:val="24"/>
          <w:szCs w:val="24"/>
        </w:rPr>
        <w:t xml:space="preserve"> 000 milionë lekësh për mbështetjen e sektorit energjetik përdoret me vendime të Këshillit të Ministrave, me propozimin e ministrit përgjegjës për energjinë dhe ministrit përgjegjës për financat</w:t>
      </w:r>
      <w:r>
        <w:rPr>
          <w:rFonts w:ascii="Times New Roman" w:hAnsi="Times New Roman" w:cs="Times New Roman"/>
          <w:bCs/>
          <w:sz w:val="24"/>
          <w:szCs w:val="24"/>
        </w:rPr>
        <w:t>.</w:t>
      </w:r>
      <w:bookmarkStart w:id="0" w:name="_GoBack"/>
      <w:bookmarkEnd w:id="0"/>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Fondi prej 2 </w:t>
      </w:r>
      <w:r w:rsidR="0053564A">
        <w:rPr>
          <w:rFonts w:ascii="Times New Roman" w:hAnsi="Times New Roman" w:cs="Times New Roman"/>
          <w:bCs/>
          <w:sz w:val="24"/>
          <w:szCs w:val="24"/>
        </w:rPr>
        <w:t>3</w:t>
      </w:r>
      <w:r w:rsidRPr="00E50800">
        <w:rPr>
          <w:rFonts w:ascii="Times New Roman" w:hAnsi="Times New Roman" w:cs="Times New Roman"/>
          <w:bCs/>
          <w:sz w:val="24"/>
          <w:szCs w:val="24"/>
        </w:rPr>
        <w:t>00 milionë lekësh përdoret për politika të reja pagash, sipas përcaktimeve që miratohen me vendim të Këshillit të Ministrave.</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Fondi </w:t>
      </w:r>
      <w:r w:rsidRPr="0027656E">
        <w:rPr>
          <w:rFonts w:ascii="Times New Roman" w:hAnsi="Times New Roman" w:cs="Times New Roman"/>
          <w:bCs/>
          <w:sz w:val="24"/>
          <w:szCs w:val="24"/>
        </w:rPr>
        <w:t>prej 20</w:t>
      </w:r>
      <w:r w:rsidRPr="008F3731">
        <w:rPr>
          <w:rFonts w:ascii="Times New Roman" w:hAnsi="Times New Roman" w:cs="Times New Roman"/>
          <w:bCs/>
          <w:sz w:val="24"/>
          <w:szCs w:val="24"/>
        </w:rPr>
        <w:t>0 milionë</w:t>
      </w:r>
      <w:r w:rsidRPr="00A141B7">
        <w:rPr>
          <w:rFonts w:ascii="Times New Roman" w:hAnsi="Times New Roman" w:cs="Times New Roman"/>
          <w:bCs/>
          <w:sz w:val="24"/>
          <w:szCs w:val="24"/>
        </w:rPr>
        <w:t xml:space="preserve"> lekësh</w:t>
      </w:r>
      <w:r w:rsidRPr="00E50800">
        <w:rPr>
          <w:rFonts w:ascii="Times New Roman" w:hAnsi="Times New Roman" w:cs="Times New Roman"/>
          <w:bCs/>
          <w:sz w:val="24"/>
          <w:szCs w:val="24"/>
        </w:rPr>
        <w:t>, i parashikuar në programin buxhetor “Ekzekutimi i pagesave të ndryshme” në Ministrinë e Financave dhe Ekonomisë, përdoret për parafinancimin, bashkëfinancimin dhe pagesën e tatimit mbi vlerën e shtuar dhe të detyrimeve doganore për projektet me financim të huaj. Procedurat e shpërndarjes së këtij fondi përcaktohen me udhëzim të ministrit përgjegjës për financat. Shumat e shpërndara nga ky fond shtojnë kufijtë e shpenzimeve të përcaktuara në nenin 3, si dhe në tabelat 1 dhe 3, që përmenden respektivisht në nenet 11 dhe 15 të këtij ligji.</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223E8B">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12</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Numri i përgjithshëm i punonjësve në organikë është</w:t>
      </w:r>
      <w:r w:rsidR="00A141B7">
        <w:rPr>
          <w:rFonts w:ascii="Times New Roman" w:hAnsi="Times New Roman" w:cs="Times New Roman"/>
          <w:bCs/>
          <w:sz w:val="24"/>
          <w:szCs w:val="24"/>
        </w:rPr>
        <w:t xml:space="preserve"> </w:t>
      </w:r>
      <w:r w:rsidR="00A141B7" w:rsidRPr="00BE2F40">
        <w:rPr>
          <w:rFonts w:ascii="Times New Roman" w:hAnsi="Times New Roman" w:cs="Times New Roman"/>
          <w:bCs/>
          <w:sz w:val="24"/>
          <w:szCs w:val="24"/>
        </w:rPr>
        <w:t xml:space="preserve">84 </w:t>
      </w:r>
      <w:r w:rsidR="008208C6" w:rsidRPr="00BE2F40">
        <w:rPr>
          <w:rFonts w:ascii="Times New Roman" w:hAnsi="Times New Roman" w:cs="Times New Roman"/>
          <w:bCs/>
          <w:sz w:val="24"/>
          <w:szCs w:val="24"/>
        </w:rPr>
        <w:t>762</w:t>
      </w:r>
      <w:r w:rsidR="008208C6">
        <w:rPr>
          <w:rFonts w:ascii="Times New Roman" w:hAnsi="Times New Roman" w:cs="Times New Roman"/>
          <w:bCs/>
          <w:sz w:val="24"/>
          <w:szCs w:val="24"/>
        </w:rPr>
        <w:t xml:space="preserve"> </w:t>
      </w:r>
      <w:r w:rsidRPr="00E50800">
        <w:rPr>
          <w:rFonts w:ascii="Times New Roman" w:hAnsi="Times New Roman" w:cs="Times New Roman"/>
          <w:bCs/>
          <w:sz w:val="24"/>
          <w:szCs w:val="24"/>
        </w:rPr>
        <w:t>veta. Numri maksimal i punonjësve për çdo ministri dhe institucion qendror, i dhënë në tabelën 2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w:t>
      </w:r>
      <w:r w:rsidR="00F74453">
        <w:rPr>
          <w:rFonts w:ascii="Times New Roman" w:hAnsi="Times New Roman" w:cs="Times New Roman"/>
          <w:bCs/>
          <w:sz w:val="24"/>
          <w:szCs w:val="24"/>
        </w:rPr>
        <w:t>ra në tabelën 2</w:t>
      </w:r>
      <w:r w:rsidRPr="00E50800">
        <w:rPr>
          <w:rFonts w:ascii="Times New Roman" w:hAnsi="Times New Roman" w:cs="Times New Roman"/>
          <w:bCs/>
          <w:sz w:val="24"/>
          <w:szCs w:val="24"/>
        </w:rPr>
        <w:t xml:space="preserve"> në rastin e ristrukturimit të institucioneve ekzistuese ose krijimit të institucioneve të reja.</w:t>
      </w:r>
    </w:p>
    <w:p w:rsidR="00BD14E1" w:rsidRPr="00E50800" w:rsidRDefault="00BD14E1" w:rsidP="00F74453">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Numri rezervë, i parashikuar në tabelën 2, përdoret me vendim të Këshillit të Ministrave për krijimin e institucioneve/funksioneve të reja.</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Këshilli i Ministrave përcakton numrin e punonjësve me kontratë të përkohshme   për çdo ministri dhe institucion qendror. Rregullat për kontraktimin dhe pagesën e punonjësve të përkohshëm përcaktohen në aneksin nr.5, që i bashkëlidhet këtij  ligji.</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Për vitin 202</w:t>
      </w:r>
      <w:r w:rsidR="0053564A">
        <w:rPr>
          <w:rFonts w:ascii="Times New Roman" w:hAnsi="Times New Roman" w:cs="Times New Roman"/>
          <w:bCs/>
          <w:sz w:val="24"/>
          <w:szCs w:val="24"/>
        </w:rPr>
        <w:t>3</w:t>
      </w:r>
      <w:r w:rsidRPr="00E50800">
        <w:rPr>
          <w:rFonts w:ascii="Times New Roman" w:hAnsi="Times New Roman" w:cs="Times New Roman"/>
          <w:bCs/>
          <w:sz w:val="24"/>
          <w:szCs w:val="24"/>
        </w:rPr>
        <w:t xml:space="preserve"> nuk miratohet asnjë ndryshim në strukturat organike të njësive të qeverisjes qendrore me efekte financiare shtesë në koston e personelit, të përllogaritur sipas strukturës së miratuar, me përjashtim të institucioneve të reja.  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E50800" w:rsidRDefault="00BD14E1" w:rsidP="0053564A">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Fondi i veçantë i institucioneve buxhetore prej 300 milionë lekësh shpërndahet dhe përdoret sipas procedurave që përcaktohen me udhëzim të ministrit përgjegjës për financat. Shumat e </w:t>
      </w:r>
      <w:r w:rsidRPr="00E50800">
        <w:rPr>
          <w:rFonts w:ascii="Times New Roman" w:hAnsi="Times New Roman" w:cs="Times New Roman"/>
          <w:bCs/>
          <w:sz w:val="24"/>
          <w:szCs w:val="24"/>
        </w:rPr>
        <w:lastRenderedPageBreak/>
        <w:t>shpërndara nga ky fond shtojnë kufijtë e miratuar në tabelën 1, që përmendet në nenin 11 të këtij ligji.</w:t>
      </w:r>
    </w:p>
    <w:p w:rsidR="00E50800" w:rsidRPr="00E50800" w:rsidRDefault="00E50800" w:rsidP="00BD14E1">
      <w:pPr>
        <w:spacing w:after="0"/>
        <w:jc w:val="both"/>
        <w:rPr>
          <w:rFonts w:ascii="Times New Roman" w:hAnsi="Times New Roman" w:cs="Times New Roman"/>
          <w:bCs/>
          <w:sz w:val="24"/>
          <w:szCs w:val="24"/>
        </w:rPr>
      </w:pPr>
    </w:p>
    <w:p w:rsidR="00BD14E1" w:rsidRPr="00E50800" w:rsidRDefault="00BD14E1" w:rsidP="00223E8B">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13</w:t>
      </w:r>
    </w:p>
    <w:p w:rsidR="00BD14E1" w:rsidRPr="00E50800" w:rsidRDefault="00BD14E1" w:rsidP="00BD14E1">
      <w:pPr>
        <w:spacing w:after="0"/>
        <w:jc w:val="both"/>
        <w:rPr>
          <w:rFonts w:ascii="Times New Roman" w:hAnsi="Times New Roman" w:cs="Times New Roman"/>
          <w:bCs/>
          <w:sz w:val="24"/>
          <w:szCs w:val="24"/>
        </w:rPr>
      </w:pPr>
    </w:p>
    <w:p w:rsidR="00F74453"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Paga e Presidentit të Republikës është 257 000 lekë në muaj dhe rritet gjatë vitit sipas përcaktimeve që miratohen me vendim të Këshillit të Ministrave. </w:t>
      </w:r>
    </w:p>
    <w:p w:rsidR="00BD14E1" w:rsidRPr="00E50800" w:rsidRDefault="00BD14E1" w:rsidP="00223E8B">
      <w:pPr>
        <w:spacing w:after="0"/>
        <w:ind w:firstLine="340"/>
        <w:jc w:val="both"/>
        <w:rPr>
          <w:rFonts w:ascii="Times New Roman" w:hAnsi="Times New Roman" w:cs="Times New Roman"/>
          <w:bCs/>
          <w:sz w:val="24"/>
          <w:szCs w:val="24"/>
        </w:rPr>
      </w:pPr>
      <w:r w:rsidRPr="00A141B7">
        <w:rPr>
          <w:rFonts w:ascii="Times New Roman" w:hAnsi="Times New Roman" w:cs="Times New Roman"/>
          <w:bCs/>
          <w:sz w:val="24"/>
          <w:szCs w:val="24"/>
        </w:rPr>
        <w:t>Metodologjia e llogaritjes së pagës mujore bruto për institucionet e sistemit të drejtësisë miratohet me vendim të Kuvendit.</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223E8B">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14</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Fondi rezervë prej </w:t>
      </w:r>
      <w:r w:rsidR="00C925BC">
        <w:rPr>
          <w:rFonts w:ascii="Times New Roman" w:hAnsi="Times New Roman" w:cs="Times New Roman"/>
          <w:bCs/>
          <w:sz w:val="24"/>
          <w:szCs w:val="24"/>
        </w:rPr>
        <w:t>3</w:t>
      </w:r>
      <w:r w:rsidR="0053564A">
        <w:rPr>
          <w:rFonts w:ascii="Times New Roman" w:hAnsi="Times New Roman" w:cs="Times New Roman"/>
          <w:bCs/>
          <w:sz w:val="24"/>
          <w:szCs w:val="24"/>
        </w:rPr>
        <w:t xml:space="preserve"> 600</w:t>
      </w:r>
      <w:r w:rsidRPr="00E50800">
        <w:rPr>
          <w:rFonts w:ascii="Times New Roman" w:hAnsi="Times New Roman" w:cs="Times New Roman"/>
          <w:bCs/>
          <w:sz w:val="24"/>
          <w:szCs w:val="24"/>
        </w:rPr>
        <w:t xml:space="preserve"> milionë lekësh përdoret me vendim të Këshillit të Ministrave si më poshtë: </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a)</w:t>
      </w:r>
      <w:r w:rsidRPr="00E50800">
        <w:rPr>
          <w:rFonts w:ascii="Times New Roman" w:hAnsi="Times New Roman" w:cs="Times New Roman"/>
          <w:bCs/>
          <w:sz w:val="24"/>
          <w:szCs w:val="24"/>
        </w:rPr>
        <w:tab/>
      </w:r>
      <w:r w:rsidR="0053564A">
        <w:rPr>
          <w:rFonts w:ascii="Times New Roman" w:hAnsi="Times New Roman" w:cs="Times New Roman"/>
          <w:bCs/>
          <w:sz w:val="24"/>
          <w:szCs w:val="24"/>
        </w:rPr>
        <w:t>1 8</w:t>
      </w:r>
      <w:r w:rsidRPr="00E50800">
        <w:rPr>
          <w:rFonts w:ascii="Times New Roman" w:hAnsi="Times New Roman" w:cs="Times New Roman"/>
          <w:bCs/>
          <w:sz w:val="24"/>
          <w:szCs w:val="24"/>
        </w:rPr>
        <w:t xml:space="preserve">00 milionë lekë për raste të paparashikuara të njësive të qeverisjes së përgjithshme; </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b)</w:t>
      </w:r>
      <w:r w:rsidRPr="00E50800">
        <w:rPr>
          <w:rFonts w:ascii="Times New Roman" w:hAnsi="Times New Roman" w:cs="Times New Roman"/>
          <w:bCs/>
          <w:sz w:val="24"/>
          <w:szCs w:val="24"/>
        </w:rPr>
        <w:tab/>
      </w:r>
      <w:r w:rsidR="0053564A">
        <w:rPr>
          <w:rFonts w:ascii="Times New Roman" w:hAnsi="Times New Roman" w:cs="Times New Roman"/>
          <w:bCs/>
          <w:sz w:val="24"/>
          <w:szCs w:val="24"/>
        </w:rPr>
        <w:t xml:space="preserve">1 800 </w:t>
      </w:r>
      <w:r w:rsidRPr="00E50800">
        <w:rPr>
          <w:rFonts w:ascii="Times New Roman" w:hAnsi="Times New Roman" w:cs="Times New Roman"/>
          <w:bCs/>
          <w:sz w:val="24"/>
          <w:szCs w:val="24"/>
        </w:rPr>
        <w:t>milionë lekë për</w:t>
      </w:r>
      <w:r w:rsidR="00FF4334">
        <w:rPr>
          <w:rFonts w:ascii="Times New Roman" w:hAnsi="Times New Roman" w:cs="Times New Roman"/>
          <w:bCs/>
          <w:sz w:val="24"/>
          <w:szCs w:val="24"/>
        </w:rPr>
        <w:t xml:space="preserve"> perballimin e kostos se</w:t>
      </w:r>
      <w:r w:rsidRPr="00E50800">
        <w:rPr>
          <w:rFonts w:ascii="Times New Roman" w:hAnsi="Times New Roman" w:cs="Times New Roman"/>
          <w:bCs/>
          <w:sz w:val="24"/>
          <w:szCs w:val="24"/>
        </w:rPr>
        <w:t xml:space="preserve"> </w:t>
      </w:r>
      <w:r w:rsidR="00FF4334">
        <w:rPr>
          <w:rFonts w:ascii="Times New Roman" w:hAnsi="Times New Roman" w:cs="Times New Roman"/>
          <w:bCs/>
          <w:sz w:val="24"/>
          <w:szCs w:val="24"/>
        </w:rPr>
        <w:t>zgjedhjeve</w:t>
      </w:r>
      <w:r w:rsidRPr="00E50800">
        <w:rPr>
          <w:rFonts w:ascii="Times New Roman" w:hAnsi="Times New Roman" w:cs="Times New Roman"/>
          <w:bCs/>
          <w:sz w:val="24"/>
          <w:szCs w:val="24"/>
        </w:rPr>
        <w:t>.</w:t>
      </w:r>
    </w:p>
    <w:p w:rsidR="00BD14E1"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Kontingjenca për risqet e borxhit prej 4 </w:t>
      </w:r>
      <w:r w:rsidR="00FF4334">
        <w:rPr>
          <w:rFonts w:ascii="Times New Roman" w:hAnsi="Times New Roman" w:cs="Times New Roman"/>
          <w:bCs/>
          <w:sz w:val="24"/>
          <w:szCs w:val="24"/>
        </w:rPr>
        <w:t>9</w:t>
      </w:r>
      <w:r w:rsidRPr="00E50800">
        <w:rPr>
          <w:rFonts w:ascii="Times New Roman" w:hAnsi="Times New Roman" w:cs="Times New Roman"/>
          <w:bCs/>
          <w:sz w:val="24"/>
          <w:szCs w:val="24"/>
        </w:rPr>
        <w:t>00 milionë lekësh përdoret nga ministri përgjegjës për financat për të kompensuar rreziqe potenciale nga luhatjet në kurset e këmbimit ose normat e interesit, me ndikim në shpenzimet për interesa.</w:t>
      </w:r>
    </w:p>
    <w:p w:rsidR="00C925BC" w:rsidRPr="00E50800" w:rsidRDefault="00C925BC" w:rsidP="00223E8B">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Kontigjenca prej 3000 milione leke perdoret </w:t>
      </w:r>
      <w:r w:rsidRPr="00E50800">
        <w:rPr>
          <w:rFonts w:ascii="Times New Roman" w:hAnsi="Times New Roman" w:cs="Times New Roman"/>
          <w:bCs/>
          <w:sz w:val="24"/>
          <w:szCs w:val="24"/>
        </w:rPr>
        <w:t>me vendim të Këshillit të Ministrave</w:t>
      </w:r>
      <w:r>
        <w:rPr>
          <w:rFonts w:ascii="Times New Roman" w:hAnsi="Times New Roman" w:cs="Times New Roman"/>
          <w:bCs/>
          <w:sz w:val="24"/>
          <w:szCs w:val="24"/>
        </w:rPr>
        <w:t xml:space="preserve"> per </w:t>
      </w:r>
      <w:r w:rsidR="00E34A2C">
        <w:rPr>
          <w:rFonts w:ascii="Times New Roman" w:hAnsi="Times New Roman" w:cs="Times New Roman"/>
          <w:bCs/>
          <w:sz w:val="24"/>
          <w:szCs w:val="24"/>
        </w:rPr>
        <w:t>raste te paparashikuara.</w:t>
      </w:r>
    </w:p>
    <w:p w:rsidR="00BD14E1" w:rsidRPr="00E50800" w:rsidRDefault="00BD14E1" w:rsidP="00223E8B">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Shumat e shpërndara nga fondi rezervё </w:t>
      </w:r>
      <w:r w:rsidR="00E34A2C">
        <w:rPr>
          <w:rFonts w:ascii="Times New Roman" w:hAnsi="Times New Roman" w:cs="Times New Roman"/>
          <w:bCs/>
          <w:sz w:val="24"/>
          <w:szCs w:val="24"/>
        </w:rPr>
        <w:t xml:space="preserve">, kontigjenca </w:t>
      </w:r>
      <w:r w:rsidRPr="00E50800">
        <w:rPr>
          <w:rFonts w:ascii="Times New Roman" w:hAnsi="Times New Roman" w:cs="Times New Roman"/>
          <w:bCs/>
          <w:sz w:val="24"/>
          <w:szCs w:val="24"/>
        </w:rPr>
        <w:t>dhe kontingjenca për risqet e borxhit shtojnë kufijtë e miratuar në tabelat 1 dhe 4, që përmenden në nenin 11 të këtij ligji.</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223E8B">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15</w:t>
      </w:r>
    </w:p>
    <w:p w:rsidR="00FF25DF" w:rsidRDefault="00FF25DF" w:rsidP="00FF25DF">
      <w:pPr>
        <w:spacing w:after="0"/>
        <w:jc w:val="both"/>
        <w:rPr>
          <w:rFonts w:ascii="Times New Roman" w:hAnsi="Times New Roman" w:cs="Times New Roman"/>
          <w:bCs/>
          <w:sz w:val="24"/>
          <w:szCs w:val="24"/>
        </w:rPr>
      </w:pPr>
    </w:p>
    <w:p w:rsidR="00FF25DF" w:rsidRDefault="00FF25DF" w:rsidP="00FF25DF">
      <w:pPr>
        <w:spacing w:after="0"/>
        <w:jc w:val="both"/>
        <w:rPr>
          <w:rFonts w:ascii="Times New Roman" w:hAnsi="Times New Roman" w:cs="Times New Roman"/>
          <w:bCs/>
          <w:sz w:val="24"/>
          <w:szCs w:val="24"/>
        </w:rPr>
      </w:pP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Transferta e pakushtëzuar që buxheti qendror ia transferon pushtetit vendor përfshin fondet për përballimin e veprimtarive dhe të funksioneve që përcaktohen në aktet ligjore dhe nënligjore në fuqi. Transferta e pakushtëzuar e pёrgjithshme shpërndahet ndërmjet njësive të vetëqeverisjes vendore sipas formulës së paraqitur në aneksin 1 që i bashkëlidhet këtij ligji. Shuma e transfertës së pakushtëzuar për çdo njësi të vetëqeverisjes vendore paraqitet në tabelën 3 që i bashkëlidhet këtij ligji.</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Fondi rezervë nga totali i transfertës së pakushtëzuar të përgjithshme përdoret nga ministria përgjegjëse për financat në përputhje me kriteret e përcaktuara në aneksin 2 që i bashkëlidhet këtij ligji. Fondet për programin buxhetor për infrastrukturën vendore dhe rajonale përdoren sipas aneksit 3 që i bashkëlidhet këtij ligji.</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Transferta e pakushtëzuar sektoriale për funksionet e reja të transferuara në bashkitë shpërndahet sipas anekseve 1 dhe 4 që i bashkëlidhen këtij ligji.</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Personeli administrativ i këshillit të qarkut nuk mund të jetë më shumë se 10 veta.</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Fondet e trashëguara nga vitet e mëparshme përdoren nga njësitë e vetëqeverisjes vendore sipas rregullave të përcaktuara nga ministri përgjegjës për financat.</w:t>
      </w:r>
    </w:p>
    <w:p w:rsidR="00C43066" w:rsidRDefault="00C43066" w:rsidP="00C43066">
      <w:pPr>
        <w:spacing w:after="0"/>
        <w:ind w:firstLine="340"/>
        <w:jc w:val="both"/>
        <w:rPr>
          <w:rFonts w:ascii="Times New Roman" w:hAnsi="Times New Roman" w:cs="Times New Roman"/>
          <w:bCs/>
          <w:sz w:val="24"/>
          <w:szCs w:val="24"/>
        </w:rPr>
      </w:pPr>
      <w:r w:rsidRPr="00C43066">
        <w:rPr>
          <w:rFonts w:ascii="Times New Roman" w:hAnsi="Times New Roman" w:cs="Times New Roman"/>
          <w:bCs/>
          <w:sz w:val="24"/>
          <w:szCs w:val="24"/>
        </w:rPr>
        <w:t xml:space="preserve">Fondi për emergjencat civile, në masën 800 milionë lekë, akordohet në programin “Emergjecat civile” të Ministrisë së Mbrojtjes dhe shpërndahet në formën e transfertës së kushtëzuar për njësitë e vetëqeverisjes vendore nga Ministria e Mbrojtjes, në bashkëpunim me </w:t>
      </w:r>
      <w:r w:rsidRPr="00C43066">
        <w:rPr>
          <w:rFonts w:ascii="Times New Roman" w:hAnsi="Times New Roman" w:cs="Times New Roman"/>
          <w:bCs/>
          <w:sz w:val="24"/>
          <w:szCs w:val="24"/>
        </w:rPr>
        <w:lastRenderedPageBreak/>
        <w:t>Ministrinë e Financave dhe Ekonomisë me një formulë, e cila bazohet në peshën specifike që zë buxheti i çdo bashkie ndaj totalit të buxhetit të të gjitha bashkive.</w:t>
      </w:r>
      <w:r>
        <w:rPr>
          <w:rFonts w:ascii="Times New Roman" w:hAnsi="Times New Roman" w:cs="Times New Roman"/>
          <w:bCs/>
          <w:sz w:val="24"/>
          <w:szCs w:val="24"/>
        </w:rPr>
        <w:t xml:space="preserve">  </w:t>
      </w:r>
    </w:p>
    <w:p w:rsidR="00C43066" w:rsidRDefault="00C43066" w:rsidP="00C43066">
      <w:pPr>
        <w:spacing w:after="0" w:line="276" w:lineRule="auto"/>
        <w:jc w:val="both"/>
        <w:rPr>
          <w:rFonts w:ascii="Times New Roman" w:eastAsia="Calibri" w:hAnsi="Times New Roman" w:cs="Times New Roman"/>
          <w:bCs/>
          <w:sz w:val="28"/>
          <w:szCs w:val="28"/>
        </w:rPr>
      </w:pPr>
    </w:p>
    <w:p w:rsidR="00C43066" w:rsidRPr="00E34A2C" w:rsidRDefault="00C43066" w:rsidP="00C43066">
      <w:pPr>
        <w:spacing w:after="0" w:line="276" w:lineRule="auto"/>
        <w:ind w:firstLine="340"/>
        <w:jc w:val="both"/>
        <w:rPr>
          <w:rFonts w:ascii="Times New Roman" w:hAnsi="Times New Roman" w:cs="Times New Roman"/>
          <w:bCs/>
          <w:sz w:val="24"/>
          <w:szCs w:val="24"/>
        </w:rPr>
      </w:pPr>
      <w:r w:rsidRPr="00E34A2C">
        <w:rPr>
          <w:rFonts w:ascii="Times New Roman" w:hAnsi="Times New Roman" w:cs="Times New Roman"/>
          <w:bCs/>
          <w:sz w:val="24"/>
          <w:szCs w:val="24"/>
        </w:rPr>
        <w:t xml:space="preserve">Fondi prej 1.000 milionë lekë në zërin shpenzime kapitale në programin “Emergjencat Civile” të Ministrisë së Mbrojtjes akordohet me vendim të Këshillit të Ministrave për financimin e projekteve që lidhen me parandalimin e fatkeqësive natyrore, sipas kritereve në aneksin 6 bashkëlidhur këtij ligji. </w:t>
      </w:r>
    </w:p>
    <w:p w:rsidR="00C43066" w:rsidRPr="00E34A2C" w:rsidRDefault="00C43066" w:rsidP="00C43066">
      <w:pPr>
        <w:spacing w:after="0"/>
        <w:ind w:firstLine="340"/>
        <w:jc w:val="both"/>
        <w:rPr>
          <w:rFonts w:ascii="Times New Roman" w:hAnsi="Times New Roman" w:cs="Times New Roman"/>
          <w:bCs/>
          <w:sz w:val="24"/>
          <w:szCs w:val="24"/>
        </w:rPr>
      </w:pPr>
      <w:r w:rsidRPr="00E34A2C">
        <w:rPr>
          <w:rFonts w:ascii="Times New Roman" w:hAnsi="Times New Roman" w:cs="Times New Roman"/>
          <w:bCs/>
          <w:sz w:val="24"/>
          <w:szCs w:val="24"/>
        </w:rPr>
        <w:t>Fondi prej 200 milionë lekë, në zërin shpenzime kapitale në programin “Emergjencat Civile” të Ministrisë së Mbrojtjes përdoret për eleminimin e pasojave në rastet e fatkeqësive natyrore, kur shpenzimi ka natyrën e investimit. Ky fond shpërndahet gjatë vitit buxhetor në bazë të kërkesës së njësisë së vetëqeverisjes vendore, sipas rasteve të ndodhjes së fatkeqësisë.</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Fondi për mbetjet urbane në masën 700 milionë lekë akordohet si transfertë e pakushtëzuar sektoriale për njësitë e vetëqeverisjes vendore për mbetjet urbane në kolonën “Menaxhimi i mbetjeve” dhe përdoret/shpërndahet në përputhje me kriteret e vendosura në aneksin 7 bashkëlidhur këtij ligji.</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Njësitë e vetëqeverisjes vendore aplikojnë për financim/bashkëfinancim për përmirësimin e infrastrukturës shkollore dhe asaj sportive pranë ministrisë përgjegjëse për arsimin dhe sportin. Ministri përgjegjës për arsimin dhe sportin nxjerr udhëzim për kriteret, procedurat, afatet për shpalljen e thirrjes dhe dokumentacionin e nevojshëm për aplikim nga njësitë e vetëqeverisjes vendore.</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0A577E">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16</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Fondet e buxhetit të shtetit për institucionet e arsimit të lartë shpërndahen në formën e grantit. Ky fond shpërndahet sipas kategorive:</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a)</w:t>
      </w:r>
      <w:r w:rsidRPr="00E50800">
        <w:rPr>
          <w:rFonts w:ascii="Times New Roman" w:hAnsi="Times New Roman" w:cs="Times New Roman"/>
          <w:bCs/>
          <w:sz w:val="24"/>
          <w:szCs w:val="24"/>
        </w:rPr>
        <w:tab/>
        <w:t>granti i politikave të zhvillimit për institucionet publike të arsimit të lartë;</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b)</w:t>
      </w:r>
      <w:r w:rsidRPr="00E50800">
        <w:rPr>
          <w:rFonts w:ascii="Times New Roman" w:hAnsi="Times New Roman" w:cs="Times New Roman"/>
          <w:bCs/>
          <w:sz w:val="24"/>
          <w:szCs w:val="24"/>
        </w:rPr>
        <w:tab/>
        <w:t>granti i mësimdhënies;</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c)</w:t>
      </w:r>
      <w:r w:rsidRPr="00E50800">
        <w:rPr>
          <w:rFonts w:ascii="Times New Roman" w:hAnsi="Times New Roman" w:cs="Times New Roman"/>
          <w:bCs/>
          <w:sz w:val="24"/>
          <w:szCs w:val="24"/>
        </w:rPr>
        <w:tab/>
        <w:t>granti i punës kërkimore-shkencore dhe veprimtarive krijuese.</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Modeli i financimit për institucionet e arsimit të lartë dhe kërkimin shkencor miratohet me vendim të Këshillit të Ministrave. Kriteret për përdorimin e granteve të politikave të zhvillimit për institucionet p</w:t>
      </w:r>
      <w:r w:rsidR="00FE693E">
        <w:rPr>
          <w:rFonts w:ascii="Times New Roman" w:hAnsi="Times New Roman" w:cs="Times New Roman"/>
          <w:bCs/>
          <w:sz w:val="24"/>
          <w:szCs w:val="24"/>
        </w:rPr>
        <w:t xml:space="preserve">ublike të arsimit të lartë dhe </w:t>
      </w:r>
      <w:r w:rsidRPr="00E50800">
        <w:rPr>
          <w:rFonts w:ascii="Times New Roman" w:hAnsi="Times New Roman" w:cs="Times New Roman"/>
          <w:bCs/>
          <w:sz w:val="24"/>
          <w:szCs w:val="24"/>
        </w:rPr>
        <w:t>granti i punës kërkimore-shkencore dhe veprimtarive krijuese janë përcaktuar në  nenet 111 dhe 113 të ligjit nr. 80/2015 “Për arsimin e lartë dhe kërkimin shkencor në institucionet e arsimit të lartë në Republikën e Shqipërisë”.</w:t>
      </w: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Fondi i projekteve konkurruese për zhvillimin e institucioneve të arsimit të lartë mund të shpërndahet edhe te njësitë e vetëqeverisjes vendore në ato raste kur me vendim të Këshillit të Ministrave ato përcaktohen autoritete kontraktore për realizimin e procedurave të prokurimit për studim-projektimin apo zbatimin e projektit për një ose disa institucione të arsimit të lartë. Në këto raste, çelja e fondit nga ministria përgjegjëse për financat bëhet pas paraqitjes së kërkesës nga  njësia e vetëqeverisjes vendore përmes ministrisë përgjegjëse për arsimin.</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17</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 xml:space="preserve">Kufiri i shpenzimeve, sipas tabelës l që përmendet në nenin 11 të këtij ligji, mund të rishpërndahet gjatë vitit ndërmjet programeve </w:t>
      </w:r>
      <w:r w:rsidR="00FE693E">
        <w:rPr>
          <w:rFonts w:ascii="Times New Roman" w:hAnsi="Times New Roman" w:cs="Times New Roman"/>
          <w:bCs/>
          <w:sz w:val="24"/>
          <w:szCs w:val="24"/>
        </w:rPr>
        <w:t xml:space="preserve">brenda të njëjtit institucion </w:t>
      </w:r>
      <w:r w:rsidRPr="00E50800">
        <w:rPr>
          <w:rFonts w:ascii="Times New Roman" w:hAnsi="Times New Roman" w:cs="Times New Roman"/>
          <w:bCs/>
          <w:sz w:val="24"/>
          <w:szCs w:val="24"/>
        </w:rPr>
        <w:t xml:space="preserve">buxhetor apo ndërmjet programeve të institucioneve të ndryshme nga Këshilli i Ministrave deri në masën 10 për qind të shumës së përgjithshme të shpenzimeve  korrente apo shpenzimeve të përgjithshme </w:t>
      </w:r>
      <w:r w:rsidRPr="00E50800">
        <w:rPr>
          <w:rFonts w:ascii="Times New Roman" w:hAnsi="Times New Roman" w:cs="Times New Roman"/>
          <w:bCs/>
          <w:sz w:val="24"/>
          <w:szCs w:val="24"/>
        </w:rPr>
        <w:lastRenderedPageBreak/>
        <w:t>kapitale, duke ruajtur totalin e shpenzimeve korrente dhe kapitale. Të drejtat e përcaktuara në nenin 44 të  ligjit nr. 9636, datë 26.6.2008, “Për menaxhimin e sistemit buxhetor në Republikën e Shqipërisë”, tё ndryshuar, për rishpërndarjen e fondeve buxhetore përcaktojnë treguesit e faktit në tabelat 1 dhe 4, që përmenden në nenin 11 të këtij ligji.</w:t>
      </w:r>
    </w:p>
    <w:p w:rsidR="00E50800" w:rsidRPr="00E50800" w:rsidRDefault="00E50800" w:rsidP="00BD14E1">
      <w:pPr>
        <w:spacing w:after="0"/>
        <w:jc w:val="both"/>
        <w:rPr>
          <w:rFonts w:ascii="Times New Roman" w:hAnsi="Times New Roman" w:cs="Times New Roman"/>
          <w:bCs/>
          <w:sz w:val="24"/>
          <w:szCs w:val="24"/>
        </w:rPr>
      </w:pPr>
    </w:p>
    <w:p w:rsidR="00BD14E1" w:rsidRPr="00E50800" w:rsidRDefault="00BD14E1" w:rsidP="00E5080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18</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Tavani për vlerën totale të kontratave në përqindje të PBB-së për të gjitha projektet koncesionare/PPP-të ekzistuese dhe ato të kontraktuara rishtazi pёr vitin 202</w:t>
      </w:r>
      <w:r w:rsidR="00FF4334">
        <w:rPr>
          <w:rFonts w:ascii="Times New Roman" w:hAnsi="Times New Roman" w:cs="Times New Roman"/>
          <w:bCs/>
          <w:sz w:val="24"/>
          <w:szCs w:val="24"/>
        </w:rPr>
        <w:t>2</w:t>
      </w:r>
      <w:r w:rsidRPr="00E50800">
        <w:rPr>
          <w:rFonts w:ascii="Times New Roman" w:hAnsi="Times New Roman" w:cs="Times New Roman"/>
          <w:bCs/>
          <w:sz w:val="24"/>
          <w:szCs w:val="24"/>
        </w:rPr>
        <w:t xml:space="preserve">, në përputhje me të dhënat e regjistrit të koncesioneve, </w:t>
      </w:r>
      <w:r w:rsidRPr="00BE2F40">
        <w:rPr>
          <w:rFonts w:ascii="Times New Roman" w:hAnsi="Times New Roman" w:cs="Times New Roman"/>
          <w:bCs/>
          <w:sz w:val="24"/>
          <w:szCs w:val="24"/>
        </w:rPr>
        <w:t xml:space="preserve">është </w:t>
      </w:r>
      <w:r w:rsidR="008208C6" w:rsidRPr="00BE2F40">
        <w:rPr>
          <w:rFonts w:ascii="Times New Roman" w:hAnsi="Times New Roman" w:cs="Times New Roman"/>
          <w:bCs/>
          <w:sz w:val="24"/>
          <w:szCs w:val="24"/>
        </w:rPr>
        <w:t>35.9</w:t>
      </w:r>
      <w:r w:rsidRPr="00BE2F40">
        <w:rPr>
          <w:rFonts w:ascii="Times New Roman" w:hAnsi="Times New Roman" w:cs="Times New Roman"/>
          <w:bCs/>
          <w:sz w:val="24"/>
          <w:szCs w:val="24"/>
        </w:rPr>
        <w:t>% e PBB-sё. Çdo</w:t>
      </w:r>
      <w:r w:rsidRPr="00E50800">
        <w:rPr>
          <w:rFonts w:ascii="Times New Roman" w:hAnsi="Times New Roman" w:cs="Times New Roman"/>
          <w:bCs/>
          <w:sz w:val="24"/>
          <w:szCs w:val="24"/>
        </w:rPr>
        <w:t xml:space="preserve"> kontratë e re ndjek procedurat dhe rregullat e legjislacionit në fuqi për koncesionet/PPP-të.</w:t>
      </w:r>
    </w:p>
    <w:p w:rsidR="00FF25DF" w:rsidRDefault="00FF25DF" w:rsidP="00FF25DF">
      <w:pPr>
        <w:spacing w:after="0"/>
        <w:jc w:val="center"/>
        <w:rPr>
          <w:rFonts w:ascii="Times New Roman" w:hAnsi="Times New Roman" w:cs="Times New Roman"/>
          <w:bCs/>
          <w:sz w:val="24"/>
          <w:szCs w:val="24"/>
        </w:rPr>
      </w:pPr>
    </w:p>
    <w:p w:rsidR="00FF25DF" w:rsidRDefault="00FF25DF" w:rsidP="00FF25DF">
      <w:pPr>
        <w:spacing w:after="0"/>
        <w:jc w:val="center"/>
        <w:rPr>
          <w:rFonts w:ascii="Times New Roman" w:hAnsi="Times New Roman" w:cs="Times New Roman"/>
          <w:bCs/>
          <w:sz w:val="24"/>
          <w:szCs w:val="24"/>
        </w:rPr>
      </w:pPr>
      <w:r>
        <w:rPr>
          <w:rFonts w:ascii="Times New Roman" w:hAnsi="Times New Roman" w:cs="Times New Roman"/>
          <w:bCs/>
          <w:sz w:val="24"/>
          <w:szCs w:val="24"/>
        </w:rPr>
        <w:t>Neni 19</w:t>
      </w:r>
    </w:p>
    <w:p w:rsidR="00FF25DF" w:rsidRDefault="00FF25DF" w:rsidP="00FF25DF">
      <w:pPr>
        <w:spacing w:after="0"/>
        <w:jc w:val="both"/>
        <w:rPr>
          <w:rFonts w:ascii="Times New Roman" w:hAnsi="Times New Roman" w:cs="Times New Roman"/>
          <w:bCs/>
          <w:sz w:val="24"/>
          <w:szCs w:val="24"/>
        </w:rPr>
      </w:pP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Kufiri për rritjen vjetore të totalit ekzistues të stokut të borxhit të qeverisjes qendrore dhe atij të garantuar të qeverisjes qendrore në dobi të palëve të treta përfituese për vitin 2023, pa përfshirë efektet e mundshme prej ndryshimit të kursit të këmbimit, është deri në 54 555 milionë lekë, i dhënë me hollësi si më poshtë:</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 për huamarrjen totale neto vjetore, përfshirë huamarrjen e brendshme dhe atë të huaj, deri në 50 353 milionë lekë; </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për rritjen vjetore të garancive të qeverisjes qendrore në dobi të palëve të treta përfituese deri në 4 202 milionë lekë.</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Stoku i borxhit publik vlerësohet të arrijë  në  1 469 853 milionë lekë, pa përfshirë efektet e mundshme prej ndryshimit të kursit të këmbimit, i dhënë me hollësi si më poshtë:</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stoku i borxhit të qeverisjes qendrore 1 396 231  milionë lekë;</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stoku i borxhit të garantur nga qeverisja qendrore 72 872 milionë lekë;</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stoku i borxhit të qeverisjes vendore 750 milionë lekë.</w:t>
      </w:r>
    </w:p>
    <w:p w:rsidR="00FF25DF" w:rsidRDefault="00FF25DF" w:rsidP="00FF25DF">
      <w:pPr>
        <w:spacing w:after="0"/>
        <w:jc w:val="both"/>
        <w:rPr>
          <w:rFonts w:ascii="Times New Roman" w:hAnsi="Times New Roman" w:cs="Times New Roman"/>
          <w:bCs/>
          <w:sz w:val="24"/>
          <w:szCs w:val="24"/>
        </w:rPr>
      </w:pPr>
    </w:p>
    <w:p w:rsidR="00FF25DF" w:rsidRDefault="00FF25DF" w:rsidP="00FF25DF">
      <w:pPr>
        <w:spacing w:after="0"/>
        <w:jc w:val="center"/>
        <w:rPr>
          <w:rFonts w:ascii="Times New Roman" w:hAnsi="Times New Roman" w:cs="Times New Roman"/>
          <w:bCs/>
          <w:sz w:val="24"/>
          <w:szCs w:val="24"/>
        </w:rPr>
      </w:pPr>
      <w:r>
        <w:rPr>
          <w:rFonts w:ascii="Times New Roman" w:hAnsi="Times New Roman" w:cs="Times New Roman"/>
          <w:bCs/>
          <w:sz w:val="24"/>
          <w:szCs w:val="24"/>
        </w:rPr>
        <w:t>Neni 20</w:t>
      </w:r>
    </w:p>
    <w:p w:rsidR="00FF25DF" w:rsidRDefault="00FF25DF" w:rsidP="00FF25DF">
      <w:pPr>
        <w:spacing w:after="0"/>
        <w:jc w:val="both"/>
        <w:rPr>
          <w:rFonts w:ascii="Times New Roman" w:hAnsi="Times New Roman" w:cs="Times New Roman"/>
          <w:bCs/>
          <w:sz w:val="24"/>
          <w:szCs w:val="24"/>
        </w:rPr>
      </w:pP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Në rast të emetimit të një eurobondi të ri, vlera e të cilit mund të jetë më e lartë se sa vlera orientuese prej 59 335 milionë lekë; si dhe në rast se një parablerje  e mundshme e eurobondit ekzistues që maturohet në vitin 2025 mund të jetë më e ulët se sa vlera orientuese prej 29 668 milion Lekë; si dhe në rast të disbursimit të ndonjë kredie shtesë në formën e “mbështetjes buxhetore” nga institucionet financiare ndërkombëtare; si dhe në rast të përdorimit të fondeve të përfituara nga alokimi i të drejtave të tërheqjes speciale prej Fondit Monetar Ndërkombëtar, kufijtë respektivë për huamarrjen totale neto, rritjen vjetore të borxhit të qeverisjes qendrore dhe nivelin e vlerësuar të stokut total të borxhit publik, të përcaktuara në këtë nen dhe nenin 19, mund të tejkalohen deri sa shuma e vlerave të mëposhtëme: </w:t>
      </w:r>
    </w:p>
    <w:p w:rsidR="00FF25DF" w:rsidRDefault="00FF25DF" w:rsidP="00FF25DF">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Diferenca midis vlerës faktike të eurobondit të emetuar dhe vlerës orientuese prej 59 335 milionë lekë.</w:t>
      </w:r>
    </w:p>
    <w:p w:rsidR="00FF25DF" w:rsidRDefault="00FF25DF" w:rsidP="00FF25DF">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Diferenca midis vlerës orientuese të parablerjes së mundshme të eurobondit prej 29 668 milion Lekë dhe vlerës faktike të parablerjes, përfshirë edhe vlerën faktike zero që do rezultone në rast të mos-bërjes së parablerjes.</w:t>
      </w:r>
    </w:p>
    <w:p w:rsidR="00FF25DF" w:rsidRDefault="00FF25DF" w:rsidP="00FF25DF">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Vlera e kredisë në formën e “mbështetjes buxhetore” të disbursuar;</w:t>
      </w:r>
    </w:p>
    <w:p w:rsidR="00FF25DF" w:rsidRDefault="00FF25DF" w:rsidP="00FF25DF">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Vlera e përdorimit të fondeve të përfituara nga alokimi i të drejtave të tërheqjes speciale prej Fondit Monetar Ndërkombëtar;</w:t>
      </w:r>
    </w:p>
    <w:p w:rsidR="00FF25DF" w:rsidRDefault="00FF25DF" w:rsidP="00FF25DF">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Ndërkohë, niveli i deficitit të buxhetit të vitit 2023 mbetet i pandryshuar sipas përcaktimit në nenin 1 të këtij ligji.</w:t>
      </w:r>
    </w:p>
    <w:p w:rsidR="00C81C80" w:rsidRDefault="00C81C80" w:rsidP="00C81C80">
      <w:pPr>
        <w:spacing w:after="0"/>
        <w:ind w:firstLine="340"/>
        <w:jc w:val="both"/>
        <w:rPr>
          <w:rFonts w:ascii="Times New Roman" w:hAnsi="Times New Roman" w:cs="Times New Roman"/>
          <w:bCs/>
          <w:sz w:val="24"/>
          <w:szCs w:val="24"/>
        </w:rPr>
      </w:pPr>
      <w:r>
        <w:rPr>
          <w:rFonts w:ascii="Times New Roman" w:hAnsi="Times New Roman" w:cs="Times New Roman"/>
          <w:bCs/>
          <w:sz w:val="24"/>
          <w:szCs w:val="24"/>
        </w:rPr>
        <w:t>Këshilli i Ministrave mund të akumulojë dhe mund të mbajë në llogarinë unike të Këshillit të Ministrave në Bankën e Shqipërisë çdo gjendje shtesë të likuiditetit që mund të krijohet dhe mbartet për të financuar buxhetet e viteve fiskale pasardhëse, por në mbyllje të vitit buxhetor gjendja e akumuluar nuk duhet të kalojë vlerën mesatare prej dy muajsh kumulativë të shpenzimeve buxhetore të planifikuara për atë vit buxhetor.</w:t>
      </w:r>
    </w:p>
    <w:p w:rsidR="00C81C80" w:rsidRDefault="00C81C80" w:rsidP="00C81C80">
      <w:pPr>
        <w:spacing w:after="0"/>
        <w:jc w:val="both"/>
        <w:rPr>
          <w:rFonts w:ascii="Times New Roman" w:hAnsi="Times New Roman" w:cs="Times New Roman"/>
          <w:bCs/>
          <w:sz w:val="24"/>
          <w:szCs w:val="24"/>
        </w:rPr>
      </w:pPr>
    </w:p>
    <w:p w:rsidR="00C81C80" w:rsidRDefault="00C81C80" w:rsidP="00FF25DF">
      <w:pPr>
        <w:spacing w:after="0"/>
        <w:ind w:firstLine="340"/>
        <w:jc w:val="both"/>
        <w:rPr>
          <w:rFonts w:ascii="Times New Roman" w:hAnsi="Times New Roman" w:cs="Times New Roman"/>
          <w:bCs/>
          <w:sz w:val="24"/>
          <w:szCs w:val="24"/>
        </w:rPr>
      </w:pPr>
    </w:p>
    <w:p w:rsidR="00E50800" w:rsidRDefault="00E50800" w:rsidP="00E50800">
      <w:pPr>
        <w:spacing w:after="0"/>
        <w:jc w:val="center"/>
        <w:rPr>
          <w:rFonts w:ascii="Times New Roman" w:hAnsi="Times New Roman" w:cs="Times New Roman"/>
          <w:bCs/>
          <w:sz w:val="24"/>
          <w:szCs w:val="24"/>
        </w:rPr>
      </w:pP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21</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Ngarkohet ministri përgjegjës për financat të nxjerrë udhëzime për zbatimin e  këtij ligji.</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jc w:val="center"/>
        <w:rPr>
          <w:rFonts w:ascii="Times New Roman" w:hAnsi="Times New Roman" w:cs="Times New Roman"/>
          <w:bCs/>
          <w:sz w:val="24"/>
          <w:szCs w:val="24"/>
        </w:rPr>
      </w:pPr>
      <w:r w:rsidRPr="00E50800">
        <w:rPr>
          <w:rFonts w:ascii="Times New Roman" w:hAnsi="Times New Roman" w:cs="Times New Roman"/>
          <w:bCs/>
          <w:sz w:val="24"/>
          <w:szCs w:val="24"/>
        </w:rPr>
        <w:t>Neni 22</w:t>
      </w:r>
    </w:p>
    <w:p w:rsidR="00BD14E1" w:rsidRPr="00E50800" w:rsidRDefault="00BD14E1" w:rsidP="00BD14E1">
      <w:pPr>
        <w:spacing w:after="0"/>
        <w:jc w:val="both"/>
        <w:rPr>
          <w:rFonts w:ascii="Times New Roman" w:hAnsi="Times New Roman" w:cs="Times New Roman"/>
          <w:bCs/>
          <w:sz w:val="24"/>
          <w:szCs w:val="24"/>
        </w:rPr>
      </w:pPr>
    </w:p>
    <w:p w:rsidR="00BD14E1" w:rsidRPr="00E50800" w:rsidRDefault="00BD14E1" w:rsidP="00E50800">
      <w:pPr>
        <w:spacing w:after="0"/>
        <w:ind w:firstLine="340"/>
        <w:jc w:val="both"/>
        <w:rPr>
          <w:rFonts w:ascii="Times New Roman" w:hAnsi="Times New Roman" w:cs="Times New Roman"/>
          <w:bCs/>
          <w:sz w:val="24"/>
          <w:szCs w:val="24"/>
        </w:rPr>
      </w:pPr>
      <w:r w:rsidRPr="00E50800">
        <w:rPr>
          <w:rFonts w:ascii="Times New Roman" w:hAnsi="Times New Roman" w:cs="Times New Roman"/>
          <w:bCs/>
          <w:sz w:val="24"/>
          <w:szCs w:val="24"/>
        </w:rPr>
        <w:t>Ky ligj hyn në fuqi 15 ditë pas botimit në Fletoren Zyrtare dhe i shtrin efektet financiare nga data 1 janar 202</w:t>
      </w:r>
      <w:r w:rsidR="002441A1">
        <w:rPr>
          <w:rFonts w:ascii="Times New Roman" w:hAnsi="Times New Roman" w:cs="Times New Roman"/>
          <w:bCs/>
          <w:sz w:val="24"/>
          <w:szCs w:val="24"/>
        </w:rPr>
        <w:t>3</w:t>
      </w:r>
      <w:r w:rsidRPr="00E50800">
        <w:rPr>
          <w:rFonts w:ascii="Times New Roman" w:hAnsi="Times New Roman" w:cs="Times New Roman"/>
          <w:bCs/>
          <w:sz w:val="24"/>
          <w:szCs w:val="24"/>
        </w:rPr>
        <w:t>.</w:t>
      </w:r>
    </w:p>
    <w:p w:rsidR="00BD14E1" w:rsidRPr="00E50800" w:rsidRDefault="00BD14E1" w:rsidP="00BD14E1">
      <w:pPr>
        <w:spacing w:after="0"/>
        <w:jc w:val="both"/>
        <w:rPr>
          <w:rFonts w:ascii="Times New Roman" w:hAnsi="Times New Roman" w:cs="Times New Roman"/>
          <w:bCs/>
          <w:sz w:val="24"/>
          <w:szCs w:val="24"/>
        </w:rPr>
      </w:pPr>
    </w:p>
    <w:p w:rsidR="003A4DD5" w:rsidRPr="00E50800" w:rsidRDefault="003A4DD5" w:rsidP="00E21A56">
      <w:pPr>
        <w:spacing w:after="0"/>
        <w:jc w:val="both"/>
        <w:rPr>
          <w:rFonts w:ascii="Times New Roman" w:hAnsi="Times New Roman" w:cs="Times New Roman"/>
          <w:bCs/>
          <w:sz w:val="24"/>
          <w:szCs w:val="24"/>
        </w:rPr>
      </w:pPr>
    </w:p>
    <w:p w:rsidR="00976A3C" w:rsidRPr="00E50800" w:rsidRDefault="00976A3C" w:rsidP="00B16DFB">
      <w:pPr>
        <w:spacing w:after="0"/>
        <w:jc w:val="both"/>
        <w:rPr>
          <w:rFonts w:ascii="Times New Roman" w:hAnsi="Times New Roman" w:cs="Times New Roman"/>
          <w:bCs/>
          <w:sz w:val="24"/>
          <w:szCs w:val="24"/>
        </w:rPr>
      </w:pPr>
      <w:r w:rsidRPr="00E50800">
        <w:rPr>
          <w:rFonts w:ascii="Times New Roman" w:hAnsi="Times New Roman" w:cs="Times New Roman"/>
          <w:bCs/>
          <w:sz w:val="24"/>
          <w:szCs w:val="24"/>
        </w:rPr>
        <w:t xml:space="preserve">                                                                              </w:t>
      </w:r>
      <w:r w:rsidR="00BA1706" w:rsidRPr="00E50800">
        <w:rPr>
          <w:rFonts w:ascii="Times New Roman" w:hAnsi="Times New Roman" w:cs="Times New Roman"/>
          <w:bCs/>
          <w:sz w:val="24"/>
          <w:szCs w:val="24"/>
        </w:rPr>
        <w:t xml:space="preserve">               </w:t>
      </w:r>
      <w:r w:rsidR="006F4D55" w:rsidRPr="00E50800">
        <w:rPr>
          <w:rFonts w:ascii="Times New Roman" w:hAnsi="Times New Roman" w:cs="Times New Roman"/>
          <w:bCs/>
          <w:sz w:val="24"/>
          <w:szCs w:val="24"/>
        </w:rPr>
        <w:t xml:space="preserve">     </w:t>
      </w:r>
      <w:r w:rsidRPr="00E50800">
        <w:rPr>
          <w:rFonts w:ascii="Times New Roman" w:hAnsi="Times New Roman" w:cs="Times New Roman"/>
          <w:bCs/>
          <w:sz w:val="24"/>
          <w:szCs w:val="24"/>
        </w:rPr>
        <w:t xml:space="preserve"> </w:t>
      </w:r>
      <w:r w:rsidR="007806C0" w:rsidRPr="00E50800">
        <w:rPr>
          <w:rFonts w:ascii="Times New Roman" w:hAnsi="Times New Roman" w:cs="Times New Roman"/>
          <w:bCs/>
          <w:sz w:val="24"/>
          <w:szCs w:val="24"/>
        </w:rPr>
        <w:t xml:space="preserve">   </w:t>
      </w:r>
      <w:r w:rsidR="00B16DFB" w:rsidRPr="00E50800">
        <w:rPr>
          <w:rFonts w:ascii="Times New Roman" w:hAnsi="Times New Roman" w:cs="Times New Roman"/>
          <w:bCs/>
          <w:sz w:val="24"/>
          <w:szCs w:val="24"/>
        </w:rPr>
        <w:tab/>
        <w:t xml:space="preserve">   </w:t>
      </w:r>
      <w:r w:rsidRPr="00E50800">
        <w:rPr>
          <w:rFonts w:ascii="Times New Roman" w:hAnsi="Times New Roman" w:cs="Times New Roman"/>
          <w:bCs/>
          <w:sz w:val="24"/>
          <w:szCs w:val="24"/>
        </w:rPr>
        <w:t xml:space="preserve">K R Y E T A R </w:t>
      </w:r>
      <w:r w:rsidR="007806C0" w:rsidRPr="00E50800">
        <w:rPr>
          <w:rFonts w:ascii="Times New Roman" w:hAnsi="Times New Roman" w:cs="Times New Roman"/>
          <w:bCs/>
          <w:sz w:val="24"/>
          <w:szCs w:val="24"/>
        </w:rPr>
        <w:t>E</w:t>
      </w:r>
    </w:p>
    <w:p w:rsidR="00976A3C" w:rsidRPr="00E50800" w:rsidRDefault="00976A3C" w:rsidP="00976A3C">
      <w:pPr>
        <w:spacing w:after="0"/>
        <w:jc w:val="both"/>
        <w:rPr>
          <w:rFonts w:ascii="Times New Roman" w:hAnsi="Times New Roman" w:cs="Times New Roman"/>
          <w:bCs/>
          <w:sz w:val="24"/>
          <w:szCs w:val="24"/>
        </w:rPr>
      </w:pPr>
    </w:p>
    <w:p w:rsidR="00976A3C" w:rsidRPr="00E50800" w:rsidRDefault="00976A3C" w:rsidP="00976A3C">
      <w:pPr>
        <w:spacing w:after="0"/>
        <w:jc w:val="both"/>
        <w:rPr>
          <w:rFonts w:ascii="Times New Roman" w:hAnsi="Times New Roman" w:cs="Times New Roman"/>
          <w:b/>
          <w:bCs/>
          <w:sz w:val="24"/>
          <w:szCs w:val="24"/>
        </w:rPr>
      </w:pPr>
      <w:r w:rsidRPr="00E50800">
        <w:rPr>
          <w:rFonts w:ascii="Times New Roman" w:hAnsi="Times New Roman" w:cs="Times New Roman"/>
          <w:b/>
          <w:bCs/>
          <w:sz w:val="24"/>
          <w:szCs w:val="24"/>
        </w:rPr>
        <w:t xml:space="preserve">                                                                                            </w:t>
      </w:r>
      <w:r w:rsidR="00BA1706" w:rsidRPr="00E50800">
        <w:rPr>
          <w:rFonts w:ascii="Times New Roman" w:hAnsi="Times New Roman" w:cs="Times New Roman"/>
          <w:b/>
          <w:bCs/>
          <w:sz w:val="24"/>
          <w:szCs w:val="24"/>
        </w:rPr>
        <w:t xml:space="preserve">              </w:t>
      </w:r>
      <w:r w:rsidR="007806C0" w:rsidRPr="00E50800">
        <w:rPr>
          <w:rFonts w:ascii="Times New Roman" w:hAnsi="Times New Roman" w:cs="Times New Roman"/>
          <w:b/>
          <w:bCs/>
          <w:sz w:val="24"/>
          <w:szCs w:val="24"/>
        </w:rPr>
        <w:t xml:space="preserve">   Lindita NIKOLLA</w:t>
      </w:r>
    </w:p>
    <w:p w:rsidR="00E21A56" w:rsidRPr="00E50800" w:rsidRDefault="00E21A56" w:rsidP="00976A3C">
      <w:pPr>
        <w:spacing w:after="0"/>
        <w:jc w:val="both"/>
        <w:rPr>
          <w:rFonts w:ascii="Times New Roman" w:hAnsi="Times New Roman" w:cs="Times New Roman"/>
          <w:bCs/>
          <w:sz w:val="24"/>
          <w:szCs w:val="24"/>
        </w:rPr>
      </w:pPr>
    </w:p>
    <w:p w:rsidR="00E21A56" w:rsidRPr="00E50800" w:rsidRDefault="00E21A56" w:rsidP="00E21A56">
      <w:pPr>
        <w:spacing w:after="0" w:line="240" w:lineRule="auto"/>
        <w:rPr>
          <w:rFonts w:ascii="Times New Roman" w:eastAsia="Times New Roman" w:hAnsi="Times New Roman" w:cs="Times New Roman"/>
          <w:sz w:val="20"/>
          <w:szCs w:val="20"/>
        </w:rPr>
      </w:pPr>
    </w:p>
    <w:sectPr w:rsidR="00E21A56" w:rsidRPr="00E50800" w:rsidSect="006A7EA6">
      <w:footerReference w:type="defaul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56A" w:rsidRDefault="008D056A" w:rsidP="00420682">
      <w:pPr>
        <w:spacing w:after="0" w:line="240" w:lineRule="auto"/>
      </w:pPr>
      <w:r>
        <w:separator/>
      </w:r>
    </w:p>
  </w:endnote>
  <w:endnote w:type="continuationSeparator" w:id="0">
    <w:p w:rsidR="008D056A" w:rsidRDefault="008D056A"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64371"/>
      <w:docPartObj>
        <w:docPartGallery w:val="Page Numbers (Bottom of Page)"/>
        <w:docPartUnique/>
      </w:docPartObj>
    </w:sdtPr>
    <w:sdtEndPr>
      <w:rPr>
        <w:rFonts w:ascii="Times New Roman" w:hAnsi="Times New Roman" w:cs="Times New Roman"/>
        <w:noProof/>
        <w:sz w:val="24"/>
        <w:szCs w:val="24"/>
      </w:rPr>
    </w:sdtEndPr>
    <w:sdtContent>
      <w:p w:rsidR="006A7EA6" w:rsidRPr="006A7EA6" w:rsidRDefault="006A7EA6">
        <w:pPr>
          <w:pStyle w:val="Footer"/>
          <w:jc w:val="center"/>
          <w:rPr>
            <w:rFonts w:ascii="Times New Roman" w:hAnsi="Times New Roman" w:cs="Times New Roman"/>
            <w:sz w:val="24"/>
            <w:szCs w:val="24"/>
          </w:rPr>
        </w:pPr>
        <w:r w:rsidRPr="006A7EA6">
          <w:rPr>
            <w:rFonts w:ascii="Times New Roman" w:hAnsi="Times New Roman" w:cs="Times New Roman"/>
            <w:sz w:val="24"/>
            <w:szCs w:val="24"/>
          </w:rPr>
          <w:fldChar w:fldCharType="begin"/>
        </w:r>
        <w:r w:rsidRPr="006A7EA6">
          <w:rPr>
            <w:rFonts w:ascii="Times New Roman" w:hAnsi="Times New Roman" w:cs="Times New Roman"/>
            <w:sz w:val="24"/>
            <w:szCs w:val="24"/>
          </w:rPr>
          <w:instrText xml:space="preserve"> PAGE   \* MERGEFORMAT </w:instrText>
        </w:r>
        <w:r w:rsidRPr="006A7EA6">
          <w:rPr>
            <w:rFonts w:ascii="Times New Roman" w:hAnsi="Times New Roman" w:cs="Times New Roman"/>
            <w:sz w:val="24"/>
            <w:szCs w:val="24"/>
          </w:rPr>
          <w:fldChar w:fldCharType="separate"/>
        </w:r>
        <w:r w:rsidR="00374FA3">
          <w:rPr>
            <w:rFonts w:ascii="Times New Roman" w:hAnsi="Times New Roman" w:cs="Times New Roman"/>
            <w:noProof/>
            <w:sz w:val="24"/>
            <w:szCs w:val="24"/>
          </w:rPr>
          <w:t>7</w:t>
        </w:r>
        <w:r w:rsidRPr="006A7EA6">
          <w:rPr>
            <w:rFonts w:ascii="Times New Roman" w:hAnsi="Times New Roman" w:cs="Times New Roman"/>
            <w:noProof/>
            <w:sz w:val="24"/>
            <w:szCs w:val="24"/>
          </w:rPr>
          <w:fldChar w:fldCharType="end"/>
        </w:r>
      </w:p>
    </w:sdtContent>
  </w:sdt>
  <w:p w:rsidR="006A7EA6" w:rsidRDefault="006A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56A" w:rsidRDefault="008D056A" w:rsidP="00420682">
      <w:pPr>
        <w:spacing w:after="0" w:line="240" w:lineRule="auto"/>
      </w:pPr>
      <w:r>
        <w:separator/>
      </w:r>
    </w:p>
  </w:footnote>
  <w:footnote w:type="continuationSeparator" w:id="0">
    <w:p w:rsidR="008D056A" w:rsidRDefault="008D056A" w:rsidP="0042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1CE"/>
    <w:multiLevelType w:val="hybridMultilevel"/>
    <w:tmpl w:val="34B21208"/>
    <w:lvl w:ilvl="0" w:tplc="7CFA10C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1A"/>
    <w:rsid w:val="00002637"/>
    <w:rsid w:val="00035FB8"/>
    <w:rsid w:val="00043C57"/>
    <w:rsid w:val="000468DA"/>
    <w:rsid w:val="00055AB5"/>
    <w:rsid w:val="00060376"/>
    <w:rsid w:val="000765C2"/>
    <w:rsid w:val="00096985"/>
    <w:rsid w:val="000A3B4D"/>
    <w:rsid w:val="000A577E"/>
    <w:rsid w:val="000D199E"/>
    <w:rsid w:val="000E2566"/>
    <w:rsid w:val="000E5BA6"/>
    <w:rsid w:val="00106F6D"/>
    <w:rsid w:val="0012550D"/>
    <w:rsid w:val="00146D52"/>
    <w:rsid w:val="00153CC5"/>
    <w:rsid w:val="00155BCF"/>
    <w:rsid w:val="00166898"/>
    <w:rsid w:val="001816AF"/>
    <w:rsid w:val="00193283"/>
    <w:rsid w:val="001942D4"/>
    <w:rsid w:val="001A144D"/>
    <w:rsid w:val="001B796E"/>
    <w:rsid w:val="001C0806"/>
    <w:rsid w:val="001C445C"/>
    <w:rsid w:val="001C5CDE"/>
    <w:rsid w:val="001C6A0A"/>
    <w:rsid w:val="001C7EC0"/>
    <w:rsid w:val="001D2895"/>
    <w:rsid w:val="001F194A"/>
    <w:rsid w:val="002009A1"/>
    <w:rsid w:val="0020160E"/>
    <w:rsid w:val="0020170B"/>
    <w:rsid w:val="0020507F"/>
    <w:rsid w:val="00213234"/>
    <w:rsid w:val="00214854"/>
    <w:rsid w:val="0021715D"/>
    <w:rsid w:val="00223E8B"/>
    <w:rsid w:val="00233280"/>
    <w:rsid w:val="0024206A"/>
    <w:rsid w:val="00243B60"/>
    <w:rsid w:val="002441A1"/>
    <w:rsid w:val="00266C06"/>
    <w:rsid w:val="00267B20"/>
    <w:rsid w:val="0027656E"/>
    <w:rsid w:val="002A47D7"/>
    <w:rsid w:val="002C3C14"/>
    <w:rsid w:val="002F5953"/>
    <w:rsid w:val="002F62F0"/>
    <w:rsid w:val="00354DF5"/>
    <w:rsid w:val="00374FA3"/>
    <w:rsid w:val="0038331D"/>
    <w:rsid w:val="00397541"/>
    <w:rsid w:val="003A2597"/>
    <w:rsid w:val="003A38DC"/>
    <w:rsid w:val="003A4DD5"/>
    <w:rsid w:val="003A63A5"/>
    <w:rsid w:val="003C48FF"/>
    <w:rsid w:val="003F29A8"/>
    <w:rsid w:val="0040612F"/>
    <w:rsid w:val="0041300C"/>
    <w:rsid w:val="00420682"/>
    <w:rsid w:val="00433BCD"/>
    <w:rsid w:val="00445610"/>
    <w:rsid w:val="00453E85"/>
    <w:rsid w:val="00455BBA"/>
    <w:rsid w:val="00460BC4"/>
    <w:rsid w:val="004647DB"/>
    <w:rsid w:val="00477804"/>
    <w:rsid w:val="004860F7"/>
    <w:rsid w:val="004A5884"/>
    <w:rsid w:val="004B12D2"/>
    <w:rsid w:val="004B65B5"/>
    <w:rsid w:val="004B6ED9"/>
    <w:rsid w:val="004C2DFD"/>
    <w:rsid w:val="004E27FA"/>
    <w:rsid w:val="004E7290"/>
    <w:rsid w:val="004E7E53"/>
    <w:rsid w:val="004F447A"/>
    <w:rsid w:val="004F482A"/>
    <w:rsid w:val="004F7030"/>
    <w:rsid w:val="005201B5"/>
    <w:rsid w:val="00522FFB"/>
    <w:rsid w:val="00531A97"/>
    <w:rsid w:val="005338A2"/>
    <w:rsid w:val="0053564A"/>
    <w:rsid w:val="00542102"/>
    <w:rsid w:val="00550FA3"/>
    <w:rsid w:val="005542D7"/>
    <w:rsid w:val="0055575B"/>
    <w:rsid w:val="005726F2"/>
    <w:rsid w:val="00573EE3"/>
    <w:rsid w:val="005767F6"/>
    <w:rsid w:val="00593289"/>
    <w:rsid w:val="0059342C"/>
    <w:rsid w:val="005B455F"/>
    <w:rsid w:val="005B6E3F"/>
    <w:rsid w:val="005D195D"/>
    <w:rsid w:val="006030E1"/>
    <w:rsid w:val="0060535D"/>
    <w:rsid w:val="0062077A"/>
    <w:rsid w:val="00621A17"/>
    <w:rsid w:val="00644FD5"/>
    <w:rsid w:val="006465EF"/>
    <w:rsid w:val="00646924"/>
    <w:rsid w:val="00663243"/>
    <w:rsid w:val="0067406E"/>
    <w:rsid w:val="00677E6C"/>
    <w:rsid w:val="006A7EA6"/>
    <w:rsid w:val="006B5D0E"/>
    <w:rsid w:val="006F4D55"/>
    <w:rsid w:val="0070653E"/>
    <w:rsid w:val="00726525"/>
    <w:rsid w:val="00736DC8"/>
    <w:rsid w:val="007403CF"/>
    <w:rsid w:val="007654B3"/>
    <w:rsid w:val="00770FAD"/>
    <w:rsid w:val="00774741"/>
    <w:rsid w:val="00776C0D"/>
    <w:rsid w:val="007806C0"/>
    <w:rsid w:val="00787D47"/>
    <w:rsid w:val="007A2E0E"/>
    <w:rsid w:val="007C083E"/>
    <w:rsid w:val="007D65E1"/>
    <w:rsid w:val="007D742E"/>
    <w:rsid w:val="007E0621"/>
    <w:rsid w:val="007E2515"/>
    <w:rsid w:val="00811138"/>
    <w:rsid w:val="008208C6"/>
    <w:rsid w:val="00840462"/>
    <w:rsid w:val="00845289"/>
    <w:rsid w:val="0085472C"/>
    <w:rsid w:val="008620E4"/>
    <w:rsid w:val="0086360A"/>
    <w:rsid w:val="008720AB"/>
    <w:rsid w:val="0087264B"/>
    <w:rsid w:val="008914C1"/>
    <w:rsid w:val="00892C77"/>
    <w:rsid w:val="008A1646"/>
    <w:rsid w:val="008A66EF"/>
    <w:rsid w:val="008C032E"/>
    <w:rsid w:val="008C15C7"/>
    <w:rsid w:val="008D056A"/>
    <w:rsid w:val="008D12D7"/>
    <w:rsid w:val="008D7297"/>
    <w:rsid w:val="008F3731"/>
    <w:rsid w:val="00900D7B"/>
    <w:rsid w:val="0091014E"/>
    <w:rsid w:val="009104DF"/>
    <w:rsid w:val="0093186B"/>
    <w:rsid w:val="00942B4A"/>
    <w:rsid w:val="00957DEE"/>
    <w:rsid w:val="00970816"/>
    <w:rsid w:val="00970D95"/>
    <w:rsid w:val="00974717"/>
    <w:rsid w:val="00976A3C"/>
    <w:rsid w:val="00991D86"/>
    <w:rsid w:val="0099741A"/>
    <w:rsid w:val="009A6F98"/>
    <w:rsid w:val="009E58D8"/>
    <w:rsid w:val="00A06D12"/>
    <w:rsid w:val="00A141B7"/>
    <w:rsid w:val="00A15DE9"/>
    <w:rsid w:val="00A34D9D"/>
    <w:rsid w:val="00A431DD"/>
    <w:rsid w:val="00A645A6"/>
    <w:rsid w:val="00A80F6D"/>
    <w:rsid w:val="00AA32E0"/>
    <w:rsid w:val="00AB074D"/>
    <w:rsid w:val="00AC2686"/>
    <w:rsid w:val="00AF0CE9"/>
    <w:rsid w:val="00B008B9"/>
    <w:rsid w:val="00B03A16"/>
    <w:rsid w:val="00B16DFB"/>
    <w:rsid w:val="00B40D3B"/>
    <w:rsid w:val="00B43DD4"/>
    <w:rsid w:val="00B54D96"/>
    <w:rsid w:val="00B6427E"/>
    <w:rsid w:val="00B67778"/>
    <w:rsid w:val="00B8668D"/>
    <w:rsid w:val="00BA1706"/>
    <w:rsid w:val="00BA5571"/>
    <w:rsid w:val="00BB15C8"/>
    <w:rsid w:val="00BD14E1"/>
    <w:rsid w:val="00BD4611"/>
    <w:rsid w:val="00BE2F40"/>
    <w:rsid w:val="00C10624"/>
    <w:rsid w:val="00C4191B"/>
    <w:rsid w:val="00C43066"/>
    <w:rsid w:val="00C446ED"/>
    <w:rsid w:val="00C60CAD"/>
    <w:rsid w:val="00C6573D"/>
    <w:rsid w:val="00C81C80"/>
    <w:rsid w:val="00C90FD7"/>
    <w:rsid w:val="00C925BC"/>
    <w:rsid w:val="00CA0828"/>
    <w:rsid w:val="00CC6D22"/>
    <w:rsid w:val="00CC7CA2"/>
    <w:rsid w:val="00CF0B49"/>
    <w:rsid w:val="00CF4189"/>
    <w:rsid w:val="00CF5B26"/>
    <w:rsid w:val="00D23C4B"/>
    <w:rsid w:val="00D27458"/>
    <w:rsid w:val="00D45AC2"/>
    <w:rsid w:val="00D60C6B"/>
    <w:rsid w:val="00DA56D4"/>
    <w:rsid w:val="00DC03DB"/>
    <w:rsid w:val="00DC0BDC"/>
    <w:rsid w:val="00DC2AC6"/>
    <w:rsid w:val="00DE262C"/>
    <w:rsid w:val="00E21A56"/>
    <w:rsid w:val="00E32B8C"/>
    <w:rsid w:val="00E34A2C"/>
    <w:rsid w:val="00E370B3"/>
    <w:rsid w:val="00E452DA"/>
    <w:rsid w:val="00E45F24"/>
    <w:rsid w:val="00E50800"/>
    <w:rsid w:val="00E6234F"/>
    <w:rsid w:val="00E72BC5"/>
    <w:rsid w:val="00E76B9D"/>
    <w:rsid w:val="00EC55E7"/>
    <w:rsid w:val="00EC57E8"/>
    <w:rsid w:val="00EE390E"/>
    <w:rsid w:val="00EE7E5D"/>
    <w:rsid w:val="00F07F7F"/>
    <w:rsid w:val="00F234B6"/>
    <w:rsid w:val="00F52125"/>
    <w:rsid w:val="00F537D2"/>
    <w:rsid w:val="00F62E72"/>
    <w:rsid w:val="00F630AC"/>
    <w:rsid w:val="00F74453"/>
    <w:rsid w:val="00F84F9C"/>
    <w:rsid w:val="00FB5CED"/>
    <w:rsid w:val="00FC484A"/>
    <w:rsid w:val="00FC631E"/>
    <w:rsid w:val="00FE693E"/>
    <w:rsid w:val="00FF25DF"/>
    <w:rsid w:val="00FF2798"/>
    <w:rsid w:val="00FF4334"/>
    <w:rsid w:val="00FF7D4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8974"/>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453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E85"/>
  </w:style>
  <w:style w:type="paragraph" w:styleId="Footer">
    <w:name w:val="footer"/>
    <w:basedOn w:val="Normal"/>
    <w:link w:val="FooterChar"/>
    <w:uiPriority w:val="99"/>
    <w:unhideWhenUsed/>
    <w:rsid w:val="0045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E85"/>
  </w:style>
  <w:style w:type="paragraph" w:styleId="CommentText">
    <w:name w:val="annotation text"/>
    <w:basedOn w:val="Normal"/>
    <w:link w:val="CommentTextChar"/>
    <w:uiPriority w:val="99"/>
    <w:semiHidden/>
    <w:unhideWhenUsed/>
    <w:rsid w:val="00593289"/>
    <w:pPr>
      <w:spacing w:line="240" w:lineRule="auto"/>
    </w:pPr>
    <w:rPr>
      <w:sz w:val="20"/>
      <w:szCs w:val="20"/>
    </w:rPr>
  </w:style>
  <w:style w:type="character" w:customStyle="1" w:styleId="CommentTextChar">
    <w:name w:val="Comment Text Char"/>
    <w:basedOn w:val="DefaultParagraphFont"/>
    <w:link w:val="CommentText"/>
    <w:uiPriority w:val="99"/>
    <w:semiHidden/>
    <w:rsid w:val="00593289"/>
    <w:rPr>
      <w:sz w:val="20"/>
      <w:szCs w:val="20"/>
    </w:rPr>
  </w:style>
  <w:style w:type="paragraph" w:styleId="ListParagraph">
    <w:name w:val="List Paragraph"/>
    <w:basedOn w:val="Normal"/>
    <w:uiPriority w:val="34"/>
    <w:qFormat/>
    <w:rsid w:val="00593289"/>
    <w:pPr>
      <w:spacing w:line="256" w:lineRule="auto"/>
      <w:ind w:left="720"/>
      <w:contextualSpacing/>
    </w:pPr>
  </w:style>
  <w:style w:type="character" w:styleId="CommentReference">
    <w:name w:val="annotation reference"/>
    <w:basedOn w:val="DefaultParagraphFont"/>
    <w:uiPriority w:val="99"/>
    <w:semiHidden/>
    <w:unhideWhenUsed/>
    <w:rsid w:val="005932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1892384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147818323">
      <w:bodyDiv w:val="1"/>
      <w:marLeft w:val="0"/>
      <w:marRight w:val="0"/>
      <w:marTop w:val="0"/>
      <w:marBottom w:val="0"/>
      <w:divBdr>
        <w:top w:val="none" w:sz="0" w:space="0" w:color="auto"/>
        <w:left w:val="none" w:sz="0" w:space="0" w:color="auto"/>
        <w:bottom w:val="none" w:sz="0" w:space="0" w:color="auto"/>
        <w:right w:val="none" w:sz="0" w:space="0" w:color="auto"/>
      </w:divBdr>
    </w:div>
    <w:div w:id="1162041869">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57608909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7727-3A48-4381-8C38-1C9B5F8B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3228</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gazmend.hanku</dc:creator>
  <cp:keywords/>
  <dc:description/>
  <cp:lastModifiedBy>Ina Dhaskali</cp:lastModifiedBy>
  <cp:revision>5</cp:revision>
  <cp:lastPrinted>2022-10-11T14:20:00Z</cp:lastPrinted>
  <dcterms:created xsi:type="dcterms:W3CDTF">2022-10-11T15:04:00Z</dcterms:created>
  <dcterms:modified xsi:type="dcterms:W3CDTF">2022-10-11T15:45:00Z</dcterms:modified>
</cp:coreProperties>
</file>