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charts/chart18.xml" ContentType="application/vnd.openxmlformats-officedocument.drawingml.chart+xml"/>
  <Override PartName="/word/theme/themeOverride15.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1.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6.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theme/themeOverride27.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EA2E05" w:rsidRPr="0065598A" w:rsidRDefault="00D90476" w:rsidP="00D90476">
      <w:pPr>
        <w:tabs>
          <w:tab w:val="center" w:pos="5954"/>
        </w:tabs>
        <w:spacing w:line="276" w:lineRule="auto"/>
        <w:jc w:val="center"/>
        <w:rPr>
          <w:rFonts w:asciiTheme="minorHAnsi" w:hAnsiTheme="minorHAnsi"/>
          <w:b/>
          <w:bCs/>
          <w:lang w:val="sq-AL"/>
        </w:rPr>
      </w:pPr>
      <w:r w:rsidRPr="0065598A">
        <w:rPr>
          <w:rFonts w:asciiTheme="majorHAnsi" w:hAnsiTheme="majorHAnsi"/>
          <w:noProof/>
        </w:rPr>
        <w:drawing>
          <wp:inline distT="0" distB="0" distL="0" distR="0" wp14:anchorId="44FEBFD1" wp14:editId="7C118F70">
            <wp:extent cx="6113493" cy="1638300"/>
            <wp:effectExtent l="0" t="0" r="1905" b="0"/>
            <wp:docPr id="296" name="Picture 296" descr="C:\Users\kostandine.dorri\Desktop\logo min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andine.dorri\Desktop\logo ministr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574" cy="1639930"/>
                    </a:xfrm>
                    <a:prstGeom prst="rect">
                      <a:avLst/>
                    </a:prstGeom>
                    <a:noFill/>
                    <a:ln>
                      <a:noFill/>
                    </a:ln>
                  </pic:spPr>
                </pic:pic>
              </a:graphicData>
            </a:graphic>
          </wp:inline>
        </w:drawing>
      </w:r>
    </w:p>
    <w:p w:rsidR="00EA2E05" w:rsidRPr="0065598A" w:rsidRDefault="00EA2E05" w:rsidP="00A40986">
      <w:pPr>
        <w:tabs>
          <w:tab w:val="center" w:pos="5954"/>
        </w:tabs>
        <w:spacing w:line="276" w:lineRule="auto"/>
        <w:jc w:val="both"/>
        <w:rPr>
          <w:rFonts w:asciiTheme="minorHAnsi" w:hAnsiTheme="minorHAnsi"/>
          <w:b/>
          <w:bCs/>
          <w:lang w:val="sq-AL"/>
        </w:rPr>
      </w:pPr>
    </w:p>
    <w:p w:rsidR="00EA2E05" w:rsidRPr="0065598A" w:rsidRDefault="00EA2E05" w:rsidP="00A40986">
      <w:pPr>
        <w:tabs>
          <w:tab w:val="center" w:pos="5954"/>
        </w:tabs>
        <w:spacing w:line="276" w:lineRule="auto"/>
        <w:jc w:val="both"/>
        <w:rPr>
          <w:rFonts w:asciiTheme="minorHAnsi" w:hAnsiTheme="minorHAnsi"/>
          <w:b/>
          <w:bCs/>
          <w:lang w:val="sq-AL"/>
        </w:rPr>
      </w:pPr>
    </w:p>
    <w:p w:rsidR="00EA2E05" w:rsidRPr="0065598A" w:rsidRDefault="00EA2E05" w:rsidP="00A40986">
      <w:pPr>
        <w:spacing w:line="276" w:lineRule="auto"/>
        <w:jc w:val="both"/>
        <w:rPr>
          <w:rFonts w:asciiTheme="minorHAnsi" w:hAnsiTheme="minorHAnsi"/>
          <w:b/>
          <w:bCs/>
          <w:color w:val="333333"/>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EA2E05" w:rsidRPr="0065598A" w:rsidRDefault="00EA2E05" w:rsidP="00A40986">
      <w:pPr>
        <w:pStyle w:val="Default"/>
        <w:spacing w:line="276" w:lineRule="auto"/>
        <w:jc w:val="center"/>
        <w:rPr>
          <w:rFonts w:asciiTheme="minorHAnsi" w:hAnsiTheme="minorHAnsi"/>
          <w:b/>
          <w:color w:val="800000"/>
          <w:lang w:val="sq-AL"/>
        </w:rPr>
      </w:pPr>
      <w:r w:rsidRPr="0065598A">
        <w:rPr>
          <w:rFonts w:asciiTheme="minorHAnsi" w:hAnsiTheme="minorHAnsi"/>
          <w:b/>
          <w:color w:val="800000"/>
          <w:lang w:val="sq-AL"/>
        </w:rPr>
        <w:t>______________</w:t>
      </w:r>
    </w:p>
    <w:p w:rsidR="00FA2FFA" w:rsidRPr="0065598A" w:rsidRDefault="00FA2FFA" w:rsidP="00A40986">
      <w:pPr>
        <w:pStyle w:val="Default"/>
        <w:spacing w:line="276" w:lineRule="auto"/>
        <w:jc w:val="center"/>
        <w:rPr>
          <w:rFonts w:asciiTheme="minorHAnsi" w:hAnsiTheme="minorHAnsi"/>
          <w:b/>
          <w:color w:val="auto"/>
          <w:lang w:val="sq-AL"/>
        </w:rPr>
      </w:pPr>
    </w:p>
    <w:p w:rsidR="00337792"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RAPORTI I MES-VITIT </w:t>
      </w:r>
    </w:p>
    <w:p w:rsidR="00C81BF8"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MBI ZBATIMIN E BUXHETIT </w:t>
      </w:r>
      <w:r w:rsidRPr="003C6B6E">
        <w:rPr>
          <w:rFonts w:asciiTheme="minorHAnsi" w:hAnsiTheme="minorHAnsi"/>
          <w:b/>
          <w:color w:val="C00000"/>
          <w:sz w:val="52"/>
          <w:lang w:val="sq-AL"/>
        </w:rPr>
        <w:t>20</w:t>
      </w:r>
      <w:r w:rsidR="00A93433" w:rsidRPr="003C6B6E">
        <w:rPr>
          <w:rFonts w:asciiTheme="minorHAnsi" w:hAnsiTheme="minorHAnsi"/>
          <w:b/>
          <w:color w:val="C00000"/>
          <w:sz w:val="52"/>
          <w:lang w:val="sq-AL"/>
        </w:rPr>
        <w:t>2</w:t>
      </w:r>
      <w:r w:rsidR="00565BEB">
        <w:rPr>
          <w:rFonts w:asciiTheme="minorHAnsi" w:hAnsiTheme="minorHAnsi"/>
          <w:b/>
          <w:color w:val="C00000"/>
          <w:sz w:val="52"/>
          <w:lang w:val="sq-AL"/>
        </w:rPr>
        <w:t>2</w:t>
      </w:r>
    </w:p>
    <w:p w:rsidR="00AB2DCA" w:rsidRPr="0065598A" w:rsidRDefault="00AB2DCA" w:rsidP="00A40986">
      <w:pPr>
        <w:pStyle w:val="Default"/>
        <w:spacing w:line="276" w:lineRule="auto"/>
        <w:jc w:val="center"/>
        <w:rPr>
          <w:rFonts w:asciiTheme="minorHAnsi" w:hAnsiTheme="minorHAnsi"/>
          <w:b/>
          <w:color w:val="C00000"/>
          <w:lang w:val="sq-AL"/>
        </w:rPr>
      </w:pPr>
    </w:p>
    <w:p w:rsidR="00337792"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VLERËSIMI I SITUATËS MAKROEKONOMIKE, FISKALE DHE BUXHETORE PËR 5-MUJORIN 20</w:t>
      </w:r>
      <w:r w:rsidR="00A93433" w:rsidRPr="0065598A">
        <w:rPr>
          <w:rFonts w:asciiTheme="minorHAnsi" w:hAnsiTheme="minorHAnsi"/>
          <w:b/>
          <w:color w:val="365F91" w:themeColor="accent1" w:themeShade="BF"/>
          <w:sz w:val="40"/>
          <w:lang w:val="sq-AL"/>
        </w:rPr>
        <w:t>2</w:t>
      </w:r>
      <w:r w:rsidR="00565BEB">
        <w:rPr>
          <w:rFonts w:asciiTheme="minorHAnsi" w:hAnsiTheme="minorHAnsi"/>
          <w:b/>
          <w:color w:val="365F91" w:themeColor="accent1" w:themeShade="BF"/>
          <w:sz w:val="40"/>
          <w:lang w:val="sq-AL"/>
        </w:rPr>
        <w:t>2</w:t>
      </w:r>
      <w:r w:rsidRPr="0065598A">
        <w:rPr>
          <w:rFonts w:asciiTheme="minorHAnsi" w:hAnsiTheme="minorHAnsi"/>
          <w:b/>
          <w:color w:val="365F91" w:themeColor="accent1" w:themeShade="BF"/>
          <w:sz w:val="40"/>
          <w:lang w:val="sq-AL"/>
        </w:rPr>
        <w:t xml:space="preserve">, </w:t>
      </w:r>
    </w:p>
    <w:p w:rsidR="00AB2DCA"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DHE PRITSHMËRITË PËR 12-MUJORIN 20</w:t>
      </w:r>
      <w:r w:rsidR="00A93433" w:rsidRPr="0065598A">
        <w:rPr>
          <w:rFonts w:asciiTheme="minorHAnsi" w:hAnsiTheme="minorHAnsi"/>
          <w:b/>
          <w:color w:val="365F91" w:themeColor="accent1" w:themeShade="BF"/>
          <w:sz w:val="40"/>
          <w:lang w:val="sq-AL"/>
        </w:rPr>
        <w:t>2</w:t>
      </w:r>
      <w:r w:rsidR="00565BEB">
        <w:rPr>
          <w:rFonts w:asciiTheme="minorHAnsi" w:hAnsiTheme="minorHAnsi"/>
          <w:b/>
          <w:color w:val="365F91" w:themeColor="accent1" w:themeShade="BF"/>
          <w:sz w:val="40"/>
          <w:lang w:val="sq-AL"/>
        </w:rPr>
        <w:t>2</w:t>
      </w:r>
    </w:p>
    <w:p w:rsidR="00EA2E05" w:rsidRPr="0065598A" w:rsidRDefault="00EA2E05" w:rsidP="00A40986">
      <w:pPr>
        <w:pStyle w:val="Default"/>
        <w:spacing w:line="276" w:lineRule="auto"/>
        <w:jc w:val="center"/>
        <w:rPr>
          <w:rFonts w:asciiTheme="minorHAnsi" w:hAnsiTheme="minorHAnsi"/>
          <w:color w:val="auto"/>
          <w:lang w:val="sq-AL"/>
        </w:rPr>
      </w:pPr>
      <w:r w:rsidRPr="0065598A">
        <w:rPr>
          <w:rFonts w:asciiTheme="minorHAnsi" w:hAnsiTheme="minorHAnsi"/>
          <w:b/>
          <w:color w:val="800000"/>
          <w:lang w:val="sq-AL"/>
        </w:rPr>
        <w:t>______________________________</w:t>
      </w:r>
    </w:p>
    <w:p w:rsidR="00EA2E05" w:rsidRPr="0065598A" w:rsidRDefault="00EA2E05" w:rsidP="00A40986">
      <w:pPr>
        <w:pStyle w:val="Default"/>
        <w:spacing w:line="276" w:lineRule="auto"/>
        <w:jc w:val="center"/>
        <w:rPr>
          <w:rFonts w:asciiTheme="minorHAnsi" w:hAnsiTheme="minorHAnsi" w:cs="Arial"/>
          <w:color w:val="auto"/>
          <w:lang w:val="sq-AL"/>
        </w:rPr>
      </w:pPr>
    </w:p>
    <w:p w:rsidR="000F540A" w:rsidRPr="0065598A" w:rsidRDefault="000F540A" w:rsidP="00A40986">
      <w:pPr>
        <w:pStyle w:val="Default"/>
        <w:spacing w:line="276" w:lineRule="auto"/>
        <w:jc w:val="both"/>
        <w:rPr>
          <w:rFonts w:asciiTheme="minorHAnsi" w:hAnsiTheme="minorHAnsi" w:cs="Arial"/>
          <w:color w:val="auto"/>
          <w:lang w:val="sq-AL"/>
        </w:rPr>
      </w:pPr>
    </w:p>
    <w:p w:rsidR="000F540A" w:rsidRPr="0065598A" w:rsidRDefault="000F540A" w:rsidP="00A40986">
      <w:pPr>
        <w:pStyle w:val="Default"/>
        <w:spacing w:line="276" w:lineRule="auto"/>
        <w:jc w:val="both"/>
        <w:rPr>
          <w:rFonts w:asciiTheme="minorHAnsi" w:hAnsiTheme="minorHAnsi" w:cs="Arial"/>
          <w:color w:val="auto"/>
          <w:lang w:val="sq-AL"/>
        </w:rPr>
      </w:pPr>
    </w:p>
    <w:p w:rsidR="00A4451F" w:rsidRPr="0065598A" w:rsidRDefault="00A4451F"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Default="00E97958" w:rsidP="00A40986">
      <w:pPr>
        <w:spacing w:line="276" w:lineRule="auto"/>
        <w:jc w:val="both"/>
        <w:rPr>
          <w:rFonts w:asciiTheme="minorHAnsi" w:hAnsiTheme="minorHAnsi" w:cs="Arial"/>
          <w:b/>
          <w:color w:val="C00000"/>
          <w:sz w:val="32"/>
          <w:lang w:val="sq-AL"/>
        </w:rPr>
      </w:pPr>
      <w:r w:rsidRPr="0065598A">
        <w:rPr>
          <w:rFonts w:asciiTheme="minorHAnsi" w:hAnsiTheme="minorHAnsi" w:cs="Arial"/>
          <w:b/>
          <w:color w:val="C00000"/>
          <w:sz w:val="32"/>
          <w:lang w:val="sq-AL"/>
        </w:rPr>
        <w:t xml:space="preserve">Tiranë, </w:t>
      </w:r>
      <w:r w:rsidR="00337792" w:rsidRPr="0065598A">
        <w:rPr>
          <w:rFonts w:asciiTheme="minorHAnsi" w:hAnsiTheme="minorHAnsi" w:cs="Arial"/>
          <w:b/>
          <w:color w:val="C00000"/>
          <w:sz w:val="32"/>
          <w:lang w:val="sq-AL"/>
        </w:rPr>
        <w:t xml:space="preserve">Qershor </w:t>
      </w:r>
      <w:r w:rsidRPr="0065598A">
        <w:rPr>
          <w:rFonts w:asciiTheme="minorHAnsi" w:hAnsiTheme="minorHAnsi" w:cs="Arial"/>
          <w:b/>
          <w:color w:val="C00000"/>
          <w:sz w:val="32"/>
          <w:lang w:val="sq-AL"/>
        </w:rPr>
        <w:t>20</w:t>
      </w:r>
      <w:r w:rsidR="00A93433" w:rsidRPr="0065598A">
        <w:rPr>
          <w:rFonts w:asciiTheme="minorHAnsi" w:hAnsiTheme="minorHAnsi" w:cs="Arial"/>
          <w:b/>
          <w:color w:val="C00000"/>
          <w:sz w:val="32"/>
          <w:lang w:val="sq-AL"/>
        </w:rPr>
        <w:t>2</w:t>
      </w:r>
      <w:r w:rsidR="00565BEB">
        <w:rPr>
          <w:rFonts w:asciiTheme="minorHAnsi" w:hAnsiTheme="minorHAnsi" w:cs="Arial"/>
          <w:b/>
          <w:color w:val="C00000"/>
          <w:sz w:val="32"/>
          <w:lang w:val="sq-AL"/>
        </w:rPr>
        <w:t>2</w:t>
      </w:r>
    </w:p>
    <w:p w:rsidR="0093243B" w:rsidRDefault="0093243B" w:rsidP="00A40986">
      <w:pPr>
        <w:spacing w:line="276" w:lineRule="auto"/>
        <w:jc w:val="both"/>
        <w:rPr>
          <w:rFonts w:asciiTheme="minorHAnsi" w:hAnsiTheme="minorHAnsi" w:cs="Arial"/>
          <w:b/>
          <w:color w:val="C00000"/>
          <w:sz w:val="32"/>
          <w:lang w:val="sq-AL"/>
        </w:rPr>
      </w:pPr>
    </w:p>
    <w:p w:rsidR="002C0E6D" w:rsidRPr="0065598A" w:rsidRDefault="002C0E6D" w:rsidP="00A40986">
      <w:pPr>
        <w:spacing w:line="276" w:lineRule="auto"/>
        <w:jc w:val="both"/>
        <w:rPr>
          <w:rFonts w:asciiTheme="minorHAnsi" w:hAnsiTheme="minorHAnsi" w:cs="Arial"/>
          <w:b/>
          <w:color w:val="C00000"/>
          <w:sz w:val="32"/>
          <w:lang w:val="sq-AL"/>
        </w:rPr>
      </w:pPr>
    </w:p>
    <w:bookmarkStart w:id="0"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ajorHAnsi" w:hAnsiTheme="majorHAnsi"/>
          <w:color w:val="0070C0"/>
          <w:sz w:val="22"/>
          <w:szCs w:val="22"/>
        </w:rPr>
      </w:sdtEndPr>
      <w:sdtContent>
        <w:p w:rsidR="00EE2069" w:rsidRPr="00FA4974" w:rsidRDefault="00EF5147" w:rsidP="00051122">
          <w:pPr>
            <w:pStyle w:val="TOCHeading"/>
            <w:spacing w:before="0" w:line="240" w:lineRule="auto"/>
            <w:ind w:right="-360"/>
            <w:jc w:val="center"/>
            <w:rPr>
              <w:rFonts w:asciiTheme="minorHAnsi" w:hAnsiTheme="minorHAnsi"/>
              <w:noProof w:val="0"/>
              <w:sz w:val="32"/>
              <w:szCs w:val="28"/>
              <w:u w:val="none"/>
            </w:rPr>
          </w:pPr>
          <w:r w:rsidRPr="00FA4974">
            <w:rPr>
              <w:rFonts w:asciiTheme="minorHAnsi" w:hAnsiTheme="minorHAnsi"/>
              <w:noProof w:val="0"/>
              <w:sz w:val="32"/>
              <w:szCs w:val="28"/>
            </w:rPr>
            <w:t xml:space="preserve">P </w:t>
          </w:r>
          <w:r w:rsidR="002F0689" w:rsidRPr="00FA4974">
            <w:rPr>
              <w:rFonts w:asciiTheme="minorHAnsi" w:hAnsiTheme="minorHAnsi"/>
              <w:noProof w:val="0"/>
              <w:sz w:val="32"/>
              <w:szCs w:val="28"/>
            </w:rPr>
            <w:t>Ë</w:t>
          </w:r>
          <w:r w:rsidRPr="00FA4974">
            <w:rPr>
              <w:rFonts w:asciiTheme="minorHAnsi" w:hAnsiTheme="minorHAnsi"/>
              <w:noProof w:val="0"/>
              <w:sz w:val="32"/>
              <w:szCs w:val="28"/>
            </w:rPr>
            <w:t xml:space="preserve"> R M B A J T J A</w:t>
          </w:r>
        </w:p>
        <w:p w:rsidR="00AE04F9" w:rsidRPr="002B0076" w:rsidRDefault="00EE2069">
          <w:pPr>
            <w:pStyle w:val="TOC1"/>
            <w:rPr>
              <w:rFonts w:asciiTheme="majorHAnsi" w:eastAsiaTheme="minorEastAsia" w:hAnsiTheme="majorHAnsi" w:cstheme="minorBidi"/>
              <w:b w:val="0"/>
              <w:color w:val="0070C0"/>
              <w:szCs w:val="22"/>
            </w:rPr>
          </w:pPr>
          <w:r w:rsidRPr="002B0076">
            <w:rPr>
              <w:rFonts w:asciiTheme="majorHAnsi" w:hAnsiTheme="majorHAnsi"/>
              <w:color w:val="0070C0"/>
              <w:szCs w:val="22"/>
              <w:lang w:val="sq-AL"/>
            </w:rPr>
            <w:fldChar w:fldCharType="begin"/>
          </w:r>
          <w:r w:rsidRPr="002B0076">
            <w:rPr>
              <w:rFonts w:asciiTheme="majorHAnsi" w:hAnsiTheme="majorHAnsi"/>
              <w:color w:val="0070C0"/>
              <w:szCs w:val="22"/>
              <w:lang w:val="sq-AL"/>
            </w:rPr>
            <w:instrText xml:space="preserve"> TOC \o "1-3" \h \z \u </w:instrText>
          </w:r>
          <w:r w:rsidRPr="002B0076">
            <w:rPr>
              <w:rFonts w:asciiTheme="majorHAnsi" w:hAnsiTheme="majorHAnsi"/>
              <w:color w:val="0070C0"/>
              <w:szCs w:val="22"/>
              <w:lang w:val="sq-AL"/>
            </w:rPr>
            <w:fldChar w:fldCharType="separate"/>
          </w:r>
          <w:hyperlink w:anchor="_Toc107496978" w:history="1">
            <w:r w:rsidR="00AE04F9" w:rsidRPr="002B0076">
              <w:rPr>
                <w:rStyle w:val="Hyperlink"/>
                <w:rFonts w:asciiTheme="majorHAnsi" w:hAnsiTheme="majorHAnsi"/>
                <w:color w:val="0070C0"/>
                <w:sz w:val="18"/>
              </w:rPr>
              <w:t>LISTA E TABELAVE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_Toc107496978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3</w:t>
            </w:r>
            <w:r w:rsidR="00AE04F9" w:rsidRPr="002B0076">
              <w:rPr>
                <w:rFonts w:asciiTheme="majorHAnsi" w:hAnsiTheme="majorHAnsi"/>
                <w:webHidden/>
                <w:color w:val="0070C0"/>
                <w:sz w:val="18"/>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79" w:history="1">
            <w:r w:rsidR="00AE04F9" w:rsidRPr="002B0076">
              <w:rPr>
                <w:rStyle w:val="Hyperlink"/>
                <w:rFonts w:asciiTheme="majorHAnsi" w:hAnsiTheme="majorHAnsi"/>
                <w:color w:val="0070C0"/>
                <w:sz w:val="18"/>
              </w:rPr>
              <w:t>LISTA E GRAFIKËVE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_Toc107496979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4</w:t>
            </w:r>
            <w:r w:rsidR="00AE04F9" w:rsidRPr="002B0076">
              <w:rPr>
                <w:rFonts w:asciiTheme="majorHAnsi" w:hAnsiTheme="majorHAnsi"/>
                <w:webHidden/>
                <w:color w:val="0070C0"/>
                <w:sz w:val="18"/>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80" w:history="1">
            <w:r w:rsidR="00AE04F9" w:rsidRPr="002B0076">
              <w:rPr>
                <w:rStyle w:val="Hyperlink"/>
                <w:rFonts w:asciiTheme="majorHAnsi" w:hAnsiTheme="majorHAnsi"/>
                <w:color w:val="0070C0"/>
                <w:sz w:val="18"/>
              </w:rPr>
              <w:t>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ZHVILLIMET NË EKONOMINË SHQIPTARE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_Toc107496980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5</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1" w:history="1">
            <w:r w:rsidR="00AE04F9" w:rsidRPr="002B0076">
              <w:rPr>
                <w:rStyle w:val="Hyperlink"/>
                <w:rFonts w:asciiTheme="majorHAnsi" w:hAnsiTheme="majorHAnsi"/>
                <w:noProof/>
                <w:color w:val="0070C0"/>
                <w:sz w:val="22"/>
              </w:rPr>
              <w:t>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treguesve makroekonomikë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2" w:history="1">
            <w:r w:rsidR="00AE04F9" w:rsidRPr="002B0076">
              <w:rPr>
                <w:rStyle w:val="Hyperlink"/>
                <w:rFonts w:asciiTheme="majorHAnsi" w:hAnsiTheme="majorHAnsi"/>
                <w:noProof/>
                <w:color w:val="0070C0"/>
                <w:sz w:val="22"/>
              </w:rPr>
              <w:t>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treguesve makroekonomikë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7</w:t>
            </w:r>
            <w:r w:rsidR="00AE04F9" w:rsidRPr="002B0076">
              <w:rPr>
                <w:rFonts w:asciiTheme="majorHAnsi" w:hAnsiTheme="majorHAnsi"/>
                <w:noProof/>
                <w:webHidden/>
                <w:color w:val="0070C0"/>
                <w:sz w:val="22"/>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83" w:history="1">
            <w:r w:rsidR="00AE04F9" w:rsidRPr="002B0076">
              <w:rPr>
                <w:rStyle w:val="Hyperlink"/>
                <w:rFonts w:asciiTheme="majorHAnsi" w:hAnsiTheme="majorHAnsi"/>
                <w:color w:val="0070C0"/>
                <w:sz w:val="18"/>
              </w:rPr>
              <w:t>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POLITIKA FISKALE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_Toc107496983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8</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4" w:history="1">
            <w:r w:rsidR="00AE04F9" w:rsidRPr="002B0076">
              <w:rPr>
                <w:rStyle w:val="Hyperlink"/>
                <w:rFonts w:asciiTheme="majorHAnsi" w:hAnsiTheme="majorHAnsi"/>
                <w:noProof/>
                <w:color w:val="0070C0"/>
                <w:sz w:val="22"/>
              </w:rPr>
              <w:t>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Performanca fiskale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8</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5" w:history="1">
            <w:r w:rsidR="00AE04F9" w:rsidRPr="002B0076">
              <w:rPr>
                <w:rStyle w:val="Hyperlink"/>
                <w:rFonts w:asciiTheme="majorHAnsi" w:hAnsiTheme="majorHAnsi"/>
                <w:noProof/>
                <w:color w:val="0070C0"/>
                <w:sz w:val="22"/>
              </w:rPr>
              <w:t>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fiskale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14</w:t>
            </w:r>
            <w:r w:rsidR="00AE04F9" w:rsidRPr="002B0076">
              <w:rPr>
                <w:rFonts w:asciiTheme="majorHAnsi" w:hAnsiTheme="majorHAnsi"/>
                <w:noProof/>
                <w:webHidden/>
                <w:color w:val="0070C0"/>
                <w:sz w:val="22"/>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86" w:history="1">
            <w:r w:rsidR="00AE04F9" w:rsidRPr="002B0076">
              <w:rPr>
                <w:rStyle w:val="Hyperlink"/>
                <w:rFonts w:asciiTheme="majorHAnsi" w:hAnsiTheme="majorHAnsi"/>
                <w:color w:val="0070C0"/>
                <w:sz w:val="18"/>
              </w:rPr>
              <w:t>III.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BUXHETI I VITIT 2022</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15</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7" w:history="1">
            <w:r w:rsidR="00AE04F9" w:rsidRPr="002B0076">
              <w:rPr>
                <w:rStyle w:val="Hyperlink"/>
                <w:rFonts w:asciiTheme="majorHAnsi" w:hAnsiTheme="majorHAnsi"/>
                <w:noProof/>
                <w:color w:val="0070C0"/>
                <w:sz w:val="22"/>
              </w:rPr>
              <w:t>III.1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Shpenzimet e Përgjithshme Buxhetore gjatë periudhës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15</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8" w:history="1">
            <w:r w:rsidR="00AE04F9" w:rsidRPr="002B0076">
              <w:rPr>
                <w:rStyle w:val="Hyperlink"/>
                <w:rFonts w:asciiTheme="majorHAnsi" w:hAnsiTheme="majorHAnsi"/>
                <w:noProof/>
                <w:color w:val="0070C0"/>
                <w:sz w:val="22"/>
              </w:rPr>
              <w:t>III.2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Financat Vendore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24</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89" w:history="1">
            <w:r w:rsidR="00AE04F9" w:rsidRPr="002B0076">
              <w:rPr>
                <w:rStyle w:val="Hyperlink"/>
                <w:rFonts w:asciiTheme="majorHAnsi" w:hAnsiTheme="majorHAnsi"/>
                <w:noProof/>
                <w:color w:val="0070C0"/>
                <w:sz w:val="22"/>
              </w:rPr>
              <w:t>III.3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Fondi Rezervë, Fondi i Kontigjencës, Fondi i Rindërtimit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29</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0" w:history="1">
            <w:r w:rsidR="00AE04F9" w:rsidRPr="002B0076">
              <w:rPr>
                <w:rStyle w:val="Hyperlink"/>
                <w:rFonts w:asciiTheme="majorHAnsi" w:hAnsiTheme="majorHAnsi"/>
                <w:noProof/>
                <w:color w:val="0070C0"/>
                <w:sz w:val="22"/>
              </w:rPr>
              <w:t>III.4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Pritshmëria e Shpenzimeve Buxhetore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31</w:t>
            </w:r>
            <w:r w:rsidR="00AE04F9" w:rsidRPr="002B0076">
              <w:rPr>
                <w:rFonts w:asciiTheme="majorHAnsi" w:hAnsiTheme="majorHAnsi"/>
                <w:noProof/>
                <w:webHidden/>
                <w:color w:val="0070C0"/>
                <w:sz w:val="22"/>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91" w:history="1">
            <w:r w:rsidR="00AE04F9" w:rsidRPr="002B0076">
              <w:rPr>
                <w:rStyle w:val="Hyperlink"/>
                <w:rFonts w:asciiTheme="majorHAnsi" w:hAnsiTheme="majorHAnsi"/>
                <w:color w:val="0070C0"/>
                <w:sz w:val="18"/>
              </w:rPr>
              <w:t>IV.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BORXHI PUBLIK</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_Toc107496991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32</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2" w:history="1">
            <w:r w:rsidR="00AE04F9" w:rsidRPr="002B0076">
              <w:rPr>
                <w:rStyle w:val="Hyperlink"/>
                <w:rFonts w:asciiTheme="majorHAnsi" w:hAnsiTheme="majorHAnsi"/>
                <w:noProof/>
                <w:color w:val="0070C0"/>
                <w:sz w:val="22"/>
              </w:rPr>
              <w:t>IV.1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Stoku i Borxhit Publik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33</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3" w:history="1">
            <w:r w:rsidR="00AE04F9" w:rsidRPr="002B0076">
              <w:rPr>
                <w:rStyle w:val="Hyperlink"/>
                <w:rFonts w:asciiTheme="majorHAnsi" w:hAnsiTheme="majorHAnsi"/>
                <w:noProof/>
                <w:color w:val="0070C0"/>
                <w:sz w:val="22"/>
              </w:rPr>
              <w:t>IV.2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Menaxhimi i Borxhit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35</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4" w:history="1">
            <w:r w:rsidR="00AE04F9" w:rsidRPr="002B0076">
              <w:rPr>
                <w:rStyle w:val="Hyperlink"/>
                <w:rFonts w:asciiTheme="majorHAnsi" w:hAnsiTheme="majorHAnsi"/>
                <w:noProof/>
                <w:color w:val="0070C0"/>
                <w:sz w:val="22"/>
              </w:rPr>
              <w:t>IV.3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Borxhit për vitin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39</w:t>
            </w:r>
            <w:r w:rsidR="00AE04F9" w:rsidRPr="002B0076">
              <w:rPr>
                <w:rFonts w:asciiTheme="majorHAnsi" w:hAnsiTheme="majorHAnsi"/>
                <w:noProof/>
                <w:webHidden/>
                <w:color w:val="0070C0"/>
                <w:sz w:val="22"/>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6995" w:history="1">
            <w:r w:rsidR="00AE04F9" w:rsidRPr="002B0076">
              <w:rPr>
                <w:rStyle w:val="Hyperlink"/>
                <w:rFonts w:asciiTheme="majorHAnsi" w:hAnsiTheme="majorHAnsi"/>
                <w:color w:val="0070C0"/>
                <w:sz w:val="18"/>
              </w:rPr>
              <w:t>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RREZIQET FISKALE DHE DETYRIMET KONTIGJENTE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_Toc107496995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39</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6" w:history="1">
            <w:r w:rsidR="00AE04F9" w:rsidRPr="002B0076">
              <w:rPr>
                <w:rStyle w:val="Hyperlink"/>
                <w:rFonts w:asciiTheme="majorHAnsi" w:hAnsiTheme="majorHAnsi"/>
                <w:noProof/>
                <w:color w:val="0070C0"/>
                <w:sz w:val="22"/>
              </w:rPr>
              <w:t>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Ndërmarrjet shtetërore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_Toc107496996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41</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7" w:history="1">
            <w:r w:rsidR="00AE04F9" w:rsidRPr="002B0076">
              <w:rPr>
                <w:rStyle w:val="Hyperlink"/>
                <w:rFonts w:asciiTheme="majorHAnsi" w:hAnsiTheme="majorHAnsi"/>
                <w:i/>
                <w:noProof/>
                <w:color w:val="0070C0"/>
                <w:sz w:val="22"/>
              </w:rPr>
              <w:t>V.1.1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Energjetik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43</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8" w:history="1">
            <w:r w:rsidR="00AE04F9" w:rsidRPr="002B0076">
              <w:rPr>
                <w:rStyle w:val="Hyperlink"/>
                <w:rFonts w:asciiTheme="majorHAnsi" w:hAnsiTheme="majorHAnsi"/>
                <w:i/>
                <w:noProof/>
                <w:color w:val="0070C0"/>
                <w:sz w:val="22"/>
              </w:rPr>
              <w:t>V.1.2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i Ujësjellës-Kanalizimeve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47</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6999" w:history="1">
            <w:r w:rsidR="00AE04F9" w:rsidRPr="002B0076">
              <w:rPr>
                <w:rStyle w:val="Hyperlink"/>
                <w:rFonts w:asciiTheme="majorHAnsi" w:hAnsiTheme="majorHAnsi"/>
                <w:noProof/>
                <w:color w:val="0070C0"/>
                <w:sz w:val="22"/>
              </w:rPr>
              <w:t>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Detyrimet e prapambetura të Qeverisjes së Përgjithshme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48</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0" w:history="1">
            <w:r w:rsidR="00AE04F9" w:rsidRPr="002B0076">
              <w:rPr>
                <w:rStyle w:val="Hyperlink"/>
                <w:rFonts w:asciiTheme="majorHAnsi" w:hAnsiTheme="majorHAnsi"/>
                <w:i/>
                <w:noProof/>
                <w:color w:val="0070C0"/>
                <w:sz w:val="22"/>
              </w:rPr>
              <w:t>V.2.1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qeverisjes QENDRORE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49</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1" w:history="1">
            <w:r w:rsidR="00AE04F9" w:rsidRPr="002B0076">
              <w:rPr>
                <w:rStyle w:val="Hyperlink"/>
                <w:rFonts w:asciiTheme="majorHAnsi" w:hAnsiTheme="majorHAnsi"/>
                <w:i/>
                <w:noProof/>
                <w:color w:val="0070C0"/>
                <w:sz w:val="22"/>
              </w:rPr>
              <w:t>V.2.2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vetëqeverisjes VENDORE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49</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2" w:history="1">
            <w:r w:rsidR="00AE04F9" w:rsidRPr="002B0076">
              <w:rPr>
                <w:rStyle w:val="Hyperlink"/>
                <w:rFonts w:asciiTheme="majorHAnsi" w:hAnsiTheme="majorHAnsi"/>
                <w:noProof/>
                <w:color w:val="0070C0"/>
                <w:sz w:val="22"/>
              </w:rPr>
              <w:t>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Pagesat Faktike të Kontratave Koncesionare/PPP, me Mbështetje Buxhetore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50</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3" w:history="1">
            <w:r w:rsidR="00AE04F9" w:rsidRPr="002B0076">
              <w:rPr>
                <w:rStyle w:val="Hyperlink"/>
                <w:rFonts w:asciiTheme="majorHAnsi" w:hAnsiTheme="majorHAnsi"/>
                <w:noProof/>
                <w:color w:val="0070C0"/>
                <w:sz w:val="22"/>
              </w:rPr>
              <w:t>V.4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 të tjera Kontigjente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4" w:history="1">
            <w:r w:rsidR="00AE04F9" w:rsidRPr="002B0076">
              <w:rPr>
                <w:rStyle w:val="Hyperlink"/>
                <w:rFonts w:asciiTheme="majorHAnsi" w:hAnsiTheme="majorHAnsi"/>
                <w:i/>
                <w:noProof/>
                <w:color w:val="0070C0"/>
                <w:sz w:val="22"/>
              </w:rPr>
              <w:t>V.4.1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së të Drejtave të Njeriut në Strasburg (GJEDNJ)</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5" w:history="1">
            <w:r w:rsidR="00AE04F9" w:rsidRPr="002B0076">
              <w:rPr>
                <w:rStyle w:val="Hyperlink"/>
                <w:rFonts w:asciiTheme="majorHAnsi" w:hAnsiTheme="majorHAnsi"/>
                <w:i/>
                <w:noProof/>
                <w:color w:val="0070C0"/>
                <w:sz w:val="22"/>
              </w:rPr>
              <w:t>V.4.2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Ndërkombëtare të ARBITRAZHIT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54</w:t>
            </w:r>
            <w:r w:rsidR="00AE04F9" w:rsidRPr="002B0076">
              <w:rPr>
                <w:rFonts w:asciiTheme="majorHAnsi" w:hAnsiTheme="majorHAnsi"/>
                <w:noProof/>
                <w:webHidden/>
                <w:color w:val="0070C0"/>
                <w:sz w:val="22"/>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7006" w:history="1">
            <w:r w:rsidR="00AE04F9" w:rsidRPr="002B0076">
              <w:rPr>
                <w:rStyle w:val="Hyperlink"/>
                <w:rFonts w:asciiTheme="majorHAnsi" w:hAnsiTheme="majorHAnsi"/>
                <w:color w:val="0070C0"/>
                <w:sz w:val="18"/>
              </w:rPr>
              <w:t>VI.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KONKLUZIONE DHE PROPOZIME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56</w:t>
            </w:r>
            <w:r w:rsidR="00AE04F9" w:rsidRPr="002B0076">
              <w:rPr>
                <w:rFonts w:asciiTheme="majorHAnsi" w:hAnsiTheme="majorHAnsi"/>
                <w:webHidden/>
                <w:color w:val="0070C0"/>
                <w:sz w:val="18"/>
              </w:rPr>
              <w:fldChar w:fldCharType="end"/>
            </w:r>
          </w:hyperlink>
        </w:p>
        <w:p w:rsidR="00AE04F9" w:rsidRPr="002B0076" w:rsidRDefault="00141CFC">
          <w:pPr>
            <w:pStyle w:val="TOC1"/>
            <w:rPr>
              <w:rFonts w:asciiTheme="majorHAnsi" w:eastAsiaTheme="minorEastAsia" w:hAnsiTheme="majorHAnsi" w:cstheme="minorBidi"/>
              <w:b w:val="0"/>
              <w:color w:val="0070C0"/>
              <w:szCs w:val="22"/>
            </w:rPr>
          </w:pPr>
          <w:hyperlink w:anchor="_Toc107497007" w:history="1">
            <w:r w:rsidR="00AE04F9" w:rsidRPr="002B0076">
              <w:rPr>
                <w:rStyle w:val="Hyperlink"/>
                <w:rFonts w:asciiTheme="majorHAnsi" w:hAnsiTheme="majorHAnsi"/>
                <w:color w:val="0070C0"/>
                <w:sz w:val="18"/>
              </w:rPr>
              <w:t>VII.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SHTOJCAT</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_Toc107497007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2B0076" w:rsidRPr="002B0076">
              <w:rPr>
                <w:rFonts w:asciiTheme="majorHAnsi" w:hAnsiTheme="majorHAnsi"/>
                <w:webHidden/>
                <w:color w:val="0070C0"/>
                <w:sz w:val="18"/>
              </w:rPr>
              <w:t>57</w:t>
            </w:r>
            <w:r w:rsidR="00AE04F9" w:rsidRPr="002B0076">
              <w:rPr>
                <w:rFonts w:asciiTheme="majorHAnsi" w:hAnsiTheme="majorHAnsi"/>
                <w:webHidden/>
                <w:color w:val="0070C0"/>
                <w:sz w:val="18"/>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8" w:history="1">
            <w:r w:rsidR="00AE04F9" w:rsidRPr="002B0076">
              <w:rPr>
                <w:rStyle w:val="Hyperlink"/>
                <w:rFonts w:asciiTheme="majorHAnsi" w:hAnsiTheme="majorHAnsi"/>
                <w:noProof/>
                <w:color w:val="0070C0"/>
                <w:sz w:val="22"/>
              </w:rPr>
              <w:t>VII.1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treguesve makroekonomikë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57</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09" w:history="1">
            <w:r w:rsidR="00AE04F9" w:rsidRPr="002B0076">
              <w:rPr>
                <w:rStyle w:val="Hyperlink"/>
                <w:rFonts w:asciiTheme="majorHAnsi" w:hAnsiTheme="majorHAnsi"/>
                <w:noProof/>
                <w:color w:val="0070C0"/>
                <w:sz w:val="22"/>
              </w:rPr>
              <w:t>VII.2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Treguesit kryesorë të performancës sipas ministrive të linjës, 4M I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63</w:t>
            </w:r>
            <w:r w:rsidR="00AE04F9" w:rsidRPr="002B0076">
              <w:rPr>
                <w:rFonts w:asciiTheme="majorHAnsi" w:hAnsiTheme="majorHAnsi"/>
                <w:noProof/>
                <w:webHidden/>
                <w:color w:val="0070C0"/>
                <w:sz w:val="22"/>
              </w:rPr>
              <w:fldChar w:fldCharType="end"/>
            </w:r>
          </w:hyperlink>
        </w:p>
        <w:p w:rsidR="00AE04F9" w:rsidRPr="002B0076" w:rsidRDefault="00141CFC">
          <w:pPr>
            <w:pStyle w:val="TOC2"/>
            <w:rPr>
              <w:rFonts w:asciiTheme="majorHAnsi" w:eastAsiaTheme="minorEastAsia" w:hAnsiTheme="majorHAnsi" w:cstheme="minorBidi"/>
              <w:noProof/>
              <w:color w:val="0070C0"/>
              <w:sz w:val="20"/>
              <w:szCs w:val="22"/>
            </w:rPr>
          </w:pPr>
          <w:hyperlink w:anchor="_Toc107497010" w:history="1">
            <w:r w:rsidR="00AE04F9" w:rsidRPr="002B0076">
              <w:rPr>
                <w:rStyle w:val="Hyperlink"/>
                <w:rFonts w:asciiTheme="majorHAnsi" w:hAnsiTheme="majorHAnsi"/>
                <w:noProof/>
                <w:color w:val="0070C0"/>
                <w:sz w:val="22"/>
              </w:rPr>
              <w:t>VII.3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projekteve të investimeve publike,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_Toc107497010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2B0076" w:rsidRPr="002B0076">
              <w:rPr>
                <w:rFonts w:asciiTheme="majorHAnsi" w:hAnsiTheme="majorHAnsi"/>
                <w:noProof/>
                <w:webHidden/>
                <w:color w:val="0070C0"/>
                <w:sz w:val="22"/>
              </w:rPr>
              <w:t>83</w:t>
            </w:r>
            <w:r w:rsidR="00AE04F9" w:rsidRPr="002B0076">
              <w:rPr>
                <w:rFonts w:asciiTheme="majorHAnsi" w:hAnsiTheme="majorHAnsi"/>
                <w:noProof/>
                <w:webHidden/>
                <w:color w:val="0070C0"/>
                <w:sz w:val="22"/>
              </w:rPr>
              <w:fldChar w:fldCharType="end"/>
            </w:r>
          </w:hyperlink>
        </w:p>
        <w:p w:rsidR="00EE2069" w:rsidRPr="002E5970" w:rsidRDefault="00EE2069" w:rsidP="002E5970">
          <w:pPr>
            <w:pStyle w:val="TOC2"/>
            <w:spacing w:line="276" w:lineRule="auto"/>
            <w:jc w:val="both"/>
            <w:rPr>
              <w:rFonts w:asciiTheme="majorHAnsi" w:hAnsiTheme="majorHAnsi"/>
              <w:noProof/>
              <w:color w:val="0070C0"/>
              <w:sz w:val="22"/>
              <w:szCs w:val="22"/>
              <w:lang w:val="sq-AL"/>
            </w:rPr>
          </w:pPr>
          <w:r w:rsidRPr="002B0076">
            <w:rPr>
              <w:rFonts w:asciiTheme="majorHAnsi" w:hAnsiTheme="majorHAnsi"/>
              <w:noProof/>
              <w:color w:val="0070C0"/>
              <w:sz w:val="20"/>
              <w:szCs w:val="22"/>
              <w:lang w:val="sq-AL"/>
            </w:rPr>
            <w:fldChar w:fldCharType="end"/>
          </w:r>
        </w:p>
      </w:sdtContent>
    </w:sdt>
    <w:p w:rsidR="0093243B" w:rsidRDefault="0093243B" w:rsidP="00B4223B">
      <w:pPr>
        <w:pStyle w:val="Heading1"/>
        <w:spacing w:before="0"/>
        <w:jc w:val="center"/>
        <w:rPr>
          <w:color w:val="548DD4" w:themeColor="text2" w:themeTint="99"/>
        </w:rPr>
      </w:pPr>
      <w:bookmarkStart w:id="1" w:name="_Toc44321026"/>
    </w:p>
    <w:p w:rsidR="00545CF4" w:rsidRDefault="00545CF4" w:rsidP="00545CF4">
      <w:pPr>
        <w:rPr>
          <w:lang w:val="sq-AL"/>
        </w:rPr>
      </w:pPr>
    </w:p>
    <w:p w:rsidR="002E5970" w:rsidRPr="00545CF4" w:rsidRDefault="002E5970" w:rsidP="00545CF4">
      <w:pPr>
        <w:rPr>
          <w:lang w:val="sq-AL"/>
        </w:rPr>
      </w:pPr>
    </w:p>
    <w:p w:rsidR="00630F48" w:rsidRPr="002C0E6D" w:rsidRDefault="002C0E6D" w:rsidP="00B4223B">
      <w:pPr>
        <w:pStyle w:val="Heading1"/>
        <w:spacing w:before="0"/>
        <w:jc w:val="center"/>
        <w:rPr>
          <w:color w:val="548DD4" w:themeColor="text2" w:themeTint="99"/>
        </w:rPr>
      </w:pPr>
      <w:bookmarkStart w:id="2" w:name="_Toc107496978"/>
      <w:r w:rsidRPr="002C0E6D">
        <w:rPr>
          <w:color w:val="548DD4" w:themeColor="text2" w:themeTint="99"/>
        </w:rPr>
        <w:lastRenderedPageBreak/>
        <w:t>LISTA E TABELA</w:t>
      </w:r>
      <w:bookmarkEnd w:id="1"/>
      <w:r w:rsidRPr="002C0E6D">
        <w:rPr>
          <w:color w:val="548DD4" w:themeColor="text2" w:themeTint="99"/>
        </w:rPr>
        <w:t>VE</w:t>
      </w:r>
      <w:bookmarkEnd w:id="2"/>
    </w:p>
    <w:p w:rsidR="004008C0" w:rsidRPr="00C371C2" w:rsidRDefault="004008C0" w:rsidP="00C371C2">
      <w:pPr>
        <w:pStyle w:val="TableofFigures"/>
        <w:tabs>
          <w:tab w:val="right" w:leader="dot" w:pos="9623"/>
        </w:tabs>
        <w:rPr>
          <w:rStyle w:val="Hyperlink"/>
          <w:rFonts w:asciiTheme="majorHAnsi" w:eastAsiaTheme="majorEastAsia" w:hAnsiTheme="majorHAnsi"/>
          <w:i/>
          <w:noProof/>
          <w:color w:val="0070C0"/>
          <w:sz w:val="22"/>
        </w:rPr>
      </w:pPr>
    </w:p>
    <w:p w:rsidR="00E12795" w:rsidRPr="00E12795" w:rsidRDefault="00070183">
      <w:pPr>
        <w:pStyle w:val="TableofFigures"/>
        <w:tabs>
          <w:tab w:val="right" w:leader="dot" w:pos="9623"/>
        </w:tabs>
        <w:rPr>
          <w:rStyle w:val="Hyperlink"/>
          <w:rFonts w:asciiTheme="majorHAnsi" w:eastAsiaTheme="majorEastAsia" w:hAnsiTheme="majorHAnsi"/>
          <w:i/>
          <w:color w:val="0070C0"/>
          <w:lang w:val="sq-AL"/>
        </w:rPr>
      </w:pPr>
      <w:r w:rsidRPr="00C371C2">
        <w:rPr>
          <w:rStyle w:val="Hyperlink"/>
          <w:rFonts w:asciiTheme="majorHAnsi" w:eastAsiaTheme="majorEastAsia" w:hAnsiTheme="majorHAnsi"/>
          <w:i/>
          <w:noProof/>
          <w:color w:val="0070C0"/>
          <w:sz w:val="22"/>
          <w:lang w:val="sq-AL"/>
        </w:rPr>
        <w:fldChar w:fldCharType="begin"/>
      </w:r>
      <w:r w:rsidRPr="00C371C2">
        <w:rPr>
          <w:rStyle w:val="Hyperlink"/>
          <w:rFonts w:asciiTheme="majorHAnsi" w:eastAsiaTheme="majorEastAsia" w:hAnsiTheme="majorHAnsi"/>
          <w:i/>
          <w:noProof/>
          <w:color w:val="0070C0"/>
          <w:sz w:val="22"/>
          <w:lang w:val="sq-AL"/>
        </w:rPr>
        <w:instrText xml:space="preserve"> TOC \h \z \c "Tabela" </w:instrText>
      </w:r>
      <w:r w:rsidRPr="00C371C2">
        <w:rPr>
          <w:rStyle w:val="Hyperlink"/>
          <w:rFonts w:asciiTheme="majorHAnsi" w:eastAsiaTheme="majorEastAsia" w:hAnsiTheme="majorHAnsi"/>
          <w:i/>
          <w:noProof/>
          <w:color w:val="0070C0"/>
          <w:sz w:val="22"/>
          <w:lang w:val="sq-AL"/>
        </w:rPr>
        <w:fldChar w:fldCharType="separate"/>
      </w:r>
      <w:hyperlink w:anchor="_Toc107496737" w:history="1">
        <w:r w:rsidR="00E12795" w:rsidRPr="00E12795">
          <w:rPr>
            <w:rStyle w:val="Hyperlink"/>
            <w:rFonts w:asciiTheme="majorHAnsi" w:eastAsiaTheme="majorEastAsia" w:hAnsiTheme="majorHAnsi"/>
            <w:i/>
            <w:noProof/>
            <w:color w:val="0070C0"/>
            <w:sz w:val="22"/>
            <w:lang w:val="sq-AL"/>
          </w:rPr>
          <w:t>Tabela 1: Të ardhurat Tatime &amp; Dogana për periudhën Janar – Maj 2022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8</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38" w:history="1">
        <w:r w:rsidR="00E12795" w:rsidRPr="00E12795">
          <w:rPr>
            <w:rStyle w:val="Hyperlink"/>
            <w:rFonts w:asciiTheme="majorHAnsi" w:eastAsiaTheme="majorEastAsia" w:hAnsiTheme="majorHAnsi"/>
            <w:i/>
            <w:noProof/>
            <w:color w:val="0070C0"/>
            <w:sz w:val="22"/>
            <w:lang w:val="sq-AL"/>
          </w:rPr>
          <w:t>Tabela 2: Kontribuesit pozitivë në të ardhurat nga Akciza/Diferencat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10</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39" w:history="1">
        <w:r w:rsidR="00E12795" w:rsidRPr="00E12795">
          <w:rPr>
            <w:rStyle w:val="Hyperlink"/>
            <w:rFonts w:asciiTheme="majorHAnsi" w:eastAsiaTheme="majorEastAsia" w:hAnsiTheme="majorHAnsi"/>
            <w:i/>
            <w:noProof/>
            <w:color w:val="0070C0"/>
            <w:sz w:val="22"/>
            <w:lang w:val="sq-AL"/>
          </w:rPr>
          <w:t>Tabela 3: Kontribuesit negativë në të ardhurat nga Akciza/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0" w:history="1">
        <w:r w:rsidR="00E12795" w:rsidRPr="00E12795">
          <w:rPr>
            <w:rStyle w:val="Hyperlink"/>
            <w:rFonts w:asciiTheme="majorHAnsi" w:eastAsiaTheme="majorEastAsia" w:hAnsiTheme="majorHAnsi"/>
            <w:i/>
            <w:noProof/>
            <w:color w:val="0070C0"/>
            <w:sz w:val="22"/>
            <w:lang w:val="sq-AL"/>
          </w:rPr>
          <w:t>Tabela 4: Kontribuesit pozitivë në të ardhurat nga TVSH/Diferencat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1" w:history="1">
        <w:r w:rsidR="00E12795" w:rsidRPr="00E12795">
          <w:rPr>
            <w:rStyle w:val="Hyperlink"/>
            <w:rFonts w:asciiTheme="majorHAnsi" w:eastAsiaTheme="majorEastAsia" w:hAnsiTheme="majorHAnsi"/>
            <w:i/>
            <w:noProof/>
            <w:color w:val="0070C0"/>
            <w:sz w:val="22"/>
            <w:lang w:val="sq-AL"/>
          </w:rPr>
          <w:t>Tabela 5: Kontribuesit negativë në të ardhurat nga TVSH/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2" w:history="1">
        <w:r w:rsidR="00E12795" w:rsidRPr="00E12795">
          <w:rPr>
            <w:rStyle w:val="Hyperlink"/>
            <w:rFonts w:asciiTheme="majorHAnsi" w:eastAsiaTheme="majorEastAsia" w:hAnsiTheme="majorHAnsi"/>
            <w:i/>
            <w:noProof/>
            <w:color w:val="0070C0"/>
            <w:sz w:val="22"/>
            <w:lang w:val="sq-AL"/>
          </w:rPr>
          <w:t>Tabela 6  : Të dhëna për Rentën Minerare, naftë bruto dhe minerale të tjera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3" w:history="1">
        <w:r w:rsidR="00E12795" w:rsidRPr="00E12795">
          <w:rPr>
            <w:rStyle w:val="Hyperlink"/>
            <w:rFonts w:asciiTheme="majorHAnsi" w:eastAsiaTheme="majorEastAsia" w:hAnsiTheme="majorHAnsi"/>
            <w:i/>
            <w:noProof/>
            <w:color w:val="0070C0"/>
            <w:sz w:val="22"/>
            <w:lang w:val="sq-AL"/>
          </w:rPr>
          <w:t>Tabela 7: Treguesit fiskalë të konsoliduar për 5 mujorin e vitit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4" w:history="1">
        <w:r w:rsidR="00E12795" w:rsidRPr="00E12795">
          <w:rPr>
            <w:rStyle w:val="Hyperlink"/>
            <w:rFonts w:asciiTheme="majorHAnsi" w:eastAsiaTheme="majorEastAsia" w:hAnsiTheme="majorHAnsi"/>
            <w:i/>
            <w:noProof/>
            <w:color w:val="0070C0"/>
            <w:sz w:val="22"/>
            <w:lang w:val="sq-AL"/>
          </w:rPr>
          <w:t>Tabela 8: Treguesit fiskalë të konsoliduar për 5 mujorin e vitit 2021 dhe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5" w:history="1">
        <w:r w:rsidR="00E12795" w:rsidRPr="00E12795">
          <w:rPr>
            <w:rStyle w:val="Hyperlink"/>
            <w:rFonts w:asciiTheme="majorHAnsi" w:eastAsiaTheme="majorEastAsia" w:hAnsiTheme="majorHAnsi"/>
            <w:i/>
            <w:noProof/>
            <w:color w:val="0070C0"/>
            <w:sz w:val="22"/>
            <w:lang w:val="sq-AL"/>
          </w:rPr>
          <w:t>Tabela 9: Të ardhurat dhe shpenzimet faktike të pushtetit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28</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6" w:history="1">
        <w:r w:rsidR="00E12795" w:rsidRPr="00E12795">
          <w:rPr>
            <w:rStyle w:val="Hyperlink"/>
            <w:rFonts w:asciiTheme="majorHAnsi" w:eastAsiaTheme="majorEastAsia" w:hAnsiTheme="majorHAnsi"/>
            <w:i/>
            <w:noProof/>
            <w:color w:val="0070C0"/>
            <w:sz w:val="22"/>
            <w:lang w:val="sq-AL"/>
          </w:rPr>
          <w:t xml:space="preserve">Tabela 10: </w:t>
        </w:r>
        <w:r w:rsidR="00E12795" w:rsidRPr="002B0076">
          <w:rPr>
            <w:rStyle w:val="Hyperlink"/>
            <w:rFonts w:asciiTheme="majorHAnsi" w:eastAsiaTheme="majorEastAsia" w:hAnsiTheme="majorHAnsi"/>
            <w:i/>
            <w:noProof/>
            <w:color w:val="0070C0"/>
            <w:sz w:val="20"/>
            <w:lang w:val="sq-AL"/>
          </w:rPr>
          <w:t>Shpenzimet e fondit të rindërtimit akorduar për pushtetin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29</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7" w:history="1">
        <w:r w:rsidR="00E12795" w:rsidRPr="00E12795">
          <w:rPr>
            <w:rStyle w:val="Hyperlink"/>
            <w:rFonts w:asciiTheme="majorHAnsi" w:eastAsiaTheme="majorEastAsia" w:hAnsiTheme="majorHAnsi"/>
            <w:i/>
            <w:noProof/>
            <w:color w:val="0070C0"/>
            <w:sz w:val="22"/>
            <w:lang w:val="sq-AL"/>
          </w:rPr>
          <w:t>Tabela 11: Huamarrja shtetërore nga burime të brendshme në terma bruto&amp;neto (Janar-Mars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35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8" w:history="1">
        <w:r w:rsidR="00E12795" w:rsidRPr="00E12795">
          <w:rPr>
            <w:rStyle w:val="Hyperlink"/>
            <w:rFonts w:asciiTheme="majorHAnsi" w:eastAsiaTheme="majorEastAsia" w:hAnsiTheme="majorHAnsi"/>
            <w:i/>
            <w:noProof/>
            <w:color w:val="0070C0"/>
            <w:sz w:val="22"/>
            <w:lang w:val="sq-AL"/>
          </w:rPr>
          <w:t>Tabela 12: Huamarrja e huaj në terma bruto (TM. I 2021-TM.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36</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49" w:history="1">
        <w:r w:rsidR="00E12795" w:rsidRPr="00E12795">
          <w:rPr>
            <w:rStyle w:val="Hyperlink"/>
            <w:rFonts w:asciiTheme="majorHAnsi" w:eastAsiaTheme="majorEastAsia" w:hAnsiTheme="majorHAnsi"/>
            <w:i/>
            <w:noProof/>
            <w:color w:val="0070C0"/>
            <w:sz w:val="22"/>
            <w:lang w:val="sq-AL"/>
          </w:rPr>
          <w:t>Tabela 13: Treguesit e riskut të borxhit të brendshëm shtetëror (2021–Mars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37</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0" w:history="1">
        <w:r w:rsidR="00E12795" w:rsidRPr="00E12795">
          <w:rPr>
            <w:rStyle w:val="Hyperlink"/>
            <w:rFonts w:asciiTheme="majorHAnsi" w:eastAsiaTheme="majorEastAsia" w:hAnsiTheme="majorHAnsi"/>
            <w:i/>
            <w:noProof/>
            <w:color w:val="0070C0"/>
            <w:sz w:val="22"/>
            <w:lang w:val="sq-AL"/>
          </w:rPr>
          <w:t>Tabela 14: Matrica e riskut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40</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1" w:history="1">
        <w:r w:rsidR="00E12795" w:rsidRPr="00E12795">
          <w:rPr>
            <w:rStyle w:val="Hyperlink"/>
            <w:rFonts w:asciiTheme="majorHAnsi" w:eastAsiaTheme="majorEastAsia" w:hAnsiTheme="majorHAnsi"/>
            <w:i/>
            <w:noProof/>
            <w:color w:val="0070C0"/>
            <w:sz w:val="22"/>
            <w:lang w:val="sq-AL"/>
          </w:rPr>
          <w:t>Tabela 15: Të dhënat financiare  për UKT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2" w:history="1">
        <w:r w:rsidR="00E12795" w:rsidRPr="00E12795">
          <w:rPr>
            <w:rStyle w:val="Hyperlink"/>
            <w:rFonts w:asciiTheme="majorHAnsi" w:eastAsiaTheme="majorEastAsia" w:hAnsiTheme="majorHAnsi"/>
            <w:i/>
            <w:noProof/>
            <w:color w:val="0070C0"/>
            <w:sz w:val="22"/>
            <w:lang w:val="sq-AL"/>
          </w:rPr>
          <w:t>Tabela 16: Të dhënat financiare për Hekurudha Shqiptare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3" w:history="1">
        <w:r w:rsidR="00E12795" w:rsidRPr="00E12795">
          <w:rPr>
            <w:rStyle w:val="Hyperlink"/>
            <w:rFonts w:asciiTheme="majorHAnsi" w:eastAsiaTheme="majorEastAsia" w:hAnsiTheme="majorHAnsi"/>
            <w:i/>
            <w:noProof/>
            <w:color w:val="0070C0"/>
            <w:sz w:val="22"/>
            <w:lang w:val="sq-AL"/>
          </w:rPr>
          <w:t>Tabela 17: Të dhënat financiare për AlbGaz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4" w:history="1">
        <w:r w:rsidR="00E12795" w:rsidRPr="00E12795">
          <w:rPr>
            <w:rStyle w:val="Hyperlink"/>
            <w:rFonts w:asciiTheme="majorHAnsi" w:eastAsiaTheme="majorEastAsia" w:hAnsiTheme="majorHAnsi"/>
            <w:i/>
            <w:noProof/>
            <w:color w:val="0070C0"/>
            <w:sz w:val="22"/>
            <w:lang w:val="sq-AL"/>
          </w:rPr>
          <w:t>Tabela 18: Të dhënat financiare për Albcontrol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5" w:history="1">
        <w:r w:rsidR="00E12795" w:rsidRPr="00E12795">
          <w:rPr>
            <w:rStyle w:val="Hyperlink"/>
            <w:rFonts w:asciiTheme="majorHAnsi" w:eastAsiaTheme="majorEastAsia" w:hAnsiTheme="majorHAnsi"/>
            <w:i/>
            <w:noProof/>
            <w:color w:val="0070C0"/>
            <w:sz w:val="22"/>
            <w:lang w:val="sq-AL"/>
          </w:rPr>
          <w:t>Tabela 19: Të dhënat financiare për RTSH sh.a (2020-T12022)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6" w:history="1">
        <w:r w:rsidR="00E12795" w:rsidRPr="00E12795">
          <w:rPr>
            <w:rStyle w:val="Hyperlink"/>
            <w:rFonts w:asciiTheme="majorHAnsi" w:eastAsiaTheme="majorEastAsia" w:hAnsiTheme="majorHAnsi"/>
            <w:i/>
            <w:noProof/>
            <w:color w:val="0070C0"/>
            <w:sz w:val="22"/>
            <w:lang w:val="sq-AL"/>
          </w:rPr>
          <w:t>Tabela 20: Detyrimet e ndërsjella midis ndërmarjeve të sektorit energjitik, ML/IB,MFE dhe DPT: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44</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7" w:history="1">
        <w:r w:rsidR="00E12795" w:rsidRPr="00E12795">
          <w:rPr>
            <w:rStyle w:val="Hyperlink"/>
            <w:rFonts w:asciiTheme="majorHAnsi" w:eastAsiaTheme="majorEastAsia" w:hAnsiTheme="majorHAnsi"/>
            <w:i/>
            <w:noProof/>
            <w:color w:val="0070C0"/>
            <w:sz w:val="22"/>
            <w:lang w:val="sq-AL"/>
          </w:rPr>
          <w:t>Tabela 21: Të dhënat financiare 3 mujore për Sektorin Energjitik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8" w:history="1">
        <w:r w:rsidR="00E12795" w:rsidRPr="00E12795">
          <w:rPr>
            <w:rStyle w:val="Hyperlink"/>
            <w:rFonts w:asciiTheme="majorHAnsi" w:eastAsiaTheme="majorEastAsia" w:hAnsiTheme="majorHAnsi"/>
            <w:i/>
            <w:noProof/>
            <w:color w:val="0070C0"/>
            <w:sz w:val="22"/>
            <w:lang w:val="sq-AL"/>
          </w:rPr>
          <w:t>Tabela 22: Të dhënat financiare 3 mujore për OSHEE Group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59" w:history="1">
        <w:r w:rsidR="00E12795" w:rsidRPr="00E12795">
          <w:rPr>
            <w:rStyle w:val="Hyperlink"/>
            <w:rFonts w:asciiTheme="majorHAnsi" w:eastAsiaTheme="majorEastAsia" w:hAnsiTheme="majorHAnsi"/>
            <w:i/>
            <w:noProof/>
            <w:color w:val="0070C0"/>
            <w:sz w:val="22"/>
            <w:lang w:val="sq-AL"/>
          </w:rPr>
          <w:t>Tabela 23: Të dhënat financiare 3 mujore për KESH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46</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0" w:history="1">
        <w:r w:rsidR="00E12795" w:rsidRPr="00E12795">
          <w:rPr>
            <w:rStyle w:val="Hyperlink"/>
            <w:rFonts w:asciiTheme="majorHAnsi" w:eastAsiaTheme="majorEastAsia" w:hAnsiTheme="majorHAnsi"/>
            <w:i/>
            <w:noProof/>
            <w:color w:val="0070C0"/>
            <w:sz w:val="22"/>
            <w:lang w:val="sq-AL"/>
          </w:rPr>
          <w:t>Tabela 24: Të dhënat financiare 3 mujore për OST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46</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1" w:history="1">
        <w:r w:rsidR="00E12795" w:rsidRPr="00E12795">
          <w:rPr>
            <w:rStyle w:val="Hyperlink"/>
            <w:rFonts w:asciiTheme="majorHAnsi" w:eastAsiaTheme="majorEastAsia" w:hAnsiTheme="majorHAnsi"/>
            <w:i/>
            <w:noProof/>
            <w:color w:val="0070C0"/>
            <w:sz w:val="22"/>
            <w:lang w:val="sq-AL"/>
          </w:rPr>
          <w:t>Tabela 25: Stoku i detyrimeve të prapambetura të UK ndaj OSHEE Group sh.a (në mld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47</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2" w:history="1">
        <w:r w:rsidR="00E12795" w:rsidRPr="00E12795">
          <w:rPr>
            <w:rStyle w:val="Hyperlink"/>
            <w:rFonts w:asciiTheme="majorHAnsi" w:eastAsiaTheme="majorEastAsia" w:hAnsiTheme="majorHAnsi"/>
            <w:i/>
            <w:noProof/>
            <w:color w:val="0070C0"/>
            <w:sz w:val="22"/>
            <w:lang w:val="sq-AL"/>
          </w:rPr>
          <w:t>Tabela 26: Stoku i detyrimit të mbetur vendor – T1 2022 (në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50</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3" w:history="1">
        <w:r w:rsidR="00E12795" w:rsidRPr="00E12795">
          <w:rPr>
            <w:rStyle w:val="Hyperlink"/>
            <w:rFonts w:asciiTheme="majorHAnsi" w:eastAsiaTheme="majorEastAsia" w:hAnsiTheme="majorHAnsi"/>
            <w:i/>
            <w:noProof/>
            <w:color w:val="0070C0"/>
            <w:sz w:val="22"/>
            <w:lang w:val="sq-AL"/>
          </w:rPr>
          <w:t>Tabela 27: Koncesionet/PPT-të aktive me mbështetje nga buxheti i shtetit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4" w:history="1">
        <w:r w:rsidR="00E12795" w:rsidRPr="00E12795">
          <w:rPr>
            <w:rStyle w:val="Hyperlink"/>
            <w:rFonts w:asciiTheme="majorHAnsi" w:eastAsiaTheme="majorEastAsia" w:hAnsiTheme="majorHAnsi"/>
            <w:i/>
            <w:noProof/>
            <w:color w:val="0070C0"/>
            <w:sz w:val="22"/>
            <w:lang w:val="sq-AL"/>
          </w:rPr>
          <w:t>Tabela 28: Detyrimet faktike dhe kontigjente nga vendimet e GJEDNJ-së (në Euro)</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53</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5" w:history="1">
        <w:r w:rsidR="00E12795" w:rsidRPr="00E12795">
          <w:rPr>
            <w:rStyle w:val="Hyperlink"/>
            <w:rFonts w:asciiTheme="majorHAnsi" w:eastAsiaTheme="majorEastAsia" w:hAnsiTheme="majorHAnsi"/>
            <w:i/>
            <w:noProof/>
            <w:color w:val="0070C0"/>
            <w:sz w:val="22"/>
            <w:lang w:val="sq-AL"/>
          </w:rPr>
          <w:t>Tabela 29: Detyrime për vendimet e Arbitrazhit Ndërkombëtar (në EUR)</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55</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6" w:history="1">
        <w:r w:rsidR="00E12795" w:rsidRPr="00E12795">
          <w:rPr>
            <w:rStyle w:val="Hyperlink"/>
            <w:rFonts w:asciiTheme="majorHAnsi" w:eastAsiaTheme="majorEastAsia" w:hAnsiTheme="majorHAnsi"/>
            <w:i/>
            <w:noProof/>
            <w:color w:val="0070C0"/>
            <w:sz w:val="22"/>
            <w:lang w:val="sq-AL"/>
          </w:rPr>
          <w:t>Tabela 30: Rritja e eksportit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58</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7" w:history="1">
        <w:r w:rsidR="00E12795" w:rsidRPr="00E12795">
          <w:rPr>
            <w:rStyle w:val="Hyperlink"/>
            <w:rFonts w:asciiTheme="majorHAnsi" w:eastAsiaTheme="majorEastAsia" w:hAnsiTheme="majorHAnsi"/>
            <w:i/>
            <w:noProof/>
            <w:color w:val="0070C0"/>
            <w:sz w:val="22"/>
            <w:lang w:val="sq-AL"/>
          </w:rPr>
          <w:t>Tabela 31: Rritja e importit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59</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8" w:history="1">
        <w:r w:rsidR="00E12795" w:rsidRPr="00E12795">
          <w:rPr>
            <w:rStyle w:val="Hyperlink"/>
            <w:rFonts w:asciiTheme="majorHAnsi" w:eastAsiaTheme="majorEastAsia" w:hAnsiTheme="majorHAnsi"/>
            <w:i/>
            <w:noProof/>
            <w:color w:val="0070C0"/>
            <w:sz w:val="22"/>
            <w:lang w:val="sq-AL"/>
          </w:rPr>
          <w:t>Tabela 32: Bilanci tregtar,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60</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69" w:history="1">
        <w:r w:rsidR="00E12795" w:rsidRPr="00E12795">
          <w:rPr>
            <w:rStyle w:val="Hyperlink"/>
            <w:rFonts w:asciiTheme="majorHAnsi" w:eastAsiaTheme="majorEastAsia" w:hAnsiTheme="majorHAnsi"/>
            <w:i/>
            <w:noProof/>
            <w:color w:val="0070C0"/>
            <w:sz w:val="22"/>
            <w:lang w:val="sq-AL"/>
          </w:rPr>
          <w:t>Tabela 33: Rritja vjetore e çmimeve,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60</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0" w:history="1">
        <w:r w:rsidR="00E12795" w:rsidRPr="00E12795">
          <w:rPr>
            <w:rStyle w:val="Hyperlink"/>
            <w:rFonts w:asciiTheme="majorHAnsi" w:eastAsiaTheme="majorEastAsia" w:hAnsiTheme="majorHAnsi"/>
            <w:i/>
            <w:noProof/>
            <w:color w:val="0070C0"/>
            <w:sz w:val="22"/>
            <w:lang w:val="sq-AL"/>
          </w:rPr>
          <w:t>Tabela 34: Ecuria e kredisë për bizneset dhe individët,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1" w:history="1">
        <w:r w:rsidR="00E12795" w:rsidRPr="00E12795">
          <w:rPr>
            <w:rStyle w:val="Hyperlink"/>
            <w:rFonts w:asciiTheme="majorHAnsi" w:eastAsiaTheme="majorEastAsia" w:hAnsiTheme="majorHAnsi"/>
            <w:i/>
            <w:noProof/>
            <w:color w:val="0070C0"/>
            <w:sz w:val="22"/>
            <w:lang w:val="sq-AL"/>
          </w:rPr>
          <w:t>Tabela 35: Ecuria e kredive të këqija,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2" w:history="1">
        <w:r w:rsidR="00E12795" w:rsidRPr="00E12795">
          <w:rPr>
            <w:rStyle w:val="Hyperlink"/>
            <w:rFonts w:asciiTheme="majorHAnsi" w:eastAsiaTheme="majorEastAsia" w:hAnsiTheme="majorHAnsi"/>
            <w:i/>
            <w:noProof/>
            <w:color w:val="0070C0"/>
            <w:sz w:val="22"/>
            <w:lang w:val="sq-AL"/>
          </w:rPr>
          <w:t>Tabela 36: Ecuria e kursit të këmbimit 2015-2022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3" w:history="1">
        <w:r w:rsidR="00E12795" w:rsidRPr="00E12795">
          <w:rPr>
            <w:rStyle w:val="Hyperlink"/>
            <w:rFonts w:asciiTheme="majorHAnsi" w:eastAsiaTheme="majorEastAsia" w:hAnsiTheme="majorHAnsi"/>
            <w:i/>
            <w:noProof/>
            <w:color w:val="0070C0"/>
            <w:sz w:val="22"/>
            <w:lang w:val="sq-AL"/>
          </w:rPr>
          <w:t>Tabela 37: Treguesit kryesorë të performancës sipas ministrive të linjës, 5M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63</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4" w:history="1">
        <w:r w:rsidR="00E12795" w:rsidRPr="00E12795">
          <w:rPr>
            <w:rStyle w:val="Hyperlink"/>
            <w:rFonts w:asciiTheme="majorHAnsi" w:eastAsiaTheme="majorEastAsia" w:hAnsiTheme="majorHAnsi"/>
            <w:i/>
            <w:noProof/>
            <w:color w:val="0070C0"/>
            <w:sz w:val="22"/>
            <w:lang w:val="sq-AL"/>
          </w:rPr>
          <w:t>Tabela 38: Shëndetësia dhe mbrojtja sociale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64</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5" w:history="1">
        <w:r w:rsidR="00E12795" w:rsidRPr="00E12795">
          <w:rPr>
            <w:rStyle w:val="Hyperlink"/>
            <w:rFonts w:asciiTheme="majorHAnsi" w:eastAsiaTheme="majorEastAsia" w:hAnsiTheme="majorHAnsi"/>
            <w:i/>
            <w:noProof/>
            <w:color w:val="0070C0"/>
            <w:sz w:val="22"/>
            <w:lang w:val="sq-AL"/>
          </w:rPr>
          <w:t>Tabela 39: Arsimi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66</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6" w:history="1">
        <w:r w:rsidR="00E12795" w:rsidRPr="00E12795">
          <w:rPr>
            <w:rStyle w:val="Hyperlink"/>
            <w:rFonts w:asciiTheme="majorHAnsi" w:eastAsiaTheme="majorEastAsia" w:hAnsiTheme="majorHAnsi"/>
            <w:i/>
            <w:noProof/>
            <w:color w:val="0070C0"/>
            <w:sz w:val="22"/>
            <w:lang w:val="sq-AL"/>
          </w:rPr>
          <w:t>Tabela 40: Bujqësia dhe Zhvillimi Rural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68</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7" w:history="1">
        <w:r w:rsidR="00E12795" w:rsidRPr="00E12795">
          <w:rPr>
            <w:rStyle w:val="Hyperlink"/>
            <w:rFonts w:asciiTheme="majorHAnsi" w:eastAsiaTheme="majorEastAsia" w:hAnsiTheme="majorHAnsi"/>
            <w:i/>
            <w:noProof/>
            <w:color w:val="0070C0"/>
            <w:sz w:val="22"/>
            <w:lang w:val="sq-AL"/>
          </w:rPr>
          <w:t>Tabela 41: Infrastruktura dhe Energjia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69</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8" w:history="1">
        <w:r w:rsidR="00E12795" w:rsidRPr="00E12795">
          <w:rPr>
            <w:rStyle w:val="Hyperlink"/>
            <w:rFonts w:asciiTheme="majorHAnsi" w:eastAsiaTheme="majorEastAsia" w:hAnsiTheme="majorHAnsi"/>
            <w:i/>
            <w:noProof/>
            <w:color w:val="0070C0"/>
            <w:sz w:val="22"/>
            <w:lang w:val="sq-AL"/>
          </w:rPr>
          <w:t>Tabela 42: TURIZMI DHE MJEDISI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79" w:history="1">
        <w:r w:rsidR="00E12795" w:rsidRPr="00E12795">
          <w:rPr>
            <w:rStyle w:val="Hyperlink"/>
            <w:rFonts w:asciiTheme="majorHAnsi" w:eastAsiaTheme="majorEastAsia" w:hAnsiTheme="majorHAnsi"/>
            <w:i/>
            <w:noProof/>
            <w:color w:val="0070C0"/>
            <w:sz w:val="22"/>
            <w:lang w:val="sq-AL"/>
          </w:rPr>
          <w:t>Tabela 43: Drejtësia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72</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0" w:history="1">
        <w:r w:rsidR="00E12795" w:rsidRPr="00E12795">
          <w:rPr>
            <w:rStyle w:val="Hyperlink"/>
            <w:rFonts w:asciiTheme="majorHAnsi" w:eastAsiaTheme="majorEastAsia" w:hAnsiTheme="majorHAnsi"/>
            <w:i/>
            <w:noProof/>
            <w:color w:val="0070C0"/>
            <w:sz w:val="22"/>
            <w:lang w:val="sq-AL"/>
          </w:rPr>
          <w:t>Tabela 44: Institucionet e Sistemit të Drejtësisë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73</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1" w:history="1">
        <w:r w:rsidR="00E12795" w:rsidRPr="00E12795">
          <w:rPr>
            <w:rStyle w:val="Hyperlink"/>
            <w:rFonts w:asciiTheme="majorHAnsi" w:eastAsiaTheme="majorEastAsia" w:hAnsiTheme="majorHAnsi"/>
            <w:i/>
            <w:noProof/>
            <w:color w:val="0070C0"/>
            <w:sz w:val="22"/>
            <w:lang w:val="sq-AL"/>
          </w:rPr>
          <w:t>Tabela 45: Financat, Ekonomia, Punësimi dhe Arsimi Profesional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74</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2" w:history="1">
        <w:r w:rsidR="00E12795" w:rsidRPr="00E12795">
          <w:rPr>
            <w:rStyle w:val="Hyperlink"/>
            <w:rFonts w:asciiTheme="majorHAnsi" w:eastAsiaTheme="majorEastAsia" w:hAnsiTheme="majorHAnsi"/>
            <w:i/>
            <w:noProof/>
            <w:color w:val="0070C0"/>
            <w:sz w:val="22"/>
            <w:lang w:val="sq-AL"/>
          </w:rPr>
          <w:t>Tabela 46: Mbrojtja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76</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3" w:history="1">
        <w:r w:rsidR="00E12795" w:rsidRPr="00E12795">
          <w:rPr>
            <w:rStyle w:val="Hyperlink"/>
            <w:rFonts w:asciiTheme="majorHAnsi" w:eastAsiaTheme="majorEastAsia" w:hAnsiTheme="majorHAnsi"/>
            <w:i/>
            <w:noProof/>
            <w:color w:val="0070C0"/>
            <w:sz w:val="22"/>
            <w:lang w:val="sq-AL"/>
          </w:rPr>
          <w:t>Tabela 47:  Rendi dhe Siguria Publike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79</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4" w:history="1">
        <w:r w:rsidR="00E12795" w:rsidRPr="00E12795">
          <w:rPr>
            <w:rStyle w:val="Hyperlink"/>
            <w:rFonts w:asciiTheme="majorHAnsi" w:eastAsiaTheme="majorEastAsia" w:hAnsiTheme="majorHAnsi"/>
            <w:i/>
            <w:noProof/>
            <w:color w:val="0070C0"/>
            <w:sz w:val="22"/>
            <w:lang w:val="sq-AL"/>
          </w:rPr>
          <w:t>Tabela 48: Kultura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81</w:t>
        </w:r>
        <w:r w:rsidR="00E12795" w:rsidRPr="00E12795">
          <w:rPr>
            <w:rStyle w:val="Hyperlink"/>
            <w:rFonts w:asciiTheme="majorHAnsi" w:eastAsiaTheme="majorEastAsia" w:hAnsiTheme="majorHAnsi"/>
            <w:i/>
            <w:webHidden/>
            <w:color w:val="0070C0"/>
            <w:sz w:val="22"/>
            <w:lang w:val="sq-AL"/>
          </w:rPr>
          <w:fldChar w:fldCharType="end"/>
        </w:r>
      </w:hyperlink>
    </w:p>
    <w:p w:rsidR="00E12795" w:rsidRPr="00E12795" w:rsidRDefault="00141CFC">
      <w:pPr>
        <w:pStyle w:val="TableofFigures"/>
        <w:tabs>
          <w:tab w:val="right" w:leader="dot" w:pos="9623"/>
        </w:tabs>
        <w:rPr>
          <w:rStyle w:val="Hyperlink"/>
          <w:rFonts w:asciiTheme="majorHAnsi" w:eastAsiaTheme="majorEastAsia" w:hAnsiTheme="majorHAnsi"/>
          <w:i/>
          <w:color w:val="0070C0"/>
          <w:lang w:val="sq-AL"/>
        </w:rPr>
      </w:pPr>
      <w:hyperlink w:anchor="_Toc107496785" w:history="1">
        <w:r w:rsidR="00E12795" w:rsidRPr="00E12795">
          <w:rPr>
            <w:rStyle w:val="Hyperlink"/>
            <w:rFonts w:asciiTheme="majorHAnsi" w:eastAsiaTheme="majorEastAsia" w:hAnsiTheme="majorHAnsi"/>
            <w:i/>
            <w:noProof/>
            <w:color w:val="0070C0"/>
            <w:sz w:val="22"/>
            <w:lang w:val="sq-AL"/>
          </w:rPr>
          <w:t>Tabela 49: Politika e Jashtme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E12795" w:rsidRPr="00E12795">
          <w:rPr>
            <w:rStyle w:val="Hyperlink"/>
            <w:rFonts w:asciiTheme="majorHAnsi" w:eastAsiaTheme="majorEastAsia" w:hAnsiTheme="majorHAnsi"/>
            <w:i/>
            <w:noProof/>
            <w:webHidden/>
            <w:color w:val="0070C0"/>
            <w:sz w:val="22"/>
            <w:lang w:val="sq-AL"/>
          </w:rPr>
          <w:t>82</w:t>
        </w:r>
        <w:r w:rsidR="00E12795" w:rsidRPr="00E12795">
          <w:rPr>
            <w:rStyle w:val="Hyperlink"/>
            <w:rFonts w:asciiTheme="majorHAnsi" w:eastAsiaTheme="majorEastAsia" w:hAnsiTheme="majorHAnsi"/>
            <w:i/>
            <w:webHidden/>
            <w:color w:val="0070C0"/>
            <w:sz w:val="22"/>
            <w:lang w:val="sq-AL"/>
          </w:rPr>
          <w:fldChar w:fldCharType="end"/>
        </w:r>
      </w:hyperlink>
    </w:p>
    <w:p w:rsidR="00C74FE0" w:rsidRPr="002E5970" w:rsidRDefault="00070183" w:rsidP="00C371C2">
      <w:pPr>
        <w:pStyle w:val="TableofFigures"/>
        <w:tabs>
          <w:tab w:val="right" w:leader="dot" w:pos="9620"/>
        </w:tabs>
        <w:rPr>
          <w:rStyle w:val="Hyperlink"/>
          <w:rFonts w:asciiTheme="majorHAnsi" w:eastAsiaTheme="majorEastAsia" w:hAnsiTheme="majorHAnsi"/>
          <w:i/>
          <w:noProof/>
          <w:color w:val="0070C0"/>
          <w:sz w:val="22"/>
          <w:szCs w:val="22"/>
          <w:lang w:val="sq-AL"/>
        </w:rPr>
      </w:pPr>
      <w:r w:rsidRPr="00C371C2">
        <w:rPr>
          <w:rStyle w:val="Hyperlink"/>
          <w:rFonts w:asciiTheme="majorHAnsi" w:eastAsiaTheme="majorEastAsia" w:hAnsiTheme="majorHAnsi"/>
          <w:i/>
          <w:noProof/>
          <w:color w:val="0070C0"/>
          <w:sz w:val="22"/>
          <w:lang w:val="sq-AL"/>
        </w:rPr>
        <w:fldChar w:fldCharType="end"/>
      </w:r>
    </w:p>
    <w:p w:rsidR="004008C0" w:rsidRDefault="004008C0" w:rsidP="004008C0">
      <w:pPr>
        <w:pStyle w:val="Heading1"/>
        <w:spacing w:before="0"/>
      </w:pPr>
    </w:p>
    <w:p w:rsidR="002B0076" w:rsidRDefault="002B0076" w:rsidP="002B0076">
      <w:pPr>
        <w:rPr>
          <w:lang w:val="sq-AL"/>
        </w:rPr>
      </w:pPr>
    </w:p>
    <w:p w:rsidR="002B0076" w:rsidRPr="002B0076" w:rsidRDefault="002B0076" w:rsidP="002B0076">
      <w:pPr>
        <w:rPr>
          <w:lang w:val="sq-AL"/>
        </w:rPr>
      </w:pPr>
    </w:p>
    <w:p w:rsidR="00E12795" w:rsidRDefault="00E12795" w:rsidP="00E12795">
      <w:pPr>
        <w:rPr>
          <w:lang w:val="sq-AL"/>
        </w:rPr>
      </w:pPr>
    </w:p>
    <w:p w:rsidR="00E12795" w:rsidRPr="00E12795" w:rsidRDefault="00E12795" w:rsidP="00E12795">
      <w:pPr>
        <w:rPr>
          <w:lang w:val="sq-AL"/>
        </w:rPr>
      </w:pPr>
    </w:p>
    <w:p w:rsidR="004008C0" w:rsidRPr="002C0E6D" w:rsidRDefault="002C0E6D" w:rsidP="00B4223B">
      <w:pPr>
        <w:pStyle w:val="Heading1"/>
        <w:spacing w:before="0" w:line="276" w:lineRule="auto"/>
        <w:jc w:val="center"/>
        <w:rPr>
          <w:color w:val="548DD4" w:themeColor="text2" w:themeTint="99"/>
          <w:szCs w:val="22"/>
        </w:rPr>
      </w:pPr>
      <w:bookmarkStart w:id="3" w:name="_Toc107496979"/>
      <w:r w:rsidRPr="002C0E6D">
        <w:rPr>
          <w:color w:val="548DD4" w:themeColor="text2" w:themeTint="99"/>
          <w:szCs w:val="22"/>
        </w:rPr>
        <w:lastRenderedPageBreak/>
        <w:t>LISTA E GRAFIKËVE</w:t>
      </w:r>
      <w:bookmarkEnd w:id="3"/>
    </w:p>
    <w:p w:rsidR="004008C0" w:rsidRPr="00B4223B" w:rsidRDefault="004008C0" w:rsidP="00B4223B">
      <w:pPr>
        <w:spacing w:line="276" w:lineRule="auto"/>
        <w:rPr>
          <w:rFonts w:asciiTheme="majorHAnsi" w:eastAsiaTheme="majorEastAsia" w:hAnsiTheme="majorHAnsi"/>
          <w:i/>
          <w:sz w:val="20"/>
          <w:szCs w:val="22"/>
          <w:lang w:val="sq-AL"/>
        </w:rPr>
      </w:pPr>
    </w:p>
    <w:p w:rsidR="00E74AAC" w:rsidRPr="00E74AAC" w:rsidRDefault="005D4A49">
      <w:pPr>
        <w:pStyle w:val="TableofFigures"/>
        <w:tabs>
          <w:tab w:val="right" w:leader="dot" w:pos="9623"/>
        </w:tabs>
        <w:rPr>
          <w:rFonts w:asciiTheme="majorHAnsi" w:eastAsiaTheme="minorEastAsia" w:hAnsiTheme="majorHAnsi" w:cstheme="minorBidi"/>
          <w:noProof/>
          <w:color w:val="0070C0"/>
          <w:sz w:val="22"/>
          <w:szCs w:val="22"/>
        </w:rPr>
      </w:pPr>
      <w:r w:rsidRPr="00E74AAC">
        <w:rPr>
          <w:rStyle w:val="Hyperlink"/>
          <w:rFonts w:asciiTheme="majorHAnsi" w:eastAsiaTheme="majorEastAsia" w:hAnsiTheme="majorHAnsi"/>
          <w:i/>
          <w:noProof/>
          <w:color w:val="0070C0"/>
          <w:sz w:val="22"/>
          <w:szCs w:val="22"/>
          <w:lang w:val="sq-AL"/>
        </w:rPr>
        <w:fldChar w:fldCharType="begin"/>
      </w:r>
      <w:r w:rsidRPr="00E74AAC">
        <w:rPr>
          <w:rStyle w:val="Hyperlink"/>
          <w:rFonts w:asciiTheme="majorHAnsi" w:eastAsiaTheme="majorEastAsia" w:hAnsiTheme="majorHAnsi"/>
          <w:i/>
          <w:noProof/>
          <w:color w:val="0070C0"/>
          <w:sz w:val="22"/>
          <w:szCs w:val="22"/>
          <w:lang w:val="sq-AL"/>
        </w:rPr>
        <w:instrText xml:space="preserve"> TOC \h \z \c "Grafiku" </w:instrText>
      </w:r>
      <w:r w:rsidRPr="00E74AAC">
        <w:rPr>
          <w:rStyle w:val="Hyperlink"/>
          <w:rFonts w:asciiTheme="majorHAnsi" w:eastAsiaTheme="majorEastAsia" w:hAnsiTheme="majorHAnsi"/>
          <w:i/>
          <w:noProof/>
          <w:color w:val="0070C0"/>
          <w:sz w:val="22"/>
          <w:szCs w:val="22"/>
          <w:lang w:val="sq-AL"/>
        </w:rPr>
        <w:fldChar w:fldCharType="separate"/>
      </w:r>
      <w:hyperlink w:anchor="_Toc107498092" w:history="1">
        <w:r w:rsidR="00E74AAC" w:rsidRPr="00E74AAC">
          <w:rPr>
            <w:rStyle w:val="Hyperlink"/>
            <w:rFonts w:asciiTheme="majorHAnsi" w:eastAsiaTheme="majorEastAsia" w:hAnsiTheme="majorHAnsi"/>
            <w:i/>
            <w:noProof/>
            <w:color w:val="0070C0"/>
            <w:sz w:val="22"/>
            <w:szCs w:val="22"/>
            <w:lang w:val="sq-AL"/>
          </w:rPr>
          <w:t>Grafiku 1: Totali i të ardhurave Janar- Maj 2022/2021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9</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3" w:history="1">
        <w:r w:rsidR="00E74AAC" w:rsidRPr="00E74AAC">
          <w:rPr>
            <w:rStyle w:val="Hyperlink"/>
            <w:rFonts w:asciiTheme="majorHAnsi" w:eastAsiaTheme="majorEastAsia" w:hAnsiTheme="majorHAnsi"/>
            <w:i/>
            <w:noProof/>
            <w:color w:val="0070C0"/>
            <w:sz w:val="22"/>
            <w:szCs w:val="22"/>
            <w:lang w:val="sq-AL"/>
          </w:rPr>
          <w:t>Grafiku 2: Import i Taksuar dhe Eksport Total 2022/2021 (në miliard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4" w:history="1">
        <w:r w:rsidR="00E74AAC" w:rsidRPr="00E74AAC">
          <w:rPr>
            <w:rStyle w:val="Hyperlink"/>
            <w:rFonts w:asciiTheme="majorHAnsi" w:eastAsiaTheme="majorEastAsia" w:hAnsiTheme="majorHAnsi"/>
            <w:i/>
            <w:noProof/>
            <w:color w:val="0070C0"/>
            <w:sz w:val="22"/>
            <w:szCs w:val="22"/>
            <w:lang w:val="sq-AL"/>
          </w:rPr>
          <w:t>Grafiku 3: Të ardhurat Doganore për Janar- Maj 2021, mujore dhe progresive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5" w:history="1">
        <w:r w:rsidR="00E74AAC" w:rsidRPr="00E74AAC">
          <w:rPr>
            <w:rStyle w:val="Hyperlink"/>
            <w:rFonts w:asciiTheme="majorHAnsi" w:eastAsiaTheme="majorEastAsia" w:hAnsiTheme="majorHAnsi"/>
            <w:i/>
            <w:noProof/>
            <w:color w:val="0070C0"/>
            <w:sz w:val="22"/>
            <w:szCs w:val="22"/>
            <w:lang w:val="sq-AL"/>
          </w:rPr>
          <w:t>Grafiku 4: Kontribuesit kryesor në të ardhurat doganore Janar- Maj 2022/2021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6" w:history="1">
        <w:r w:rsidR="00E74AAC" w:rsidRPr="00E74AAC">
          <w:rPr>
            <w:rStyle w:val="Hyperlink"/>
            <w:rFonts w:asciiTheme="majorHAnsi" w:eastAsiaTheme="majorEastAsia" w:hAnsiTheme="majorHAnsi"/>
            <w:i/>
            <w:noProof/>
            <w:color w:val="0070C0"/>
            <w:sz w:val="22"/>
            <w:szCs w:val="22"/>
            <w:lang w:val="sq-AL"/>
          </w:rPr>
          <w:t>Grafiku 5: Të ardhurat nga Tatimet Janar- Maj 2022, Mujore dhe Progresive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7" w:history="1">
        <w:r w:rsidR="00E74AAC" w:rsidRPr="00E74AAC">
          <w:rPr>
            <w:rStyle w:val="Hyperlink"/>
            <w:rFonts w:asciiTheme="majorHAnsi" w:eastAsiaTheme="majorEastAsia" w:hAnsiTheme="majorHAnsi"/>
            <w:i/>
            <w:noProof/>
            <w:color w:val="0070C0"/>
            <w:sz w:val="22"/>
            <w:szCs w:val="22"/>
            <w:lang w:val="sq-AL"/>
          </w:rPr>
          <w:t>Grafiku 6: Të ardhura nga TVSH dhe rimbursimi i TVSH,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8" w:history="1">
        <w:r w:rsidR="00E74AAC" w:rsidRPr="00E74AAC">
          <w:rPr>
            <w:rStyle w:val="Hyperlink"/>
            <w:rFonts w:asciiTheme="majorHAnsi" w:eastAsiaTheme="majorEastAsia" w:hAnsiTheme="majorHAnsi"/>
            <w:i/>
            <w:noProof/>
            <w:color w:val="0070C0"/>
            <w:sz w:val="22"/>
            <w:szCs w:val="22"/>
            <w:lang w:val="sq-AL"/>
          </w:rPr>
          <w:t>Grafiku 7: Të ardhurat nga Tatim Fitimi,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099" w:history="1">
        <w:r w:rsidR="00E74AAC" w:rsidRPr="00E74AAC">
          <w:rPr>
            <w:rStyle w:val="Hyperlink"/>
            <w:rFonts w:asciiTheme="majorHAnsi" w:eastAsiaTheme="majorEastAsia" w:hAnsiTheme="majorHAnsi"/>
            <w:i/>
            <w:noProof/>
            <w:color w:val="0070C0"/>
            <w:sz w:val="22"/>
            <w:szCs w:val="22"/>
            <w:lang w:val="sq-AL"/>
          </w:rPr>
          <w:t>Grafiku 8: Të ardhurat nga Tatimi mbi të Ardhurat Personale, në vite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0" w:history="1">
        <w:r w:rsidR="00E74AAC" w:rsidRPr="00E74AAC">
          <w:rPr>
            <w:rStyle w:val="Hyperlink"/>
            <w:rFonts w:asciiTheme="majorHAnsi" w:eastAsiaTheme="majorEastAsia" w:hAnsiTheme="majorHAnsi"/>
            <w:i/>
            <w:noProof/>
            <w:color w:val="0070C0"/>
            <w:sz w:val="22"/>
            <w:szCs w:val="22"/>
            <w:lang w:val="sq-AL"/>
          </w:rPr>
          <w:t>Grafiku 9: Të ardhurat 5 mujore nga Taksat nacionale,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1" w:history="1">
        <w:r w:rsidR="00E74AAC" w:rsidRPr="00E74AAC">
          <w:rPr>
            <w:rStyle w:val="Hyperlink"/>
            <w:rFonts w:asciiTheme="majorHAnsi" w:eastAsiaTheme="majorEastAsia" w:hAnsiTheme="majorHAnsi"/>
            <w:i/>
            <w:noProof/>
            <w:color w:val="0070C0"/>
            <w:sz w:val="22"/>
            <w:szCs w:val="22"/>
            <w:lang w:val="sq-AL"/>
          </w:rPr>
          <w:t>Grafiku 10: Të ardhurat nga kontributet e mbledhura nga DPT,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15</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2" w:history="1">
        <w:r w:rsidR="00E74AAC" w:rsidRPr="00E74AAC">
          <w:rPr>
            <w:rStyle w:val="Hyperlink"/>
            <w:rFonts w:asciiTheme="majorHAnsi" w:eastAsiaTheme="majorEastAsia" w:hAnsiTheme="majorHAnsi"/>
            <w:i/>
            <w:noProof/>
            <w:color w:val="0070C0"/>
            <w:sz w:val="22"/>
            <w:szCs w:val="22"/>
            <w:lang w:val="sq-AL"/>
          </w:rPr>
          <w:t>Grafiku 11: Shpenzimet e përgjithshme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16</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3" w:history="1">
        <w:r w:rsidR="00E74AAC" w:rsidRPr="00E74AAC">
          <w:rPr>
            <w:rStyle w:val="Hyperlink"/>
            <w:rFonts w:asciiTheme="majorHAnsi" w:eastAsia="SimSun" w:hAnsiTheme="majorHAnsi"/>
            <w:i/>
            <w:noProof/>
            <w:color w:val="0070C0"/>
            <w:sz w:val="22"/>
            <w:szCs w:val="22"/>
            <w:lang w:val="sq-AL"/>
          </w:rPr>
          <w:t>Grafiku 12: Shpenzimet korente dhe kapitale Plan vs Fakt (në miliard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4" w:history="1">
        <w:r w:rsidR="00E74AAC" w:rsidRPr="00E74AAC">
          <w:rPr>
            <w:rStyle w:val="Hyperlink"/>
            <w:rFonts w:asciiTheme="majorHAnsi" w:eastAsia="SimSun" w:hAnsiTheme="majorHAnsi"/>
            <w:i/>
            <w:noProof/>
            <w:color w:val="0070C0"/>
            <w:sz w:val="22"/>
            <w:szCs w:val="22"/>
            <w:lang w:val="sq-AL"/>
          </w:rPr>
          <w:t>Grafiku 13: Struktura e shpenzimeve të përgjithshme,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5" w:history="1">
        <w:r w:rsidR="00E74AAC" w:rsidRPr="00E74AAC">
          <w:rPr>
            <w:rStyle w:val="Hyperlink"/>
            <w:rFonts w:asciiTheme="majorHAnsi" w:eastAsiaTheme="majorEastAsia" w:hAnsiTheme="majorHAnsi"/>
            <w:i/>
            <w:noProof/>
            <w:color w:val="0070C0"/>
            <w:sz w:val="22"/>
            <w:szCs w:val="22"/>
            <w:lang w:val="sq-AL"/>
          </w:rPr>
          <w:t>Grafiku 14: Shpenzimet Korente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6" w:history="1">
        <w:r w:rsidR="00E74AAC" w:rsidRPr="00E74AAC">
          <w:rPr>
            <w:rStyle w:val="Hyperlink"/>
            <w:rFonts w:asciiTheme="majorHAnsi" w:eastAsiaTheme="majorEastAsia" w:hAnsiTheme="majorHAnsi"/>
            <w:i/>
            <w:noProof/>
            <w:color w:val="0070C0"/>
            <w:sz w:val="22"/>
            <w:szCs w:val="22"/>
            <w:lang w:val="sq-AL"/>
          </w:rPr>
          <w:t>Grafiku 15 : Struktura e shpenzimeve korente,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7" w:history="1">
        <w:r w:rsidR="00E74AAC" w:rsidRPr="00E74AAC">
          <w:rPr>
            <w:rStyle w:val="Hyperlink"/>
            <w:rFonts w:asciiTheme="majorHAnsi" w:eastAsiaTheme="majorEastAsia" w:hAnsiTheme="majorHAnsi"/>
            <w:i/>
            <w:noProof/>
            <w:color w:val="0070C0"/>
            <w:sz w:val="22"/>
            <w:szCs w:val="22"/>
            <w:lang w:val="sq-AL"/>
          </w:rPr>
          <w:t>Grafiku 16: Shpenzimet e Personelit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8" w:history="1">
        <w:r w:rsidR="00E74AAC" w:rsidRPr="00E74AAC">
          <w:rPr>
            <w:rStyle w:val="Hyperlink"/>
            <w:rFonts w:asciiTheme="majorHAnsi" w:eastAsiaTheme="majorEastAsia" w:hAnsiTheme="majorHAnsi"/>
            <w:i/>
            <w:noProof/>
            <w:color w:val="0070C0"/>
            <w:sz w:val="22"/>
            <w:szCs w:val="22"/>
            <w:lang w:val="sq-AL"/>
          </w:rPr>
          <w:t>Grafiku 17: Shpenzimet e Pagave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09" w:history="1">
        <w:r w:rsidR="00E74AAC" w:rsidRPr="00E74AAC">
          <w:rPr>
            <w:rStyle w:val="Hyperlink"/>
            <w:rFonts w:asciiTheme="majorHAnsi" w:eastAsiaTheme="majorEastAsia" w:hAnsiTheme="majorHAnsi"/>
            <w:i/>
            <w:noProof/>
            <w:color w:val="0070C0"/>
            <w:sz w:val="22"/>
            <w:szCs w:val="22"/>
            <w:lang w:val="sq-AL"/>
          </w:rPr>
          <w:t>Grafiku 18: Shpenzimet për Interesa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0" w:history="1">
        <w:r w:rsidR="00E74AAC" w:rsidRPr="00E74AAC">
          <w:rPr>
            <w:rStyle w:val="Hyperlink"/>
            <w:rFonts w:asciiTheme="majorHAnsi" w:eastAsiaTheme="majorEastAsia" w:hAnsiTheme="majorHAnsi"/>
            <w:i/>
            <w:noProof/>
            <w:color w:val="0070C0"/>
            <w:sz w:val="22"/>
            <w:szCs w:val="22"/>
            <w:lang w:val="sq-AL"/>
          </w:rPr>
          <w:t>Grafiku 19: Shpenzimet Operative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1" w:history="1">
        <w:r w:rsidR="00E74AAC" w:rsidRPr="00E74AAC">
          <w:rPr>
            <w:rStyle w:val="Hyperlink"/>
            <w:rFonts w:asciiTheme="majorHAnsi" w:eastAsiaTheme="majorEastAsia" w:hAnsiTheme="majorHAnsi"/>
            <w:i/>
            <w:noProof/>
            <w:color w:val="0070C0"/>
            <w:sz w:val="22"/>
            <w:szCs w:val="22"/>
            <w:lang w:val="sq-AL"/>
          </w:rPr>
          <w:t>Grafiku 20: Shpenzimet për Subvencione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2" w:history="1">
        <w:r w:rsidR="00E74AAC" w:rsidRPr="00E74AAC">
          <w:rPr>
            <w:rStyle w:val="Hyperlink"/>
            <w:rFonts w:asciiTheme="majorHAnsi" w:eastAsiaTheme="majorEastAsia" w:hAnsiTheme="majorHAnsi"/>
            <w:i/>
            <w:noProof/>
            <w:color w:val="0070C0"/>
            <w:sz w:val="22"/>
            <w:szCs w:val="22"/>
            <w:lang w:val="sq-AL"/>
          </w:rPr>
          <w:t>Grafiku 21: Shpenzimet për Sigurime Shoqërore dhe Shëndetësore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3" w:history="1">
        <w:r w:rsidR="00E74AAC" w:rsidRPr="00E74AAC">
          <w:rPr>
            <w:rStyle w:val="Hyperlink"/>
            <w:rFonts w:asciiTheme="majorHAnsi" w:eastAsiaTheme="majorEastAsia" w:hAnsiTheme="majorHAnsi"/>
            <w:i/>
            <w:noProof/>
            <w:color w:val="0070C0"/>
            <w:sz w:val="22"/>
            <w:szCs w:val="22"/>
            <w:lang w:val="sq-AL"/>
          </w:rPr>
          <w:t>Grafiku 22: Shpenzimet për Ndihmën Ekonomike, PAK dhe Papunësinë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22</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4" w:history="1">
        <w:r w:rsidR="00E74AAC" w:rsidRPr="00E74AAC">
          <w:rPr>
            <w:rStyle w:val="Hyperlink"/>
            <w:rFonts w:asciiTheme="majorHAnsi" w:eastAsiaTheme="majorEastAsia" w:hAnsiTheme="majorHAnsi"/>
            <w:i/>
            <w:noProof/>
            <w:color w:val="0070C0"/>
            <w:sz w:val="22"/>
            <w:szCs w:val="22"/>
            <w:lang w:val="sq-AL"/>
          </w:rPr>
          <w:t>Grafiku 23 Shpenzimet Kapitale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5" w:history="1">
        <w:r w:rsidR="00E74AAC" w:rsidRPr="00E74AAC">
          <w:rPr>
            <w:rStyle w:val="Hyperlink"/>
            <w:rFonts w:asciiTheme="majorHAnsi" w:eastAsiaTheme="majorEastAsia" w:hAnsiTheme="majorHAnsi"/>
            <w:i/>
            <w:noProof/>
            <w:color w:val="0070C0"/>
            <w:sz w:val="22"/>
            <w:szCs w:val="22"/>
            <w:lang w:val="sq-AL"/>
          </w:rPr>
          <w:t>Grafiku 24: Shpenzimet Kapitale dhe burimi i financimit të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6" w:history="1">
        <w:r w:rsidR="00E74AAC" w:rsidRPr="00E74AAC">
          <w:rPr>
            <w:rStyle w:val="Hyperlink"/>
            <w:rFonts w:asciiTheme="majorHAnsi" w:eastAsiaTheme="majorEastAsia" w:hAnsiTheme="majorHAnsi"/>
            <w:i/>
            <w:noProof/>
            <w:color w:val="0070C0"/>
            <w:sz w:val="22"/>
            <w:szCs w:val="22"/>
            <w:lang w:val="sq-AL"/>
          </w:rPr>
          <w:t>Grafiku 25: Detajimi i Shpenzimeve Buxhetore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7" w:history="1">
        <w:r w:rsidR="00E74AAC" w:rsidRPr="00E74AAC">
          <w:rPr>
            <w:rStyle w:val="Hyperlink"/>
            <w:rFonts w:asciiTheme="majorHAnsi" w:eastAsiaTheme="majorEastAsia" w:hAnsiTheme="majorHAnsi"/>
            <w:i/>
            <w:noProof/>
            <w:color w:val="0070C0"/>
            <w:sz w:val="22"/>
            <w:szCs w:val="22"/>
            <w:lang w:val="sq-AL"/>
          </w:rPr>
          <w:t>Grafiku 26:Të ardhurat, shpenzimet dhe deficiti/suficiti - Plan vs Fakt 5 Mujori 2022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8" w:history="1">
        <w:r w:rsidR="00E74AAC" w:rsidRPr="00E74AAC">
          <w:rPr>
            <w:rStyle w:val="Hyperlink"/>
            <w:rFonts w:asciiTheme="majorHAnsi" w:eastAsiaTheme="majorEastAsia" w:hAnsiTheme="majorHAnsi"/>
            <w:i/>
            <w:noProof/>
            <w:color w:val="0070C0"/>
            <w:sz w:val="22"/>
            <w:szCs w:val="22"/>
            <w:lang w:val="sq-AL"/>
          </w:rPr>
          <w:t>Grafiku 27: Të ardhurat e përgjithshme të pushtetit e pushtetit vendor</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25</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19" w:history="1">
        <w:r w:rsidR="00E74AAC" w:rsidRPr="00E74AAC">
          <w:rPr>
            <w:rStyle w:val="Hyperlink"/>
            <w:rFonts w:asciiTheme="majorHAnsi" w:eastAsiaTheme="majorEastAsia" w:hAnsiTheme="majorHAnsi"/>
            <w:i/>
            <w:noProof/>
            <w:color w:val="0070C0"/>
            <w:sz w:val="22"/>
            <w:szCs w:val="22"/>
            <w:lang w:val="sq-AL"/>
          </w:rPr>
          <w:t>Grafiku 28: Të ardhurat e pushtetit vendor sipas burimit</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0" w:history="1">
        <w:r w:rsidR="00E74AAC" w:rsidRPr="00E74AAC">
          <w:rPr>
            <w:rStyle w:val="Hyperlink"/>
            <w:rFonts w:asciiTheme="majorHAnsi" w:eastAsiaTheme="majorEastAsia" w:hAnsiTheme="majorHAnsi"/>
            <w:i/>
            <w:noProof/>
            <w:color w:val="0070C0"/>
            <w:sz w:val="22"/>
            <w:szCs w:val="22"/>
            <w:lang w:val="sq-AL"/>
          </w:rPr>
          <w:t>Grafiku 29: Të ardhurat e pushtetit vendor nga taksa mbi pasurinë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1" w:history="1">
        <w:r w:rsidR="00E74AAC" w:rsidRPr="00E74AAC">
          <w:rPr>
            <w:rStyle w:val="Hyperlink"/>
            <w:rFonts w:asciiTheme="majorHAnsi" w:eastAsiaTheme="majorEastAsia" w:hAnsiTheme="majorHAnsi"/>
            <w:i/>
            <w:noProof/>
            <w:color w:val="0070C0"/>
            <w:sz w:val="22"/>
            <w:szCs w:val="22"/>
            <w:lang w:val="sq-AL"/>
          </w:rPr>
          <w:t>Grafiku 30: Të ardhurat e pushtetit vendor nga taksa e biznesit të vogël</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2" w:history="1">
        <w:r w:rsidR="00E74AAC" w:rsidRPr="00E74AAC">
          <w:rPr>
            <w:rStyle w:val="Hyperlink"/>
            <w:rFonts w:asciiTheme="majorHAnsi" w:eastAsiaTheme="majorEastAsia" w:hAnsiTheme="majorHAnsi"/>
            <w:i/>
            <w:noProof/>
            <w:color w:val="0070C0"/>
            <w:sz w:val="22"/>
            <w:szCs w:val="22"/>
            <w:lang w:val="sq-AL"/>
          </w:rPr>
          <w:t>Grafiku 31: Të ardhurat e pushtetit e pushtetit vendor nga taksat lokale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3" w:history="1">
        <w:r w:rsidR="00E74AAC" w:rsidRPr="00E74AAC">
          <w:rPr>
            <w:rStyle w:val="Hyperlink"/>
            <w:rFonts w:asciiTheme="majorHAnsi" w:eastAsiaTheme="majorEastAsia" w:hAnsiTheme="majorHAnsi"/>
            <w:i/>
            <w:noProof/>
            <w:color w:val="0070C0"/>
            <w:sz w:val="22"/>
            <w:szCs w:val="22"/>
            <w:lang w:val="sq-AL"/>
          </w:rPr>
          <w:t>Grafiku 32: Shpenzimet për pushtetin vendor dhe ritmi i ndryshimit të tyre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4" w:history="1">
        <w:r w:rsidR="00E74AAC" w:rsidRPr="00E74AAC">
          <w:rPr>
            <w:rStyle w:val="Hyperlink"/>
            <w:rFonts w:asciiTheme="majorHAnsi" w:eastAsiaTheme="majorEastAsia" w:hAnsiTheme="majorHAnsi"/>
            <w:i/>
            <w:noProof/>
            <w:color w:val="0070C0"/>
            <w:sz w:val="22"/>
            <w:szCs w:val="22"/>
            <w:lang w:val="sq-AL"/>
          </w:rPr>
          <w:t>Grafiku 33: Shpenzimet e pushtetit vendor sipas strukturës buxhetore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28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5" w:history="1">
        <w:r w:rsidR="00E74AAC" w:rsidRPr="00E74AAC">
          <w:rPr>
            <w:rStyle w:val="Hyperlink"/>
            <w:rFonts w:asciiTheme="majorHAnsi" w:eastAsiaTheme="majorEastAsia" w:hAnsiTheme="majorHAnsi"/>
            <w:i/>
            <w:noProof/>
            <w:color w:val="0070C0"/>
            <w:sz w:val="22"/>
            <w:szCs w:val="22"/>
          </w:rPr>
          <w:t>Grafiku 34: Borxhi publik në vlerë absolute dhe relative ndaj PBB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6" w:history="1">
        <w:r w:rsidR="00E74AAC" w:rsidRPr="00E74AAC">
          <w:rPr>
            <w:rStyle w:val="Hyperlink"/>
            <w:rFonts w:asciiTheme="majorHAnsi" w:eastAsiaTheme="majorEastAsia" w:hAnsiTheme="majorHAnsi"/>
            <w:i/>
            <w:noProof/>
            <w:color w:val="0070C0"/>
            <w:sz w:val="22"/>
            <w:szCs w:val="22"/>
          </w:rPr>
          <w:t>Grafiku 35: Përbërja e borxhit të qeverisjes qendrore në raport me totalin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34</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7" w:history="1">
        <w:r w:rsidR="00E74AAC" w:rsidRPr="00E74AAC">
          <w:rPr>
            <w:rStyle w:val="Hyperlink"/>
            <w:rFonts w:asciiTheme="majorHAnsi" w:eastAsiaTheme="majorEastAsia" w:hAnsiTheme="majorHAnsi"/>
            <w:i/>
            <w:noProof/>
            <w:color w:val="0070C0"/>
            <w:sz w:val="22"/>
            <w:szCs w:val="22"/>
          </w:rPr>
          <w:t>Grafiku 36: Kompozimi i portofolit të borxhit shtetëror sipas 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8" w:history="1">
        <w:r w:rsidR="00E74AAC" w:rsidRPr="00E74AAC">
          <w:rPr>
            <w:rStyle w:val="Hyperlink"/>
            <w:rFonts w:asciiTheme="majorHAnsi" w:eastAsiaTheme="majorEastAsia" w:hAnsiTheme="majorHAnsi"/>
            <w:i/>
            <w:noProof/>
            <w:color w:val="0070C0"/>
            <w:sz w:val="22"/>
            <w:szCs w:val="22"/>
          </w:rPr>
          <w:t xml:space="preserve">Grafiku 37: </w:t>
        </w:r>
        <w:r w:rsidR="00E74AAC" w:rsidRPr="00E74AAC">
          <w:rPr>
            <w:rStyle w:val="Hyperlink"/>
            <w:rFonts w:asciiTheme="majorHAnsi" w:eastAsiaTheme="majorEastAsia" w:hAnsiTheme="majorHAnsi"/>
            <w:i/>
            <w:noProof/>
            <w:color w:val="0070C0"/>
            <w:sz w:val="18"/>
            <w:szCs w:val="22"/>
          </w:rPr>
          <w:t>Kompozimi i borxhit të brendshëm shtetëror sipas maturitetit të titujve dhe tipit të interesit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29" w:history="1">
        <w:r w:rsidR="00E74AAC" w:rsidRPr="00E74AAC">
          <w:rPr>
            <w:rStyle w:val="Hyperlink"/>
            <w:rFonts w:asciiTheme="majorHAnsi" w:eastAsiaTheme="majorEastAsia" w:hAnsiTheme="majorHAnsi"/>
            <w:i/>
            <w:noProof/>
            <w:color w:val="0070C0"/>
            <w:sz w:val="22"/>
            <w:szCs w:val="22"/>
          </w:rPr>
          <w:t>Grafiku 38: Kompozimi i borxhit të jashtëm shtetëror sipas interesit&amp;instrumenteve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36</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0" w:history="1">
        <w:r w:rsidR="00E74AAC" w:rsidRPr="00E74AAC">
          <w:rPr>
            <w:rStyle w:val="Hyperlink"/>
            <w:rFonts w:asciiTheme="majorHAnsi" w:eastAsiaTheme="majorEastAsia" w:hAnsiTheme="majorHAnsi"/>
            <w:i/>
            <w:noProof/>
            <w:color w:val="0070C0"/>
            <w:sz w:val="22"/>
            <w:szCs w:val="22"/>
          </w:rPr>
          <w:t>Grafiku 39: Huamarrja e brendshme në raport me të ardhurat tatimore (TM. I 2017-TM. I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1" w:history="1">
        <w:r w:rsidR="00E74AAC" w:rsidRPr="00E74AAC">
          <w:rPr>
            <w:rStyle w:val="Hyperlink"/>
            <w:rFonts w:asciiTheme="majorHAnsi" w:eastAsiaTheme="majorEastAsia" w:hAnsiTheme="majorHAnsi"/>
            <w:i/>
            <w:noProof/>
            <w:color w:val="0070C0"/>
            <w:sz w:val="22"/>
            <w:szCs w:val="22"/>
          </w:rPr>
          <w:t>Grafiku 40: Shpenzimet për interesa të borxhit shtetëror (TM1 2017-TM1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2" w:history="1">
        <w:r w:rsidR="00E74AAC" w:rsidRPr="00E74AAC">
          <w:rPr>
            <w:rStyle w:val="Hyperlink"/>
            <w:rFonts w:asciiTheme="majorHAnsi" w:eastAsiaTheme="majorEastAsia" w:hAnsiTheme="majorHAnsi"/>
            <w:i/>
            <w:noProof/>
            <w:color w:val="0070C0"/>
            <w:sz w:val="22"/>
            <w:szCs w:val="22"/>
          </w:rPr>
          <w:t xml:space="preserve">Grafiku 41: </w:t>
        </w:r>
        <w:r w:rsidR="00E74AAC" w:rsidRPr="00E74AAC">
          <w:rPr>
            <w:rStyle w:val="Hyperlink"/>
            <w:rFonts w:asciiTheme="majorHAnsi" w:eastAsiaTheme="majorEastAsia" w:hAnsiTheme="majorHAnsi"/>
            <w:i/>
            <w:noProof/>
            <w:color w:val="0070C0"/>
            <w:sz w:val="20"/>
            <w:szCs w:val="22"/>
          </w:rPr>
          <w:t>Jetëgjatësia&amp;kosto mesatare e portofolit të borxhit të brendshëm shtetëror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38</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3" w:history="1">
        <w:r w:rsidR="00E74AAC" w:rsidRPr="00E74AAC">
          <w:rPr>
            <w:rStyle w:val="Hyperlink"/>
            <w:rFonts w:asciiTheme="majorHAnsi" w:eastAsiaTheme="majorEastAsia" w:hAnsiTheme="majorHAnsi"/>
            <w:i/>
            <w:noProof/>
            <w:color w:val="0070C0"/>
            <w:sz w:val="22"/>
            <w:szCs w:val="22"/>
          </w:rPr>
          <w:t>Grafiku 42: Raporti i mbulimit të ankandeve të titujve shtetërorë (Janar–Mars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39</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4" w:history="1">
        <w:r w:rsidR="00E74AAC" w:rsidRPr="00E74AAC">
          <w:rPr>
            <w:rStyle w:val="Hyperlink"/>
            <w:rFonts w:asciiTheme="majorHAnsi" w:eastAsiaTheme="majorEastAsia" w:hAnsiTheme="majorHAnsi"/>
            <w:i/>
            <w:noProof/>
            <w:color w:val="0070C0"/>
            <w:sz w:val="22"/>
            <w:szCs w:val="22"/>
          </w:rPr>
          <w:t>Grafiku 43: Norma mesatare e ponderuar e titujve shtetërorë (Shtator 2021 - 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40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5" w:history="1">
        <w:r w:rsidR="00E74AAC" w:rsidRPr="00E74AAC">
          <w:rPr>
            <w:rStyle w:val="Hyperlink"/>
            <w:rFonts w:asciiTheme="majorHAnsi" w:eastAsiaTheme="majorEastAsia" w:hAnsiTheme="majorHAnsi"/>
            <w:bCs/>
            <w:i/>
            <w:noProof/>
            <w:color w:val="0070C0"/>
            <w:sz w:val="22"/>
            <w:szCs w:val="22"/>
          </w:rPr>
          <w:t>Grafiku 44</w:t>
        </w:r>
        <w:r w:rsidR="00E74AAC" w:rsidRPr="00E74AAC">
          <w:rPr>
            <w:rStyle w:val="Hyperlink"/>
            <w:rFonts w:asciiTheme="majorHAnsi" w:eastAsiaTheme="majorEastAsia" w:hAnsiTheme="majorHAnsi"/>
            <w:i/>
            <w:noProof/>
            <w:color w:val="0070C0"/>
            <w:sz w:val="22"/>
            <w:szCs w:val="22"/>
          </w:rPr>
          <w:t>:Sektori quasi publik sipas numrit të ndërmarrjeve Burimi: INSTAT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42</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6" w:history="1">
        <w:r w:rsidR="00E74AAC" w:rsidRPr="00E74AAC">
          <w:rPr>
            <w:rStyle w:val="Hyperlink"/>
            <w:rFonts w:asciiTheme="majorHAnsi" w:eastAsiaTheme="majorEastAsia" w:hAnsiTheme="majorHAnsi"/>
            <w:bCs/>
            <w:i/>
            <w:noProof/>
            <w:color w:val="0070C0"/>
            <w:sz w:val="22"/>
            <w:szCs w:val="22"/>
          </w:rPr>
          <w:t>Grafiku 45</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cstheme="minorHAnsi"/>
            <w:i/>
            <w:iCs/>
            <w:noProof/>
            <w:color w:val="0070C0"/>
            <w:sz w:val="22"/>
            <w:szCs w:val="22"/>
            <w:lang w:val="sq-AL"/>
          </w:rPr>
          <w:t>Ecuria e nivelit të arkëtimeve të OSHEE Group sh.a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47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7" w:history="1">
        <w:r w:rsidR="00E74AAC" w:rsidRPr="00E74AAC">
          <w:rPr>
            <w:rStyle w:val="Hyperlink"/>
            <w:rFonts w:asciiTheme="majorHAnsi" w:eastAsiaTheme="majorEastAsia" w:hAnsiTheme="majorHAnsi"/>
            <w:bCs/>
            <w:i/>
            <w:noProof/>
            <w:color w:val="0070C0"/>
            <w:sz w:val="22"/>
            <w:szCs w:val="22"/>
          </w:rPr>
          <w:t>Grafiku 46</w:t>
        </w:r>
        <w:r w:rsidR="00E74AAC" w:rsidRPr="00E74AAC">
          <w:rPr>
            <w:rStyle w:val="Hyperlink"/>
            <w:rFonts w:asciiTheme="majorHAnsi" w:eastAsiaTheme="majorEastAsia" w:hAnsiTheme="majorHAnsi"/>
            <w:i/>
            <w:noProof/>
            <w:color w:val="0070C0"/>
            <w:sz w:val="22"/>
            <w:szCs w:val="22"/>
          </w:rPr>
          <w:t>:</w:t>
        </w:r>
        <w:r w:rsidR="00E74AAC" w:rsidRPr="00E74AAC">
          <w:rPr>
            <w:rStyle w:val="Hyperlink"/>
            <w:rFonts w:asciiTheme="majorHAnsi" w:eastAsiaTheme="majorEastAsia" w:hAnsiTheme="majorHAnsi" w:cstheme="minorHAnsi"/>
            <w:i/>
            <w:iCs/>
            <w:noProof/>
            <w:color w:val="0070C0"/>
            <w:sz w:val="22"/>
            <w:szCs w:val="22"/>
            <w:lang w:val="sq-AL"/>
          </w:rPr>
          <w:t>Ecuria e nivelit të humbjeve në rrjet për OSHEE Group sh.a (në %)</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47</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8" w:history="1">
        <w:r w:rsidR="00E74AAC" w:rsidRPr="00E74AAC">
          <w:rPr>
            <w:rStyle w:val="Hyperlink"/>
            <w:rFonts w:asciiTheme="majorHAnsi" w:eastAsiaTheme="majorEastAsia" w:hAnsiTheme="majorHAnsi"/>
            <w:bCs/>
            <w:i/>
            <w:noProof/>
            <w:color w:val="0070C0"/>
            <w:sz w:val="22"/>
            <w:szCs w:val="22"/>
          </w:rPr>
          <w:t>Grafiku 47:Stoku i detyrimeve të prapambetura të qeverisjes së përgjithshme, në mln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49</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39" w:history="1">
        <w:r w:rsidR="00E74AAC" w:rsidRPr="00E74AAC">
          <w:rPr>
            <w:rStyle w:val="Hyperlink"/>
            <w:rFonts w:asciiTheme="majorHAnsi" w:eastAsiaTheme="majorEastAsia" w:hAnsiTheme="majorHAnsi"/>
            <w:bCs/>
            <w:i/>
            <w:noProof/>
            <w:color w:val="0070C0"/>
            <w:sz w:val="22"/>
            <w:szCs w:val="22"/>
          </w:rPr>
          <w:t xml:space="preserve"> Grafiku 48</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bCs/>
            <w:i/>
            <w:noProof/>
            <w:color w:val="0070C0"/>
            <w:sz w:val="22"/>
            <w:szCs w:val="22"/>
          </w:rPr>
          <w:t>Stoku i detyrimeve të prapambetura qendrore sipas zërave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50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40" w:history="1">
        <w:r w:rsidR="00E74AAC" w:rsidRPr="00E74AAC">
          <w:rPr>
            <w:rStyle w:val="Hyperlink"/>
            <w:rFonts w:asciiTheme="majorHAnsi" w:eastAsiaTheme="majorEastAsia" w:hAnsiTheme="majorHAnsi"/>
            <w:i/>
            <w:noProof/>
            <w:color w:val="0070C0"/>
            <w:sz w:val="22"/>
            <w:szCs w:val="22"/>
          </w:rPr>
          <w:t>Grafiku 49: Stoku i detyrimeve të prapambetura vendore (bashki+qarqe) sipas zerave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51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41" w:history="1">
        <w:r w:rsidR="00E74AAC" w:rsidRPr="00E74AAC">
          <w:rPr>
            <w:rStyle w:val="Hyperlink"/>
            <w:rFonts w:asciiTheme="majorHAnsi" w:eastAsiaTheme="majorEastAsia" w:hAnsiTheme="majorHAnsi"/>
            <w:i/>
            <w:noProof/>
            <w:color w:val="0070C0"/>
            <w:sz w:val="22"/>
            <w:szCs w:val="22"/>
          </w:rPr>
          <w:t>Grafiku 50: Rritja mujore e totalit të eksporteve,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60</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42" w:history="1">
        <w:r w:rsidR="00E74AAC" w:rsidRPr="00E74AAC">
          <w:rPr>
            <w:rStyle w:val="Hyperlink"/>
            <w:rFonts w:asciiTheme="majorHAnsi" w:eastAsiaTheme="majorEastAsia" w:hAnsiTheme="majorHAnsi"/>
            <w:i/>
            <w:noProof/>
            <w:color w:val="0070C0"/>
            <w:sz w:val="22"/>
            <w:szCs w:val="22"/>
            <w:lang w:val="sq-AL"/>
          </w:rPr>
          <w:t>Grafiku 51: Rritja mujore e totalit të importeve,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61</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43" w:history="1">
        <w:r w:rsidR="00E74AAC" w:rsidRPr="00E74AAC">
          <w:rPr>
            <w:rStyle w:val="Hyperlink"/>
            <w:rFonts w:asciiTheme="majorHAnsi" w:eastAsiaTheme="majorEastAsia" w:hAnsiTheme="majorHAnsi"/>
            <w:i/>
            <w:noProof/>
            <w:color w:val="0070C0"/>
            <w:sz w:val="22"/>
            <w:szCs w:val="22"/>
            <w:lang w:val="sq-AL"/>
          </w:rPr>
          <w:t>Grafiku 52: Ndryshimi vjetor i Inflacionit,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62</w:t>
        </w:r>
        <w:r w:rsidR="00E74AAC" w:rsidRPr="00E74AAC">
          <w:rPr>
            <w:rFonts w:asciiTheme="majorHAnsi" w:hAnsiTheme="majorHAnsi"/>
            <w:noProof/>
            <w:webHidden/>
            <w:color w:val="0070C0"/>
            <w:sz w:val="22"/>
            <w:szCs w:val="22"/>
          </w:rPr>
          <w:fldChar w:fldCharType="end"/>
        </w:r>
      </w:hyperlink>
    </w:p>
    <w:p w:rsidR="00E74AAC" w:rsidRPr="00E74AAC" w:rsidRDefault="00141CFC">
      <w:pPr>
        <w:pStyle w:val="TableofFigures"/>
        <w:tabs>
          <w:tab w:val="right" w:leader="dot" w:pos="9623"/>
        </w:tabs>
        <w:rPr>
          <w:rFonts w:asciiTheme="majorHAnsi" w:eastAsiaTheme="minorEastAsia" w:hAnsiTheme="majorHAnsi" w:cstheme="minorBidi"/>
          <w:noProof/>
          <w:color w:val="0070C0"/>
          <w:sz w:val="22"/>
          <w:szCs w:val="22"/>
        </w:rPr>
      </w:pPr>
      <w:hyperlink w:anchor="_Toc107498144" w:history="1">
        <w:r w:rsidR="00E74AAC" w:rsidRPr="00E74AAC">
          <w:rPr>
            <w:rStyle w:val="Hyperlink"/>
            <w:rFonts w:asciiTheme="majorHAnsi" w:eastAsiaTheme="majorEastAsia" w:hAnsiTheme="majorHAnsi"/>
            <w:i/>
            <w:noProof/>
            <w:color w:val="0070C0"/>
            <w:sz w:val="22"/>
            <w:szCs w:val="22"/>
            <w:lang w:val="sq-AL"/>
          </w:rPr>
          <w:t>Grafiku 53: Ecuria e stokut të depozitave 2021-2022,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E74AAC" w:rsidRPr="00E74AAC">
          <w:rPr>
            <w:rFonts w:asciiTheme="majorHAnsi" w:hAnsiTheme="majorHAnsi"/>
            <w:noProof/>
            <w:webHidden/>
            <w:color w:val="0070C0"/>
            <w:sz w:val="22"/>
            <w:szCs w:val="22"/>
          </w:rPr>
          <w:t>63</w:t>
        </w:r>
        <w:r w:rsidR="00E74AAC" w:rsidRPr="00E74AAC">
          <w:rPr>
            <w:rFonts w:asciiTheme="majorHAnsi" w:hAnsiTheme="majorHAnsi"/>
            <w:noProof/>
            <w:webHidden/>
            <w:color w:val="0070C0"/>
            <w:sz w:val="22"/>
            <w:szCs w:val="22"/>
          </w:rPr>
          <w:fldChar w:fldCharType="end"/>
        </w:r>
      </w:hyperlink>
    </w:p>
    <w:p w:rsidR="007A09E2" w:rsidRPr="002E5970" w:rsidRDefault="005D4A49" w:rsidP="00C371C2">
      <w:pPr>
        <w:pStyle w:val="TableofFigures"/>
        <w:tabs>
          <w:tab w:val="right" w:leader="dot" w:pos="9620"/>
        </w:tabs>
        <w:rPr>
          <w:rStyle w:val="Hyperlink"/>
          <w:rFonts w:asciiTheme="majorHAnsi" w:eastAsiaTheme="majorEastAsia" w:hAnsiTheme="majorHAnsi"/>
          <w:i/>
          <w:noProof/>
          <w:color w:val="0070C0"/>
          <w:sz w:val="22"/>
          <w:szCs w:val="22"/>
          <w:lang w:val="sq-AL"/>
        </w:rPr>
        <w:sectPr w:rsidR="007A09E2" w:rsidRPr="002E5970" w:rsidSect="0093243B">
          <w:footerReference w:type="default" r:id="rId9"/>
          <w:footerReference w:type="first" r:id="rId10"/>
          <w:pgSz w:w="11907" w:h="16839" w:code="9"/>
          <w:pgMar w:top="851" w:right="1106" w:bottom="737" w:left="1168" w:header="720" w:footer="0" w:gutter="0"/>
          <w:cols w:space="720"/>
          <w:titlePg/>
          <w:docGrid w:linePitch="360"/>
        </w:sectPr>
      </w:pPr>
      <w:r w:rsidRPr="00E74AAC">
        <w:rPr>
          <w:rStyle w:val="Hyperlink"/>
          <w:rFonts w:asciiTheme="majorHAnsi" w:eastAsiaTheme="majorEastAsia" w:hAnsiTheme="majorHAnsi"/>
          <w:i/>
          <w:noProof/>
          <w:color w:val="0070C0"/>
          <w:sz w:val="22"/>
          <w:szCs w:val="22"/>
          <w:lang w:val="sq-AL"/>
        </w:rPr>
        <w:fldChar w:fldCharType="end"/>
      </w:r>
    </w:p>
    <w:p w:rsidR="00685257" w:rsidRPr="00317567" w:rsidRDefault="00685257" w:rsidP="00B95810">
      <w:pPr>
        <w:pStyle w:val="Heading1"/>
        <w:numPr>
          <w:ilvl w:val="0"/>
          <w:numId w:val="1"/>
        </w:numPr>
        <w:spacing w:before="0"/>
        <w:ind w:left="720"/>
        <w:rPr>
          <w:sz w:val="32"/>
          <w:u w:val="none"/>
        </w:rPr>
      </w:pPr>
      <w:bookmarkStart w:id="4" w:name="_Toc107496980"/>
      <w:r w:rsidRPr="00317567">
        <w:rPr>
          <w:sz w:val="32"/>
          <w:u w:val="none"/>
        </w:rPr>
        <w:lastRenderedPageBreak/>
        <w:t>ZHVILLIMET NË EKONOMINË SHQIPTARE</w:t>
      </w:r>
      <w:bookmarkEnd w:id="4"/>
      <w:r w:rsidR="00FD3DF0" w:rsidRPr="00317567">
        <w:rPr>
          <w:sz w:val="32"/>
          <w:u w:val="none"/>
        </w:rPr>
        <w:t xml:space="preserve"> </w:t>
      </w:r>
    </w:p>
    <w:p w:rsidR="000F540A" w:rsidRPr="0065598A" w:rsidRDefault="009216BE" w:rsidP="002334F6">
      <w:pPr>
        <w:pStyle w:val="Heading2"/>
      </w:pPr>
      <w:bookmarkStart w:id="5" w:name="_Toc107496981"/>
      <w:r w:rsidRPr="0065598A">
        <w:t>I.1</w:t>
      </w:r>
      <w:r w:rsidRPr="0065598A">
        <w:tab/>
      </w:r>
      <w:r w:rsidR="0094558D" w:rsidRPr="0065598A">
        <w:t>Ecuria e treguesve makroekonomikë</w:t>
      </w:r>
      <w:r w:rsidR="00DD1580" w:rsidRPr="0065598A">
        <w:t xml:space="preserve"> p</w:t>
      </w:r>
      <w:r w:rsidR="00AA2D73" w:rsidRPr="0065598A">
        <w:t>ë</w:t>
      </w:r>
      <w:r w:rsidR="00DD1580" w:rsidRPr="0065598A">
        <w:t>r periudh</w:t>
      </w:r>
      <w:r w:rsidR="00AA2D73" w:rsidRPr="0065598A">
        <w:t>ë</w:t>
      </w:r>
      <w:r w:rsidR="002E5970">
        <w:t>n J</w:t>
      </w:r>
      <w:r w:rsidR="00DD1580" w:rsidRPr="0065598A">
        <w:t>anar-</w:t>
      </w:r>
      <w:r w:rsidR="002E5970">
        <w:t>M</w:t>
      </w:r>
      <w:r w:rsidR="00D90476" w:rsidRPr="0065598A">
        <w:t>aj</w:t>
      </w:r>
      <w:r w:rsidR="00971C15" w:rsidRPr="0065598A">
        <w:rPr>
          <w:rStyle w:val="FootnoteReference"/>
        </w:rPr>
        <w:footnoteReference w:id="1"/>
      </w:r>
      <w:r w:rsidR="00DD1580" w:rsidRPr="0065598A">
        <w:t xml:space="preserve"> 20</w:t>
      </w:r>
      <w:r w:rsidR="008507F6" w:rsidRPr="0065598A">
        <w:t>2</w:t>
      </w:r>
      <w:r w:rsidR="00565BEB">
        <w:t>2</w:t>
      </w:r>
      <w:bookmarkEnd w:id="5"/>
      <w:r w:rsidR="00685257" w:rsidRPr="0065598A">
        <w:t xml:space="preserve"> </w:t>
      </w:r>
    </w:p>
    <w:p w:rsidR="006F6EF6" w:rsidRPr="00F60B38" w:rsidRDefault="006F6EF6" w:rsidP="006F6EF6">
      <w:pPr>
        <w:spacing w:after="120" w:line="276" w:lineRule="auto"/>
        <w:jc w:val="both"/>
        <w:rPr>
          <w:rFonts w:asciiTheme="minorHAnsi" w:hAnsiTheme="minorHAnsi" w:cstheme="minorHAnsi"/>
          <w:lang w:val="sq-AL"/>
        </w:rPr>
      </w:pPr>
      <w:r w:rsidRPr="00F60B38">
        <w:rPr>
          <w:rFonts w:asciiTheme="minorHAnsi" w:hAnsiTheme="minorHAnsi" w:cstheme="minorHAnsi"/>
          <w:lang w:val="sq-AL"/>
        </w:rPr>
        <w:t>Ekonomia shqiptare u rekuperua ndjeshëm gjatë vitit 2021 pas recesionit të vitit të kaluar. Efektet e pandemisë ishin të përmbajtura si rezultat i mbështetjes nga politikat fiskale e monetare ndërthurur me masat rregullative. Rritja ekonomike rezultoi më e fortë dhe me bazë më të gjerë krahasuar me atë që pritej. Efekti bazë dhe ndikimi nga investimet, rigjallërimi i turizmit dhe prodhimi i energjisë elektrike ishin gjithashtu faktorë të veçantë që përcaktuan përbërjen sektoriale të rritjes. Rikuperimi i kërkesës ka qenë i shpejtë dhe prodhimi ka tejkaluar nivelet e para tërmetit dhe të para pandemisë. Edhe tregu i punës paraqet përmirësim me rritje të punësimit dhe rënie të normës së papunësisë. Si sektori i prodhimit, ashtu edhe ai i shërbimeve, kanë përfituar nga këto zhvillime, duke siguruar rimëkëmbje për biznesin dhe punësimin dhe duke krijuar premisa të mira për perspektivën afatmesme.</w:t>
      </w:r>
      <w:r w:rsidR="00317567">
        <w:rPr>
          <w:rFonts w:asciiTheme="minorHAnsi" w:hAnsiTheme="minorHAnsi" w:cstheme="minorHAnsi"/>
          <w:lang w:val="sq-AL"/>
        </w:rPr>
        <w:t xml:space="preserve"> </w:t>
      </w:r>
      <w:r w:rsidRPr="00F60B38">
        <w:rPr>
          <w:rFonts w:asciiTheme="minorHAnsi" w:hAnsiTheme="minorHAnsi" w:cstheme="minorHAnsi"/>
          <w:lang w:val="sq-AL"/>
        </w:rPr>
        <w:t>Për vitin 2021, rritja ekonomike prej +8.54% paraqet një rikthim shumë të fortë, dukshëm mbi parashikimin fillestar dhe mbi nivelin prej -3.5% që ishte një vit më parë. Kjo rritje ishte e shpërndarë në të gjithë sektorët e ekonomisë, ku ndikimin kryesor e ka pasur sektori i ndërtimit me 1.83 pikë përqindje, ndërkohë që industria ka pasur gjithashtu një kontribut të lartë pozitiv në rritje me 1.71 pikë përqindje dhe Tregtia me 1.54 pikë përqindje.</w:t>
      </w:r>
    </w:p>
    <w:p w:rsidR="006F6EF6" w:rsidRPr="00F60B38" w:rsidRDefault="006F6EF6" w:rsidP="006F6EF6">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Nga krahu i shpenzimeve, rritja ekonomike pasqyroi zgjerimin e konsumit dhe investimeve, duke reflektuar fuqizimin e kërkesës së brendshme si dhe rritje të eksporteve. Ajo u nxit kryesisht nga përmirësimi i besimit të biznesit dhe konsumatorit, nga rikuperimi i ekonomive partnere si dhe nga stimujt makroekonomikë, veçanërisht të fortë gjatë dy viteve të fundit. Aktualisht, niveli i aktivitetit ekonomik qëndron 5.5% mbi nivelin e regjistruar para tërmetit dhe para pandemisë, duke treguar për tejkalimin e efekteve negative nga këto goditje.</w:t>
      </w:r>
    </w:p>
    <w:p w:rsidR="006F6EF6" w:rsidRPr="00F60B38" w:rsidRDefault="006F6EF6" w:rsidP="006F6EF6">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Shifrat e punësimit kanë mbështetur vijimin e ecurisë së aktivitetit ekonomik ku për tremujorin e parë të vitit 2022 papunësia ka vijuar të shënojë rënie dhe papunësia për grup moshën mbi 15 vjeç ka shënuar nivelin prej 11.3%, duke u ulur me 0.6 pikë përqindje në terma vjetorë, dhe duke rënë me 0.1 pikë përqindje, krahasuar me tremujorin e katërt të vitit 2021. Ndërkohë që edhe shkalla e punësimit ka vijuar të shënojë rritje duke rezultuar në 54.2% për popullsinë mbi 15 vjeç. Ritmi vjetor i ndryshimit të punësimit për popullsinë 15 vjeç e lart, nga tremujori i parë i vitit 2021 në tremujorin e parë 2022, është +3.4%. Në terma vjetorë, punësimi është rritur me 8% në sektorin e industrisë, me 1.7% në sektorin e shërbimeve, dhe me 2.8% në sektorin e bujqësisë.</w:t>
      </w:r>
    </w:p>
    <w:p w:rsidR="006F6EF6" w:rsidRPr="00F60B38" w:rsidRDefault="006F6EF6" w:rsidP="006F6EF6">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 xml:space="preserve">Një tjetër tregues i rëndësishëm që jep sinjale mbi rritjen ekonomike është treguesi i ndjesisë ekonomike (TNE) që në muajin maj të vitit 2022 shënoi nivelin 107.2, </w:t>
      </w:r>
      <w:r w:rsidRPr="00F60B38">
        <w:rPr>
          <w:rFonts w:asciiTheme="minorHAnsi" w:hAnsiTheme="minorHAnsi" w:cstheme="minorHAnsi"/>
          <w:lang w:val="sq-AL"/>
        </w:rPr>
        <w:t>duke pësuar një rritje prej 4.6 pikësh nga muaji i kaluar dhe një rritje me 3.5 pikë përqindje në krahasim me maj 2021. Niveli aktual i TNE-së qëndron 7.2 pikë mbi mesataren afatgjatë</w:t>
      </w:r>
      <w:r w:rsidRPr="00F60B38">
        <w:rPr>
          <w:rStyle w:val="FootnoteReference"/>
          <w:rFonts w:asciiTheme="minorHAnsi" w:hAnsiTheme="minorHAnsi" w:cstheme="minorHAnsi"/>
          <w:lang w:val="sq-AL"/>
        </w:rPr>
        <w:footnoteReference w:id="2"/>
      </w:r>
      <w:r w:rsidRPr="00F60B38">
        <w:rPr>
          <w:rFonts w:asciiTheme="minorHAnsi" w:hAnsiTheme="minorHAnsi" w:cstheme="minorHAnsi"/>
          <w:lang w:val="sq-AL"/>
        </w:rPr>
        <w:t xml:space="preserve"> (në nivelin 100), dhe rreth 7.2 pikë përqindje mbi mesataren e 5 viteve të fundit (maj_2017 – maj_2022). Rritja e TNE u përcaktua nga përmirësimi i besimit në pothuaj të gjithë sektorët e ekonomisë, me kontribute më të theksuara nga sektori i shërbimeve dhe i tregtisë.</w:t>
      </w:r>
    </w:p>
    <w:p w:rsidR="006F6EF6" w:rsidRPr="00F60B38" w:rsidRDefault="006F6EF6" w:rsidP="006F6EF6">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lastRenderedPageBreak/>
        <w:t>Të dhënat e tregtisë së jashtme të mallrave për periudhën 5-mujore të vitit 2022 treguan një rritje të qenësishme, si në eksporte ashtu edhe në importe. Eksportet e mallrave për periudhën janar-maj 2022 shënuan rritje vjetore prej +46% krahasuar me të njëjtën periudhë të një viti më parë, gjithashtu importet e mallrave shënuan rritje prej +27.1%. Këto zhvillime në tregtinë e jashtme tё mallrave janë reflektuar dhe tek deficiti tregtar, i cili për periudhën janar-maj 2022 ёshtё rritur me rreth 8.7% krahasuar me të njëjtën periudhë të një viti më parë. Ndërsa, norma e mbulimit të eksporteve ndaj importeve për këtë periudhë është 56.7%.</w:t>
      </w:r>
    </w:p>
    <w:p w:rsidR="006F6EF6" w:rsidRPr="00F60B38" w:rsidRDefault="006F6EF6" w:rsidP="006F6EF6">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 xml:space="preserve">Inflacioni mesatar për periudhën janar-maj 2022 ishte +5.2%, nga +1.3% që rezultonte një vit më parë gjatë së njëjtës periudhë. Rritja e inflacionit, vjen si shkak i presioneve të forta të ofertës, të cilat rezultuan kryesisht nga rritja globale e çmimeve të mallrave energjitike, të lëndëve të para dhe mallrave bazë ushqimore, duke shkaktuar një rritje të përgjithshme të çmimeve. Pёrgjatё kёsaj periudhe, nga tërësia e mallrave dhe shërbimeve që përbëjnë shportën e konsumit, kontributin mё tё lartё nё inflacionin e pёrgjithshёm e ka pasur zёri i ushqimeve dhe pijeve jo alkoolike dhe rritjen vjetore më të lartë e ka pasur zëri i transportit. </w:t>
      </w:r>
    </w:p>
    <w:p w:rsidR="006F6EF6" w:rsidRPr="00F60B38" w:rsidRDefault="006F6EF6" w:rsidP="00317567">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Gjatë muajit prill të vitit 2022, stoku total i kredive bankare pati një rritje me 12.1% krahasuar me muajin prill të vitit 2021. Stoku i kredive në lekë shënoi një rritje prej 8.8%, ndërsa ai në valutë rritje prej 15.9%, krahasuar me muajin prill të vitit të kaluar. Stoku i kredive akorduar individëve deri në muajin prill të vitit 2022, ka shënuar rritje prej 14%, krahasuar me prillin e vitit 2021, duke kontribuar pozitivisht në ndryshimin e stokut total të kredisë me 4.9 pikë përqindje. Në prill 2022 rezulton se rreth 51.5% e totalit të stokut të kredive përbëhet nga kreditë në Lekë, ndërsa pjesa tjetër prej 48.5% përbëhet nga kreditë në valutë.</w:t>
      </w:r>
      <w:r w:rsidR="00317567">
        <w:rPr>
          <w:rFonts w:asciiTheme="minorHAnsi" w:hAnsiTheme="minorHAnsi" w:cstheme="minorHAnsi"/>
          <w:noProof/>
          <w:lang w:val="sq-AL"/>
        </w:rPr>
        <w:t xml:space="preserve"> </w:t>
      </w:r>
      <w:r w:rsidRPr="00F60B38">
        <w:rPr>
          <w:rFonts w:asciiTheme="minorHAnsi" w:hAnsiTheme="minorHAnsi" w:cstheme="minorHAnsi"/>
          <w:noProof/>
          <w:lang w:val="sq-AL"/>
        </w:rPr>
        <w:t>Stoku total i depozitave bankare, gjatë muajit prill të vitit 2022, ka shënuar rritje me 8.9% krahasuar me njё vit mё parё. Stoku total i depozitave në Lekë pësoi rritje me 2.8%, ndërsa ai në valutë është rritur me 14.1% krahasuar me të njëjtin muaj të vitit 2021. Në muajin prill 2022 rezulton se rreth 43.8% e totalit të stokut të depozitave përbëhet nga depozitat në Lekë, ndërsa pjesa tjetër prej 56.2% përbëhet nga depozitimet në valutë të huaj. Stoku total i depozitave të bizneseve në muajin prill të vitit 2022 shënoi rritje prej 20.4% krahasuar me muajin prill të  vitit të kaluar, ndërsa stoku total i depozitave të individëve ka shënuar rritje prej 6.0% krahasuar me të njëjtin muaj të një viti më parë.</w:t>
      </w:r>
    </w:p>
    <w:p w:rsidR="00B31CF7" w:rsidRPr="00C0650B" w:rsidRDefault="006F6EF6" w:rsidP="006F6EF6">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Tregu valutor ka qenë përgjithësisht i qetë dhe është karakterizuar nga parametra normalë tregtimi gjatë muajve të parë të vitit 2022, me përjashtim të një episodi jetëshkurtër pasigurie në fillim të muajit mars, momenti i nisjes së agresionit të Rusisë ndaj Ukrainës.</w:t>
      </w:r>
      <w:r w:rsidR="00317567">
        <w:rPr>
          <w:rFonts w:asciiTheme="minorHAnsi" w:hAnsiTheme="minorHAnsi" w:cstheme="minorHAnsi"/>
          <w:noProof/>
          <w:lang w:val="sq-AL"/>
        </w:rPr>
        <w:t xml:space="preserve"> </w:t>
      </w:r>
      <w:r w:rsidRPr="00F60B38">
        <w:rPr>
          <w:rFonts w:asciiTheme="minorHAnsi" w:hAnsiTheme="minorHAnsi" w:cstheme="minorHAnsi"/>
          <w:noProof/>
          <w:lang w:val="sq-AL"/>
        </w:rPr>
        <w:t>Kursi mesatar i kёmbimit i monedhёs vendase ndaj Euros rezultoi mesatarisht 121.45 lekë/euro në 5-mujorin e parë të vitit 2022, duke pёsuar rёnie nga 123.32 lekё/euro qё shёnonte pёr tё njёjtёn periudhё tё njё viti mё parё. Nё terma vjetor, ecuria e euros nё tregun vendas ka reflektuar mbiçmim tё lekut prej 1.52% pёrgjatё janar-maj 2022. Kursi mesatar i kёmbimit i monedhёs vendase ndaj Dollarit Amerikan rezultoi mesatarisht 110.31 lekë/usd në 5-mujorin e parë të vitit 2022, duke shёnuar rritje nga 102.31 lekë/usd që shënonte pёr tё njёjtёn periudhё tё njё viti mё parё. Nё terma vjetor, ecuria e dollarit amerikan nё tregun vendas ka reflektuar nënçmim tё lekut prej 7.82% pёrgjatё 5-mujorit tё parё 2022</w:t>
      </w:r>
      <w:r w:rsidR="00B31CF7" w:rsidRPr="005C5B2F">
        <w:rPr>
          <w:rFonts w:asciiTheme="minorHAnsi" w:hAnsiTheme="minorHAnsi" w:cstheme="minorHAnsi"/>
          <w:noProof/>
          <w:lang w:val="sq-AL"/>
        </w:rPr>
        <w:t>.</w:t>
      </w:r>
      <w:r w:rsidR="00B31CF7" w:rsidRPr="00C0650B">
        <w:rPr>
          <w:rFonts w:asciiTheme="minorHAnsi" w:hAnsiTheme="minorHAnsi" w:cstheme="minorHAnsi"/>
          <w:lang w:val="sq-AL"/>
        </w:rPr>
        <w:t xml:space="preserve"> </w:t>
      </w:r>
    </w:p>
    <w:p w:rsidR="00F720EE" w:rsidRDefault="00F720EE" w:rsidP="008507F6">
      <w:pPr>
        <w:spacing w:before="240" w:after="120" w:line="276" w:lineRule="auto"/>
        <w:jc w:val="both"/>
        <w:rPr>
          <w:rFonts w:ascii="Calibri" w:hAnsi="Calibri"/>
          <w:noProof/>
          <w:sz w:val="4"/>
          <w:lang w:val="sq-AL"/>
        </w:rPr>
      </w:pPr>
    </w:p>
    <w:p w:rsidR="004C7BDF" w:rsidRDefault="004C7BDF" w:rsidP="008507F6">
      <w:pPr>
        <w:spacing w:before="240" w:after="120" w:line="276" w:lineRule="auto"/>
        <w:jc w:val="both"/>
        <w:rPr>
          <w:rFonts w:ascii="Calibri" w:hAnsi="Calibri"/>
          <w:noProof/>
          <w:sz w:val="4"/>
          <w:lang w:val="sq-AL"/>
        </w:rPr>
      </w:pPr>
    </w:p>
    <w:p w:rsidR="009216BE" w:rsidRPr="0065598A" w:rsidRDefault="009216BE" w:rsidP="002334F6">
      <w:pPr>
        <w:pStyle w:val="Heading2"/>
      </w:pPr>
      <w:bookmarkStart w:id="6" w:name="_Toc107496982"/>
      <w:r w:rsidRPr="0065598A">
        <w:lastRenderedPageBreak/>
        <w:t>I.2</w:t>
      </w:r>
      <w:r w:rsidRPr="0065598A">
        <w:tab/>
      </w:r>
      <w:r w:rsidR="00BD7B2B" w:rsidRPr="0065598A">
        <w:t>Pritshmëritë e treguesve makroekonomikë deri n</w:t>
      </w:r>
      <w:r w:rsidR="00AA2D73" w:rsidRPr="0065598A">
        <w:t>ë</w:t>
      </w:r>
      <w:r w:rsidR="00BD7B2B" w:rsidRPr="0065598A">
        <w:t xml:space="preserve"> fund t</w:t>
      </w:r>
      <w:r w:rsidR="00AA2D73" w:rsidRPr="0065598A">
        <w:t>ë</w:t>
      </w:r>
      <w:r w:rsidR="00BD7B2B" w:rsidRPr="0065598A">
        <w:t xml:space="preserve"> vitit 20</w:t>
      </w:r>
      <w:r w:rsidR="008507F6" w:rsidRPr="0065598A">
        <w:t>2</w:t>
      </w:r>
      <w:r w:rsidR="00565BEB">
        <w:t>2</w:t>
      </w:r>
      <w:bookmarkEnd w:id="6"/>
    </w:p>
    <w:p w:rsidR="00317567" w:rsidRPr="00F60B38" w:rsidRDefault="00317567" w:rsidP="00317567">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 xml:space="preserve">Prodhimi i Brendshëm Bruto (PBB) nominal pati një zgjerim të konsiderueshëm prej 8.5% në vitin 2021 krahasuar me vitin 2020, duke shënuar vlerën 1,890.2 miliardë lekë, çka rezultoi më e fortë dhe me një bazë më të gjerë nga sa pritej, në sajë të rikthimit të fortë të shifrave të turizmit, ashtu si dhe rritjes të lartë të investimeve dhe rimëkëmbjes së konsumit privat. Kjo vjen pas recesionit të parë në Shqipëri për më shumë se dy dekada prej -3.5% në vitin 2020, ku ekonomia shqiptare dëshmoi qendrueshmëri dhe rënia ekonomike rezultoi shumë më e përmbajtur sesa parashikimi fillestar, që varionte nga -6.1% deri në -8%. Gjithashtu edhe parametrat e tjerë më të rëndësishëm mbetën përgjithësisht të qendrueshëm. </w:t>
      </w:r>
    </w:p>
    <w:p w:rsidR="00317567" w:rsidRPr="00F60B38" w:rsidRDefault="00317567" w:rsidP="00317567">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Pas një stimuli të lartë, të domosdoshëm dhe njëkohësisht të paevitueshëm gjatë viteve 2020 dhe 2021 me qëllim amortizmin e goditjeve negative (tërmeti dhe sidomos pandemia), politika fiskale për periudhën afatmesme do të ri-orientohet sërisht drejt konsolidimit fiskal, ndërkohë që do sigurojë një nivel investimesh publike relativisht të lartë. Konsolidimi fiskal dhe reduktimi i borxhit publik është thelbësor për uljen e risqeve makroekonomike, të cilat pengojnë rritjen ekonomike dhe shkaktojnë paqëndrueshmëri makroekonomike.</w:t>
      </w:r>
    </w:p>
    <w:p w:rsidR="00317567" w:rsidRPr="00F60B38" w:rsidRDefault="00317567" w:rsidP="00317567">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 xml:space="preserve">Parashikimi per vitin aktual 2022 është pozitiv dhe pritet që ekonomia të vazhdojë në ritmet pozitive të rritjes dhe pse më një normë më të përmbajtur në krahasim me vitin e kaluar, në nivelin prej 3.2%. Gjatë periudhës afatmesme rritja pritet të gjenerohet kryesisht nga kërkesa e brendshme, si konsumi ashtu edhe investimet. Ndërkohë kërkesa e huaj neto (eksport – import) pritet të ketë një efekt të moderuar pozitiv. </w:t>
      </w:r>
    </w:p>
    <w:p w:rsidR="00317567" w:rsidRPr="00F60B38" w:rsidRDefault="00317567" w:rsidP="00317567">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Konsumi privat parashikohet të jetë sërish nxitësi kryesor i rritjes së PBB-së, stimuluar kryesisht nga përmirësimi i besimit të konsumatorit, si dhe nga përmirësimi në tregun e punës. Këto të fundit priten të transmetohen në një rritje graduale të pagave të cilat më tej pritet të stimulojnë të ardhurat reale të disponueshme të individëve, duke krijuar efektin e raundit të dytë në nxitjen e konsumit, si dhe duke intensifikuar prirjen e konsumatorëve për financimin e mëtejshëm të konsumit nëpërmjet një kredi-marrje më të lartë.</w:t>
      </w:r>
    </w:p>
    <w:p w:rsidR="00317567" w:rsidRPr="00F60B38" w:rsidRDefault="00317567" w:rsidP="00317567">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Ndërkohë, kredimarrja për konsum parashikohet të nxitet edhe nga përmirësimi i pritshëm i kushteve financiare të individëve, ashtu edhe nga lehtësimi i pritshëm i standardeve të huadhënies nga sistemi bankar në periudhën afatmesme, pas kapërcimit të efektit negativ nga goditja e pandemisë.</w:t>
      </w:r>
    </w:p>
    <w:p w:rsidR="00B31CF7" w:rsidRPr="006F616E" w:rsidRDefault="00317567" w:rsidP="00317567">
      <w:pPr>
        <w:spacing w:after="120" w:line="276" w:lineRule="auto"/>
        <w:jc w:val="both"/>
        <w:rPr>
          <w:rFonts w:ascii="Calibri" w:hAnsi="Calibri"/>
          <w:noProof/>
          <w:lang w:val="sq-AL"/>
        </w:rPr>
      </w:pPr>
      <w:r w:rsidRPr="00F60B38">
        <w:rPr>
          <w:rFonts w:asciiTheme="minorHAnsi" w:hAnsiTheme="minorHAnsi" w:cstheme="minorHAnsi"/>
          <w:noProof/>
          <w:lang w:val="sq-AL"/>
        </w:rPr>
        <w:t>Në përputhje me parashikimet afatmesme të rritjes, punësimi pritet të rritet me një mesatare prej rreth 0.9 përqind në vit gjatë viteve 2023-2025. Shkalla më e lartë e pjesëmarrjes në forcat e punës do të jetë gjeneruesi kryesor i rritjes së ofertës së punës. Ndërsa rritja e kërkesës për punë pritet të reflektojë pothuajse të njëjtën strukturë të perspektivës së ofertës agregate të aktivitetit ekonomik. Rrjedhimisht, pritet që shërbimet të kontribuojnë më shumë në rritjen e kërkesës për punë në krahasim me sektorët e tjerë të ekonomisë. Krahas zgjerimit të pritshëm të punësimit në afatin e mesëm, pritet që edhe produktiviteti i përgjithshëm i punës të vijojë një përmirësim gradual gjatë kësaj periudhe</w:t>
      </w:r>
      <w:r w:rsidR="00B31CF7" w:rsidRPr="005C5B2F">
        <w:rPr>
          <w:rFonts w:ascii="Calibri" w:hAnsi="Calibri"/>
          <w:noProof/>
          <w:lang w:val="sq-AL"/>
        </w:rPr>
        <w:t>.</w:t>
      </w:r>
    </w:p>
    <w:p w:rsidR="00AB4E09" w:rsidRPr="00C12D8A" w:rsidRDefault="00AB4E09" w:rsidP="00B95810">
      <w:pPr>
        <w:pStyle w:val="Heading1"/>
        <w:numPr>
          <w:ilvl w:val="0"/>
          <w:numId w:val="1"/>
        </w:numPr>
        <w:spacing w:line="276" w:lineRule="auto"/>
        <w:ind w:left="720"/>
        <w:rPr>
          <w:sz w:val="32"/>
          <w:u w:val="none"/>
        </w:rPr>
      </w:pPr>
      <w:bookmarkStart w:id="7" w:name="_Toc107496983"/>
      <w:r w:rsidRPr="00C12D8A">
        <w:rPr>
          <w:sz w:val="32"/>
          <w:u w:val="none"/>
        </w:rPr>
        <w:lastRenderedPageBreak/>
        <w:t>POLITIKA FISKALE</w:t>
      </w:r>
      <w:bookmarkEnd w:id="7"/>
      <w:r w:rsidRPr="00C12D8A">
        <w:rPr>
          <w:sz w:val="32"/>
          <w:u w:val="none"/>
        </w:rPr>
        <w:t xml:space="preserve"> </w:t>
      </w:r>
    </w:p>
    <w:p w:rsidR="00AB4E09" w:rsidRPr="0065598A" w:rsidRDefault="005F249C" w:rsidP="002334F6">
      <w:pPr>
        <w:pStyle w:val="Heading2"/>
      </w:pPr>
      <w:bookmarkStart w:id="8" w:name="_Toc107496984"/>
      <w:r w:rsidRPr="0065598A">
        <w:t>II.1</w:t>
      </w:r>
      <w:r w:rsidRPr="0065598A">
        <w:tab/>
      </w:r>
      <w:r w:rsidR="0094558D" w:rsidRPr="0065598A">
        <w:t xml:space="preserve">Performanca </w:t>
      </w:r>
      <w:r w:rsidR="00AB4E09" w:rsidRPr="0065598A">
        <w:t xml:space="preserve">fiskale </w:t>
      </w:r>
      <w:r w:rsidR="00027D74">
        <w:t>për periudhën J</w:t>
      </w:r>
      <w:r w:rsidR="00E40045" w:rsidRPr="0065598A">
        <w:t>anar-</w:t>
      </w:r>
      <w:r w:rsidR="00027D74">
        <w:t>M</w:t>
      </w:r>
      <w:r w:rsidR="00E40045" w:rsidRPr="0065598A">
        <w:t>aj 20</w:t>
      </w:r>
      <w:r w:rsidR="00F720EE">
        <w:t>2</w:t>
      </w:r>
      <w:r w:rsidR="00565BEB">
        <w:t>2</w:t>
      </w:r>
      <w:bookmarkEnd w:id="8"/>
    </w:p>
    <w:p w:rsidR="0034657E" w:rsidRPr="00DD6D17" w:rsidRDefault="0034657E" w:rsidP="0034657E">
      <w:pPr>
        <w:spacing w:before="240" w:line="276" w:lineRule="auto"/>
        <w:jc w:val="both"/>
        <w:rPr>
          <w:rFonts w:asciiTheme="minorHAnsi" w:hAnsiTheme="minorHAnsi"/>
          <w:lang w:val="sq-AL"/>
        </w:rPr>
      </w:pPr>
      <w:r w:rsidRPr="004E355C">
        <w:rPr>
          <w:rFonts w:asciiTheme="minorHAnsi" w:eastAsiaTheme="minorEastAsia" w:hAnsiTheme="minorHAnsi" w:cstheme="minorHAnsi"/>
          <w:b/>
          <w:lang w:val="sq-AL"/>
        </w:rPr>
        <w:t>Të ardhurat nga “Tatime dhe Dogana”</w:t>
      </w:r>
      <w:r w:rsidRPr="004E355C">
        <w:rPr>
          <w:rFonts w:asciiTheme="minorHAnsi" w:eastAsiaTheme="minorEastAsia" w:hAnsiTheme="minorHAnsi" w:cstheme="minorHAnsi"/>
          <w:lang w:val="sq-AL"/>
        </w:rPr>
        <w:t xml:space="preserve"> </w:t>
      </w:r>
      <w:r w:rsidR="00FD3343" w:rsidRPr="004E355C">
        <w:rPr>
          <w:rFonts w:asciiTheme="minorHAnsi" w:eastAsiaTheme="minorEastAsia" w:hAnsiTheme="minorHAnsi" w:cstheme="minorHAnsi"/>
          <w:lang w:val="sq-AL"/>
        </w:rPr>
        <w:t>(përfshirë ko</w:t>
      </w:r>
      <w:r w:rsidR="00FD3343">
        <w:rPr>
          <w:rFonts w:asciiTheme="minorHAnsi" w:eastAsiaTheme="minorEastAsia" w:hAnsiTheme="minorHAnsi" w:cstheme="minorHAnsi"/>
          <w:lang w:val="sq-AL"/>
        </w:rPr>
        <w:t xml:space="preserve">ntributet e mbledhura nga DPT) </w:t>
      </w:r>
      <w:r w:rsidR="00FD3343" w:rsidRPr="004E355C">
        <w:rPr>
          <w:rFonts w:asciiTheme="minorHAnsi" w:eastAsiaTheme="minorEastAsia" w:hAnsiTheme="minorHAnsi" w:cstheme="minorHAnsi"/>
          <w:lang w:val="sq-AL"/>
        </w:rPr>
        <w:t>për 5 mujorin 20</w:t>
      </w:r>
      <w:r w:rsidR="00FD3343">
        <w:rPr>
          <w:rFonts w:asciiTheme="minorHAnsi" w:eastAsiaTheme="minorEastAsia" w:hAnsiTheme="minorHAnsi" w:cstheme="minorHAnsi"/>
          <w:lang w:val="sq-AL"/>
        </w:rPr>
        <w:t>22</w:t>
      </w:r>
      <w:r w:rsidR="00FD3343" w:rsidRPr="004E355C">
        <w:rPr>
          <w:rFonts w:asciiTheme="minorHAnsi" w:eastAsiaTheme="minorEastAsia" w:hAnsiTheme="minorHAnsi" w:cstheme="minorHAnsi"/>
          <w:lang w:val="sq-AL"/>
        </w:rPr>
        <w:t xml:space="preserve">, u realizuan në </w:t>
      </w:r>
      <w:r w:rsidR="00FD3343" w:rsidRPr="00492CB7">
        <w:rPr>
          <w:rFonts w:asciiTheme="minorHAnsi" w:eastAsiaTheme="minorEastAsia" w:hAnsiTheme="minorHAnsi" w:cstheme="minorHAnsi"/>
          <w:color w:val="000000" w:themeColor="text1"/>
          <w:lang w:val="sq-AL"/>
        </w:rPr>
        <w:t xml:space="preserve">vlerën </w:t>
      </w:r>
      <w:r w:rsidR="00FD3343">
        <w:rPr>
          <w:rFonts w:asciiTheme="minorHAnsi" w:eastAsiaTheme="minorEastAsia" w:hAnsiTheme="minorHAnsi" w:cstheme="minorHAnsi"/>
          <w:color w:val="000000" w:themeColor="text1"/>
          <w:lang w:val="sq-AL"/>
        </w:rPr>
        <w:t>204</w:t>
      </w:r>
      <w:r w:rsidR="00FD3343" w:rsidRPr="00492CB7">
        <w:rPr>
          <w:rFonts w:asciiTheme="minorHAnsi" w:eastAsiaTheme="minorEastAsia" w:hAnsiTheme="minorHAnsi" w:cstheme="minorHAnsi"/>
          <w:color w:val="000000" w:themeColor="text1"/>
          <w:lang w:val="sq-AL"/>
        </w:rPr>
        <w:t>.</w:t>
      </w:r>
      <w:r w:rsidR="00FD3343">
        <w:rPr>
          <w:rFonts w:asciiTheme="minorHAnsi" w:eastAsiaTheme="minorEastAsia" w:hAnsiTheme="minorHAnsi" w:cstheme="minorHAnsi"/>
          <w:color w:val="000000" w:themeColor="text1"/>
          <w:lang w:val="sq-AL"/>
        </w:rPr>
        <w:t>7</w:t>
      </w:r>
      <w:r w:rsidR="00FD3343" w:rsidRPr="00492CB7">
        <w:rPr>
          <w:rFonts w:asciiTheme="minorHAnsi" w:eastAsiaTheme="minorEastAsia" w:hAnsiTheme="minorHAnsi" w:cstheme="minorHAnsi"/>
          <w:color w:val="000000" w:themeColor="text1"/>
          <w:lang w:val="sq-AL"/>
        </w:rPr>
        <w:t xml:space="preserve"> miliardë lekë, </w:t>
      </w:r>
      <w:r w:rsidR="00FD3343">
        <w:rPr>
          <w:rFonts w:asciiTheme="minorHAnsi" w:eastAsiaTheme="minorEastAsia" w:hAnsiTheme="minorHAnsi" w:cstheme="minorHAnsi"/>
          <w:color w:val="000000" w:themeColor="text1"/>
          <w:lang w:val="sq-AL"/>
        </w:rPr>
        <w:t>22</w:t>
      </w:r>
      <w:r w:rsidR="00FD3343" w:rsidRPr="00492CB7">
        <w:rPr>
          <w:rFonts w:asciiTheme="minorHAnsi" w:eastAsiaTheme="minorEastAsia" w:hAnsiTheme="minorHAnsi" w:cstheme="minorHAnsi"/>
          <w:color w:val="000000" w:themeColor="text1"/>
          <w:lang w:val="sq-AL"/>
        </w:rPr>
        <w:t>.</w:t>
      </w:r>
      <w:r w:rsidR="00FD3343">
        <w:rPr>
          <w:rFonts w:asciiTheme="minorHAnsi" w:eastAsiaTheme="minorEastAsia" w:hAnsiTheme="minorHAnsi" w:cstheme="minorHAnsi"/>
          <w:color w:val="000000" w:themeColor="text1"/>
          <w:lang w:val="sq-AL"/>
        </w:rPr>
        <w:t>9</w:t>
      </w:r>
      <w:r w:rsidR="00FD3343" w:rsidRPr="00492CB7">
        <w:rPr>
          <w:rFonts w:asciiTheme="minorHAnsi" w:eastAsiaTheme="minorEastAsia" w:hAnsiTheme="minorHAnsi" w:cstheme="minorHAnsi"/>
          <w:color w:val="000000" w:themeColor="text1"/>
          <w:lang w:val="sq-AL"/>
        </w:rPr>
        <w:t xml:space="preserve">% ose </w:t>
      </w:r>
      <w:r w:rsidR="00FD3343">
        <w:rPr>
          <w:rFonts w:asciiTheme="minorHAnsi" w:eastAsiaTheme="minorEastAsia" w:hAnsiTheme="minorHAnsi" w:cstheme="minorHAnsi"/>
          <w:color w:val="000000" w:themeColor="text1"/>
          <w:lang w:val="sq-AL"/>
        </w:rPr>
        <w:t xml:space="preserve">38.1 </w:t>
      </w:r>
      <w:r w:rsidR="00FD3343" w:rsidRPr="00492CB7">
        <w:rPr>
          <w:rFonts w:asciiTheme="minorHAnsi" w:eastAsiaTheme="minorEastAsia" w:hAnsiTheme="minorHAnsi" w:cstheme="minorHAnsi"/>
          <w:color w:val="000000" w:themeColor="text1"/>
          <w:lang w:val="sq-AL"/>
        </w:rPr>
        <w:t>miliardë lekë më shum</w:t>
      </w:r>
      <w:r w:rsidR="00FD3343">
        <w:rPr>
          <w:rFonts w:asciiTheme="minorHAnsi" w:eastAsiaTheme="minorEastAsia" w:hAnsiTheme="minorHAnsi" w:cstheme="minorHAnsi"/>
          <w:color w:val="000000" w:themeColor="text1"/>
          <w:lang w:val="sq-AL"/>
        </w:rPr>
        <w:t>ë</w:t>
      </w:r>
      <w:r w:rsidR="00FD3343" w:rsidRPr="00492CB7">
        <w:rPr>
          <w:rFonts w:asciiTheme="minorHAnsi" w:eastAsiaTheme="minorEastAsia" w:hAnsiTheme="minorHAnsi" w:cstheme="minorHAnsi"/>
          <w:color w:val="000000" w:themeColor="text1"/>
          <w:lang w:val="sq-AL"/>
        </w:rPr>
        <w:t xml:space="preserve"> se 5 mujori i vitit 202</w:t>
      </w:r>
      <w:r w:rsidR="00FD3343">
        <w:rPr>
          <w:rFonts w:asciiTheme="minorHAnsi" w:eastAsiaTheme="minorEastAsia" w:hAnsiTheme="minorHAnsi" w:cstheme="minorHAnsi"/>
          <w:color w:val="000000" w:themeColor="text1"/>
          <w:lang w:val="sq-AL"/>
        </w:rPr>
        <w:t>1</w:t>
      </w:r>
      <w:r w:rsidR="00FD3343" w:rsidRPr="00492CB7">
        <w:rPr>
          <w:rFonts w:asciiTheme="minorHAnsi" w:eastAsiaTheme="minorEastAsia" w:hAnsiTheme="minorHAnsi" w:cstheme="minorHAnsi"/>
          <w:color w:val="000000" w:themeColor="text1"/>
          <w:lang w:val="sq-AL"/>
        </w:rPr>
        <w:t xml:space="preserve"> </w:t>
      </w:r>
      <w:r w:rsidR="00FD3343" w:rsidRPr="004E355C">
        <w:rPr>
          <w:rFonts w:asciiTheme="minorHAnsi" w:eastAsiaTheme="minorEastAsia" w:hAnsiTheme="minorHAnsi" w:cstheme="minorHAnsi"/>
          <w:lang w:val="sq-AL"/>
        </w:rPr>
        <w:t xml:space="preserve">me realizim kundrejt planit të periudhës në masën </w:t>
      </w:r>
      <w:r w:rsidR="00FD3343">
        <w:rPr>
          <w:rFonts w:asciiTheme="minorHAnsi" w:eastAsiaTheme="minorEastAsia" w:hAnsiTheme="minorHAnsi" w:cstheme="minorHAnsi"/>
          <w:color w:val="000000" w:themeColor="text1"/>
          <w:lang w:val="sq-AL"/>
        </w:rPr>
        <w:t>6</w:t>
      </w:r>
      <w:r w:rsidR="00FD3343" w:rsidRPr="00492CB7">
        <w:rPr>
          <w:rFonts w:asciiTheme="minorHAnsi" w:eastAsiaTheme="minorEastAsia" w:hAnsiTheme="minorHAnsi" w:cstheme="minorHAnsi"/>
          <w:color w:val="000000" w:themeColor="text1"/>
          <w:lang w:val="sq-AL"/>
        </w:rPr>
        <w:t>.</w:t>
      </w:r>
      <w:r w:rsidR="00FD3343">
        <w:rPr>
          <w:rFonts w:asciiTheme="minorHAnsi" w:eastAsiaTheme="minorEastAsia" w:hAnsiTheme="minorHAnsi" w:cstheme="minorHAnsi"/>
          <w:color w:val="000000" w:themeColor="text1"/>
          <w:lang w:val="sq-AL"/>
        </w:rPr>
        <w:t>4</w:t>
      </w:r>
      <w:r w:rsidR="00FD3343" w:rsidRPr="00492CB7">
        <w:rPr>
          <w:rFonts w:asciiTheme="minorHAnsi" w:eastAsiaTheme="minorEastAsia" w:hAnsiTheme="minorHAnsi" w:cstheme="minorHAnsi"/>
          <w:color w:val="000000" w:themeColor="text1"/>
          <w:lang w:val="sq-AL"/>
        </w:rPr>
        <w:t xml:space="preserve">% ose </w:t>
      </w:r>
      <w:r w:rsidR="00FD3343">
        <w:rPr>
          <w:rFonts w:asciiTheme="minorHAnsi" w:eastAsiaTheme="minorEastAsia" w:hAnsiTheme="minorHAnsi" w:cstheme="minorHAnsi"/>
          <w:color w:val="000000" w:themeColor="text1"/>
          <w:lang w:val="sq-AL"/>
        </w:rPr>
        <w:t>1</w:t>
      </w:r>
      <w:r w:rsidR="00FD3343" w:rsidRPr="00492CB7">
        <w:rPr>
          <w:rFonts w:asciiTheme="minorHAnsi" w:eastAsiaTheme="minorEastAsia" w:hAnsiTheme="minorHAnsi" w:cstheme="minorHAnsi"/>
          <w:color w:val="000000" w:themeColor="text1"/>
          <w:lang w:val="sq-AL"/>
        </w:rPr>
        <w:t>2.</w:t>
      </w:r>
      <w:r w:rsidR="00FD3343">
        <w:rPr>
          <w:rFonts w:asciiTheme="minorHAnsi" w:eastAsiaTheme="minorEastAsia" w:hAnsiTheme="minorHAnsi" w:cstheme="minorHAnsi"/>
          <w:color w:val="000000" w:themeColor="text1"/>
          <w:lang w:val="sq-AL"/>
        </w:rPr>
        <w:t>3</w:t>
      </w:r>
      <w:r w:rsidR="00FD3343" w:rsidRPr="00492CB7">
        <w:rPr>
          <w:rFonts w:asciiTheme="minorHAnsi" w:eastAsiaTheme="minorEastAsia" w:hAnsiTheme="minorHAnsi" w:cstheme="minorHAnsi"/>
          <w:color w:val="000000" w:themeColor="text1"/>
          <w:lang w:val="sq-AL"/>
        </w:rPr>
        <w:t xml:space="preserve"> miliardë lekë më shum</w:t>
      </w:r>
      <w:r w:rsidR="00FD3343">
        <w:rPr>
          <w:rFonts w:asciiTheme="minorHAnsi" w:eastAsiaTheme="minorEastAsia" w:hAnsiTheme="minorHAnsi" w:cstheme="minorHAnsi"/>
          <w:color w:val="000000" w:themeColor="text1"/>
          <w:lang w:val="sq-AL"/>
        </w:rPr>
        <w:t>ë</w:t>
      </w:r>
      <w:r w:rsidR="00FD3343" w:rsidRPr="00492CB7">
        <w:rPr>
          <w:rFonts w:asciiTheme="minorHAnsi" w:eastAsiaTheme="minorEastAsia" w:hAnsiTheme="minorHAnsi" w:cstheme="minorHAnsi"/>
          <w:color w:val="000000" w:themeColor="text1"/>
          <w:lang w:val="sq-AL"/>
        </w:rPr>
        <w:t xml:space="preserve"> </w:t>
      </w:r>
      <w:r w:rsidR="00FD3343">
        <w:rPr>
          <w:rFonts w:asciiTheme="minorHAnsi" w:eastAsiaTheme="minorEastAsia" w:hAnsiTheme="minorHAnsi" w:cstheme="minorHAnsi"/>
          <w:lang w:val="sq-AL"/>
        </w:rPr>
        <w:t>se plani 5 mujor për vitin 2022</w:t>
      </w:r>
      <w:r w:rsidR="00FD3343" w:rsidRPr="004E355C">
        <w:rPr>
          <w:rFonts w:asciiTheme="minorHAnsi" w:eastAsiaTheme="minorEastAsia" w:hAnsiTheme="minorHAnsi" w:cstheme="minorHAnsi"/>
          <w:lang w:val="sq-AL"/>
        </w:rPr>
        <w:t xml:space="preserve">. </w:t>
      </w:r>
      <w:r w:rsidR="00FD3343">
        <w:rPr>
          <w:rFonts w:asciiTheme="minorHAnsi" w:hAnsiTheme="minorHAnsi" w:cstheme="minorHAnsi"/>
          <w:noProof/>
          <w:lang w:val="sq-AL"/>
        </w:rPr>
        <w:t>Në këtë realizim kanë ndikuar faktorët të cilët do të shpjegohen në analizën specifike të secilit prej tatimeve</w:t>
      </w:r>
      <w:r>
        <w:rPr>
          <w:rFonts w:asciiTheme="minorHAnsi" w:hAnsiTheme="minorHAnsi" w:cstheme="minorHAnsi"/>
          <w:noProof/>
          <w:lang w:val="sq-AL"/>
        </w:rPr>
        <w:t>.</w:t>
      </w:r>
    </w:p>
    <w:p w:rsidR="0034657E" w:rsidRPr="0034657E" w:rsidRDefault="0034657E" w:rsidP="0034657E">
      <w:pPr>
        <w:spacing w:before="240" w:line="276" w:lineRule="auto"/>
        <w:jc w:val="both"/>
        <w:rPr>
          <w:rFonts w:asciiTheme="minorHAnsi" w:hAnsiTheme="minorHAnsi"/>
          <w:bCs/>
          <w:i/>
          <w:sz w:val="22"/>
          <w:lang w:val="sq-AL"/>
        </w:rPr>
      </w:pPr>
      <w:bookmarkStart w:id="9" w:name="_Toc107496737"/>
      <w:r w:rsidRPr="0034657E">
        <w:rPr>
          <w:rFonts w:asciiTheme="minorHAnsi" w:hAnsiTheme="minorHAnsi"/>
          <w:bCs/>
          <w:i/>
          <w:sz w:val="22"/>
          <w:lang w:val="sq-AL"/>
        </w:rPr>
        <w:t xml:space="preserve">Tabela </w:t>
      </w:r>
      <w:r w:rsidRPr="0034657E">
        <w:rPr>
          <w:rFonts w:asciiTheme="minorHAnsi" w:hAnsiTheme="minorHAnsi"/>
          <w:bCs/>
          <w:i/>
          <w:sz w:val="22"/>
          <w:lang w:val="sq-AL"/>
        </w:rPr>
        <w:fldChar w:fldCharType="begin"/>
      </w:r>
      <w:r w:rsidRPr="0034657E">
        <w:rPr>
          <w:rFonts w:asciiTheme="minorHAnsi" w:hAnsiTheme="minorHAnsi"/>
          <w:bCs/>
          <w:i/>
          <w:sz w:val="22"/>
          <w:lang w:val="sq-AL"/>
        </w:rPr>
        <w:instrText xml:space="preserve"> SEQ Tabela \* ARABIC </w:instrText>
      </w:r>
      <w:r w:rsidRPr="0034657E">
        <w:rPr>
          <w:rFonts w:asciiTheme="minorHAnsi" w:hAnsiTheme="minorHAnsi"/>
          <w:bCs/>
          <w:i/>
          <w:sz w:val="22"/>
          <w:lang w:val="sq-AL"/>
        </w:rPr>
        <w:fldChar w:fldCharType="separate"/>
      </w:r>
      <w:r w:rsidR="003B2B9B">
        <w:rPr>
          <w:rFonts w:asciiTheme="minorHAnsi" w:hAnsiTheme="minorHAnsi"/>
          <w:bCs/>
          <w:i/>
          <w:noProof/>
          <w:sz w:val="22"/>
          <w:lang w:val="sq-AL"/>
        </w:rPr>
        <w:t>1</w:t>
      </w:r>
      <w:r w:rsidRPr="0034657E">
        <w:rPr>
          <w:rFonts w:asciiTheme="minorHAnsi" w:hAnsiTheme="minorHAnsi"/>
          <w:bCs/>
          <w:i/>
          <w:sz w:val="22"/>
          <w:lang w:val="sq-AL"/>
        </w:rPr>
        <w:fldChar w:fldCharType="end"/>
      </w:r>
      <w:r w:rsidRPr="0034657E">
        <w:rPr>
          <w:rFonts w:asciiTheme="minorHAnsi" w:hAnsiTheme="minorHAnsi"/>
          <w:bCs/>
          <w:i/>
          <w:sz w:val="22"/>
          <w:lang w:val="sq-AL"/>
        </w:rPr>
        <w:t>: Të ardhurat Tatime &amp; Dogana për periudhën Janar – Maj 202</w:t>
      </w:r>
      <w:r w:rsidR="00FD3343">
        <w:rPr>
          <w:rFonts w:asciiTheme="minorHAnsi" w:hAnsiTheme="minorHAnsi"/>
          <w:bCs/>
          <w:i/>
          <w:sz w:val="22"/>
          <w:lang w:val="sq-AL"/>
        </w:rPr>
        <w:t>2</w:t>
      </w:r>
      <w:r w:rsidRPr="0034657E">
        <w:rPr>
          <w:rFonts w:asciiTheme="minorHAnsi" w:hAnsiTheme="minorHAnsi"/>
          <w:bCs/>
          <w:i/>
          <w:sz w:val="22"/>
          <w:lang w:val="sq-AL"/>
        </w:rPr>
        <w:t xml:space="preserve"> (në milionë lekë)</w:t>
      </w:r>
      <w:bookmarkEnd w:id="9"/>
    </w:p>
    <w:tbl>
      <w:tblPr>
        <w:tblW w:w="10365" w:type="dxa"/>
        <w:jc w:val="center"/>
        <w:tblLook w:val="04A0" w:firstRow="1" w:lastRow="0" w:firstColumn="1" w:lastColumn="0" w:noHBand="0" w:noVBand="1"/>
      </w:tblPr>
      <w:tblGrid>
        <w:gridCol w:w="2448"/>
        <w:gridCol w:w="910"/>
        <w:gridCol w:w="1183"/>
        <w:gridCol w:w="1092"/>
        <w:gridCol w:w="1092"/>
        <w:gridCol w:w="1274"/>
        <w:gridCol w:w="1001"/>
        <w:gridCol w:w="1365"/>
      </w:tblGrid>
      <w:tr w:rsidR="00FD3343" w:rsidTr="00FD3343">
        <w:trPr>
          <w:trHeight w:val="387"/>
          <w:jc w:val="center"/>
        </w:trPr>
        <w:tc>
          <w:tcPr>
            <w:tcW w:w="2448" w:type="dxa"/>
            <w:vMerge w:val="restart"/>
            <w:tcBorders>
              <w:top w:val="single" w:sz="8" w:space="0" w:color="4BACC6"/>
              <w:left w:val="single" w:sz="8" w:space="0" w:color="4BACC6"/>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Lloji i taksave</w:t>
            </w:r>
          </w:p>
        </w:tc>
        <w:tc>
          <w:tcPr>
            <w:tcW w:w="910" w:type="dxa"/>
            <w:vMerge w:val="restart"/>
            <w:tcBorders>
              <w:top w:val="single" w:sz="8" w:space="0" w:color="4BACC6"/>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 xml:space="preserve">Fakt </w:t>
            </w:r>
          </w:p>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5 mujor 2021</w:t>
            </w:r>
          </w:p>
        </w:tc>
        <w:tc>
          <w:tcPr>
            <w:tcW w:w="1183" w:type="dxa"/>
            <w:tcBorders>
              <w:top w:val="single" w:sz="8" w:space="0" w:color="4BACC6"/>
              <w:left w:val="nil"/>
              <w:bottom w:val="nil"/>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 xml:space="preserve"> Fakt 5 mujor </w:t>
            </w:r>
          </w:p>
        </w:tc>
        <w:tc>
          <w:tcPr>
            <w:tcW w:w="1092" w:type="dxa"/>
            <w:tcBorders>
              <w:top w:val="single" w:sz="8" w:space="0" w:color="4BACC6"/>
              <w:left w:val="nil"/>
              <w:bottom w:val="nil"/>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Plan 5 mujor  AN3</w:t>
            </w:r>
          </w:p>
        </w:tc>
        <w:tc>
          <w:tcPr>
            <w:tcW w:w="1092" w:type="dxa"/>
            <w:vMerge w:val="restart"/>
            <w:tcBorders>
              <w:top w:val="single" w:sz="8" w:space="0" w:color="4BACC6"/>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Diferenca 2022/2021</w:t>
            </w:r>
          </w:p>
        </w:tc>
        <w:tc>
          <w:tcPr>
            <w:tcW w:w="1274" w:type="dxa"/>
            <w:vMerge w:val="restart"/>
            <w:tcBorders>
              <w:top w:val="single" w:sz="8" w:space="0" w:color="4BACC6"/>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Ndryshimi në % 2021/2020</w:t>
            </w:r>
          </w:p>
        </w:tc>
        <w:tc>
          <w:tcPr>
            <w:tcW w:w="1001" w:type="dxa"/>
            <w:vMerge w:val="restart"/>
            <w:tcBorders>
              <w:top w:val="single" w:sz="8" w:space="0" w:color="4BACC6"/>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 xml:space="preserve">Diferenca </w:t>
            </w:r>
          </w:p>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Fakt/ Plan 2022</w:t>
            </w:r>
          </w:p>
        </w:tc>
        <w:tc>
          <w:tcPr>
            <w:tcW w:w="1365" w:type="dxa"/>
            <w:vMerge w:val="restart"/>
            <w:tcBorders>
              <w:top w:val="single" w:sz="8" w:space="0" w:color="4BACC6"/>
              <w:left w:val="nil"/>
              <w:bottom w:val="single" w:sz="8" w:space="0" w:color="4BACC6"/>
              <w:right w:val="single" w:sz="8" w:space="0" w:color="4BACC6"/>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Ndryshimi në %  Fakt/Plan 2022</w:t>
            </w:r>
          </w:p>
        </w:tc>
      </w:tr>
      <w:tr w:rsidR="00FD3343" w:rsidTr="00FD3343">
        <w:trPr>
          <w:trHeight w:val="208"/>
          <w:jc w:val="center"/>
        </w:trPr>
        <w:tc>
          <w:tcPr>
            <w:tcW w:w="2448" w:type="dxa"/>
            <w:vMerge/>
            <w:tcBorders>
              <w:top w:val="single" w:sz="8" w:space="0" w:color="4BACC6"/>
              <w:left w:val="single" w:sz="8" w:space="0" w:color="4BACC6"/>
              <w:bottom w:val="single" w:sz="8" w:space="0" w:color="4BACC6"/>
              <w:right w:val="nil"/>
            </w:tcBorders>
            <w:vAlign w:val="center"/>
            <w:hideMark/>
          </w:tcPr>
          <w:p w:rsidR="00FD3343" w:rsidRDefault="00FD3343" w:rsidP="00FD3343">
            <w:pPr>
              <w:rPr>
                <w:rFonts w:ascii="Calibri" w:hAnsi="Calibri" w:cs="Calibri"/>
                <w:b/>
                <w:bCs/>
                <w:color w:val="FFFFFF"/>
                <w:sz w:val="16"/>
                <w:szCs w:val="16"/>
              </w:rPr>
            </w:pPr>
          </w:p>
        </w:tc>
        <w:tc>
          <w:tcPr>
            <w:tcW w:w="910" w:type="dxa"/>
            <w:vMerge/>
            <w:tcBorders>
              <w:top w:val="single" w:sz="8" w:space="0" w:color="4BACC6"/>
              <w:left w:val="nil"/>
              <w:bottom w:val="single" w:sz="8" w:space="0" w:color="4BACC6"/>
              <w:right w:val="nil"/>
            </w:tcBorders>
            <w:vAlign w:val="center"/>
            <w:hideMark/>
          </w:tcPr>
          <w:p w:rsidR="00FD3343" w:rsidRDefault="00FD3343" w:rsidP="00FD3343">
            <w:pPr>
              <w:rPr>
                <w:rFonts w:ascii="Calibri" w:hAnsi="Calibri" w:cs="Calibri"/>
                <w:b/>
                <w:bCs/>
                <w:color w:val="FFFFFF"/>
                <w:sz w:val="16"/>
                <w:szCs w:val="16"/>
              </w:rPr>
            </w:pPr>
          </w:p>
        </w:tc>
        <w:tc>
          <w:tcPr>
            <w:tcW w:w="1183" w:type="dxa"/>
            <w:tcBorders>
              <w:top w:val="nil"/>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2022</w:t>
            </w:r>
          </w:p>
        </w:tc>
        <w:tc>
          <w:tcPr>
            <w:tcW w:w="1092" w:type="dxa"/>
            <w:tcBorders>
              <w:top w:val="nil"/>
              <w:left w:val="nil"/>
              <w:bottom w:val="single" w:sz="8" w:space="0" w:color="4BACC6"/>
              <w:right w:val="nil"/>
            </w:tcBorders>
            <w:shd w:val="clear" w:color="000000" w:fill="4BACC6"/>
            <w:vAlign w:val="center"/>
            <w:hideMark/>
          </w:tcPr>
          <w:p w:rsidR="00FD3343" w:rsidRDefault="00FD3343" w:rsidP="00FD3343">
            <w:pPr>
              <w:jc w:val="center"/>
              <w:rPr>
                <w:rFonts w:ascii="Calibri" w:hAnsi="Calibri" w:cs="Calibri"/>
                <w:b/>
                <w:bCs/>
                <w:color w:val="FFFFFF"/>
                <w:sz w:val="16"/>
                <w:szCs w:val="16"/>
              </w:rPr>
            </w:pPr>
            <w:r>
              <w:rPr>
                <w:rFonts w:ascii="Calibri" w:hAnsi="Calibri" w:cs="Calibri"/>
                <w:b/>
                <w:bCs/>
                <w:color w:val="FFFFFF"/>
                <w:sz w:val="16"/>
                <w:szCs w:val="16"/>
              </w:rPr>
              <w:t>2022</w:t>
            </w:r>
          </w:p>
        </w:tc>
        <w:tc>
          <w:tcPr>
            <w:tcW w:w="1092" w:type="dxa"/>
            <w:vMerge/>
            <w:tcBorders>
              <w:top w:val="single" w:sz="8" w:space="0" w:color="4BACC6"/>
              <w:left w:val="nil"/>
              <w:bottom w:val="single" w:sz="8" w:space="0" w:color="4BACC6"/>
              <w:right w:val="nil"/>
            </w:tcBorders>
            <w:vAlign w:val="center"/>
            <w:hideMark/>
          </w:tcPr>
          <w:p w:rsidR="00FD3343" w:rsidRDefault="00FD3343" w:rsidP="00FD3343">
            <w:pPr>
              <w:rPr>
                <w:rFonts w:ascii="Calibri" w:hAnsi="Calibri" w:cs="Calibri"/>
                <w:b/>
                <w:bCs/>
                <w:color w:val="FFFFFF"/>
                <w:sz w:val="16"/>
                <w:szCs w:val="16"/>
              </w:rPr>
            </w:pPr>
          </w:p>
        </w:tc>
        <w:tc>
          <w:tcPr>
            <w:tcW w:w="1274" w:type="dxa"/>
            <w:vMerge/>
            <w:tcBorders>
              <w:top w:val="single" w:sz="8" w:space="0" w:color="4BACC6"/>
              <w:left w:val="nil"/>
              <w:bottom w:val="single" w:sz="8" w:space="0" w:color="4BACC6"/>
              <w:right w:val="nil"/>
            </w:tcBorders>
            <w:vAlign w:val="center"/>
            <w:hideMark/>
          </w:tcPr>
          <w:p w:rsidR="00FD3343" w:rsidRDefault="00FD3343" w:rsidP="00FD3343">
            <w:pPr>
              <w:rPr>
                <w:rFonts w:ascii="Calibri" w:hAnsi="Calibri" w:cs="Calibri"/>
                <w:b/>
                <w:bCs/>
                <w:color w:val="FFFFFF"/>
                <w:sz w:val="16"/>
                <w:szCs w:val="16"/>
              </w:rPr>
            </w:pPr>
          </w:p>
        </w:tc>
        <w:tc>
          <w:tcPr>
            <w:tcW w:w="1001" w:type="dxa"/>
            <w:vMerge/>
            <w:tcBorders>
              <w:top w:val="single" w:sz="8" w:space="0" w:color="4BACC6"/>
              <w:left w:val="nil"/>
              <w:bottom w:val="single" w:sz="8" w:space="0" w:color="4BACC6"/>
              <w:right w:val="nil"/>
            </w:tcBorders>
            <w:vAlign w:val="center"/>
            <w:hideMark/>
          </w:tcPr>
          <w:p w:rsidR="00FD3343" w:rsidRDefault="00FD3343" w:rsidP="00FD3343">
            <w:pPr>
              <w:rPr>
                <w:rFonts w:ascii="Calibri" w:hAnsi="Calibri" w:cs="Calibri"/>
                <w:b/>
                <w:bCs/>
                <w:color w:val="FFFFFF"/>
                <w:sz w:val="16"/>
                <w:szCs w:val="16"/>
              </w:rPr>
            </w:pPr>
          </w:p>
        </w:tc>
        <w:tc>
          <w:tcPr>
            <w:tcW w:w="1365" w:type="dxa"/>
            <w:vMerge/>
            <w:tcBorders>
              <w:top w:val="single" w:sz="8" w:space="0" w:color="4BACC6"/>
              <w:left w:val="nil"/>
              <w:bottom w:val="single" w:sz="8" w:space="0" w:color="4BACC6"/>
              <w:right w:val="single" w:sz="8" w:space="0" w:color="4BACC6"/>
            </w:tcBorders>
            <w:vAlign w:val="center"/>
            <w:hideMark/>
          </w:tcPr>
          <w:p w:rsidR="00FD3343" w:rsidRDefault="00FD3343" w:rsidP="00FD3343">
            <w:pPr>
              <w:rPr>
                <w:rFonts w:ascii="Calibri" w:hAnsi="Calibri" w:cs="Calibri"/>
                <w:b/>
                <w:bCs/>
                <w:color w:val="FFFFFF"/>
                <w:sz w:val="16"/>
                <w:szCs w:val="16"/>
              </w:rPr>
            </w:pPr>
          </w:p>
        </w:tc>
      </w:tr>
      <w:tr w:rsidR="00FD3343" w:rsidTr="00FD3343">
        <w:trPr>
          <w:trHeight w:val="208"/>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TVSH TOTAL</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55,237</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75,943</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71,877</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20,706</w:t>
            </w:r>
          </w:p>
        </w:tc>
        <w:tc>
          <w:tcPr>
            <w:tcW w:w="1274"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37.5%</w:t>
            </w:r>
          </w:p>
        </w:tc>
        <w:tc>
          <w:tcPr>
            <w:tcW w:w="1001"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4,066</w:t>
            </w:r>
          </w:p>
        </w:tc>
        <w:tc>
          <w:tcPr>
            <w:tcW w:w="1365" w:type="dxa"/>
            <w:tcBorders>
              <w:top w:val="nil"/>
              <w:left w:val="nil"/>
              <w:bottom w:val="nil"/>
              <w:right w:val="single" w:sz="8" w:space="0" w:color="4BACC6"/>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105.7%</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i/>
                <w:iCs/>
                <w:color w:val="000000"/>
                <w:sz w:val="16"/>
                <w:szCs w:val="16"/>
              </w:rPr>
            </w:pPr>
            <w:r>
              <w:rPr>
                <w:rFonts w:ascii="Calibri" w:hAnsi="Calibri" w:cs="Calibri"/>
                <w:b/>
                <w:bCs/>
                <w:i/>
                <w:iCs/>
                <w:color w:val="000000"/>
                <w:sz w:val="16"/>
                <w:szCs w:val="16"/>
              </w:rPr>
              <w:t xml:space="preserve">Tvsh në import </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45,787</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59,300</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55,553</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13,513</w:t>
            </w:r>
          </w:p>
        </w:tc>
        <w:tc>
          <w:tcPr>
            <w:tcW w:w="1274"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29.5%</w:t>
            </w:r>
          </w:p>
        </w:tc>
        <w:tc>
          <w:tcPr>
            <w:tcW w:w="1001"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3,747</w:t>
            </w:r>
          </w:p>
        </w:tc>
        <w:tc>
          <w:tcPr>
            <w:tcW w:w="1365" w:type="dxa"/>
            <w:tcBorders>
              <w:top w:val="single" w:sz="8" w:space="0" w:color="4BACC6"/>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106.7%</w:t>
            </w:r>
          </w:p>
        </w:tc>
      </w:tr>
      <w:tr w:rsidR="00FD3343" w:rsidTr="00FD3343">
        <w:trPr>
          <w:trHeight w:val="208"/>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i/>
                <w:iCs/>
                <w:color w:val="000000"/>
                <w:sz w:val="16"/>
                <w:szCs w:val="16"/>
              </w:rPr>
            </w:pPr>
            <w:r>
              <w:rPr>
                <w:rFonts w:ascii="Calibri" w:hAnsi="Calibri" w:cs="Calibri"/>
                <w:b/>
                <w:bCs/>
                <w:i/>
                <w:iCs/>
                <w:color w:val="000000"/>
                <w:sz w:val="16"/>
                <w:szCs w:val="16"/>
              </w:rPr>
              <w:t>Tvsh brenda vendit</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9,450</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16,644</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16,324</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7,194</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76.1%</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320</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102.0%</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Rimbursim TVSH</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12,349</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5,580</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7,043</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-6,770</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-54.8%</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-1,463</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79.2%</w:t>
            </w:r>
          </w:p>
        </w:tc>
      </w:tr>
      <w:tr w:rsidR="00FD3343" w:rsidTr="00FD3343">
        <w:trPr>
          <w:trHeight w:val="208"/>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Tatimi mbi fitimin</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15,134</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20,765</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14,973</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5,631</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37.2%</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5,792</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138.7%</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 xml:space="preserve">Akciza </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18,293</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19,476</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21,130</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1,183</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6.5%</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-1,654</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92.2%</w:t>
            </w:r>
          </w:p>
        </w:tc>
      </w:tr>
      <w:tr w:rsidR="00FD3343" w:rsidTr="00FD3343">
        <w:trPr>
          <w:trHeight w:val="307"/>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Tatimi mbi të ardhurat personale</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16,004</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18,264</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18,127</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2,260</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14.1%</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137</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100.8%</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Taksa Nacional dhe të tjera</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15,875</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19,295</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17,414</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3,420</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21.5%</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1,881</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110.8%</w:t>
            </w:r>
          </w:p>
        </w:tc>
      </w:tr>
      <w:tr w:rsidR="00FD3343" w:rsidTr="00FD3343">
        <w:trPr>
          <w:trHeight w:val="208"/>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i/>
                <w:iCs/>
                <w:color w:val="000000"/>
                <w:sz w:val="16"/>
                <w:szCs w:val="16"/>
              </w:rPr>
            </w:pPr>
            <w:r>
              <w:rPr>
                <w:rFonts w:ascii="Calibri" w:hAnsi="Calibri" w:cs="Calibri"/>
                <w:b/>
                <w:bCs/>
                <w:i/>
                <w:iCs/>
                <w:color w:val="000000"/>
                <w:sz w:val="16"/>
                <w:szCs w:val="16"/>
              </w:rPr>
              <w:t>Taksat nacionale</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14,820</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17,409</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16,170</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2,589</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17.5%</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1,239</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107.7%</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i/>
                <w:iCs/>
                <w:color w:val="000000"/>
                <w:sz w:val="16"/>
                <w:szCs w:val="16"/>
              </w:rPr>
            </w:pPr>
            <w:r>
              <w:rPr>
                <w:rFonts w:ascii="Calibri" w:hAnsi="Calibri" w:cs="Calibri"/>
                <w:b/>
                <w:bCs/>
                <w:i/>
                <w:iCs/>
                <w:color w:val="000000"/>
                <w:sz w:val="16"/>
                <w:szCs w:val="16"/>
              </w:rPr>
              <w:t>Renta Minerare</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1055</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1,886</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1,244</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831</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78.7%</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642</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151.6%</w:t>
            </w:r>
          </w:p>
        </w:tc>
      </w:tr>
      <w:tr w:rsidR="00FD3343" w:rsidTr="00FD3343">
        <w:trPr>
          <w:trHeight w:val="208"/>
          <w:jc w:val="center"/>
        </w:trPr>
        <w:tc>
          <w:tcPr>
            <w:tcW w:w="2448" w:type="dxa"/>
            <w:tcBorders>
              <w:top w:val="nil"/>
              <w:left w:val="single" w:sz="8" w:space="0" w:color="4BACC6"/>
              <w:bottom w:val="nil"/>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Taksë Doganore</w:t>
            </w:r>
          </w:p>
        </w:tc>
        <w:tc>
          <w:tcPr>
            <w:tcW w:w="910"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2,675</w:t>
            </w:r>
          </w:p>
        </w:tc>
        <w:tc>
          <w:tcPr>
            <w:tcW w:w="1183"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3,128</w:t>
            </w:r>
          </w:p>
        </w:tc>
        <w:tc>
          <w:tcPr>
            <w:tcW w:w="1092" w:type="dxa"/>
            <w:tcBorders>
              <w:top w:val="nil"/>
              <w:left w:val="nil"/>
              <w:bottom w:val="nil"/>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2,414</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453</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16.9%</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714</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129.6%</w:t>
            </w:r>
          </w:p>
        </w:tc>
      </w:tr>
      <w:tr w:rsidR="00FD3343" w:rsidTr="00FD3343">
        <w:trPr>
          <w:trHeight w:val="208"/>
          <w:jc w:val="center"/>
        </w:trPr>
        <w:tc>
          <w:tcPr>
            <w:tcW w:w="2448" w:type="dxa"/>
            <w:tcBorders>
              <w:top w:val="single" w:sz="8" w:space="0" w:color="4BACC6"/>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 xml:space="preserve">TOTALI TATIME + DOGANA </w:t>
            </w:r>
          </w:p>
        </w:tc>
        <w:tc>
          <w:tcPr>
            <w:tcW w:w="910"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123,218</w:t>
            </w:r>
          </w:p>
        </w:tc>
        <w:tc>
          <w:tcPr>
            <w:tcW w:w="1183"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156,871</w:t>
            </w:r>
          </w:p>
        </w:tc>
        <w:tc>
          <w:tcPr>
            <w:tcW w:w="1092" w:type="dxa"/>
            <w:tcBorders>
              <w:top w:val="single" w:sz="8" w:space="0" w:color="4BACC6"/>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145,935</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33,653</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27.3%</w:t>
            </w:r>
          </w:p>
        </w:tc>
        <w:tc>
          <w:tcPr>
            <w:tcW w:w="1001"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10,936</w:t>
            </w:r>
          </w:p>
        </w:tc>
        <w:tc>
          <w:tcPr>
            <w:tcW w:w="1365" w:type="dxa"/>
            <w:tcBorders>
              <w:top w:val="nil"/>
              <w:left w:val="nil"/>
              <w:bottom w:val="single" w:sz="8" w:space="0" w:color="4BACC6"/>
              <w:right w:val="single" w:sz="8" w:space="0" w:color="4BACC6"/>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107.5%</w:t>
            </w:r>
          </w:p>
        </w:tc>
      </w:tr>
      <w:tr w:rsidR="00FD3343" w:rsidTr="00FD3343">
        <w:trPr>
          <w:trHeight w:val="307"/>
          <w:jc w:val="center"/>
        </w:trPr>
        <w:tc>
          <w:tcPr>
            <w:tcW w:w="2448" w:type="dxa"/>
            <w:tcBorders>
              <w:top w:val="nil"/>
              <w:left w:val="single" w:sz="8" w:space="0" w:color="4BACC6"/>
              <w:bottom w:val="single" w:sz="8" w:space="0" w:color="auto"/>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Kontributet e mbledhura (DPT)</w:t>
            </w:r>
          </w:p>
        </w:tc>
        <w:tc>
          <w:tcPr>
            <w:tcW w:w="910" w:type="dxa"/>
            <w:tcBorders>
              <w:top w:val="nil"/>
              <w:left w:val="nil"/>
              <w:bottom w:val="single" w:sz="8" w:space="0" w:color="auto"/>
              <w:right w:val="nil"/>
            </w:tcBorders>
            <w:shd w:val="clear" w:color="auto" w:fill="auto"/>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43,406</w:t>
            </w:r>
          </w:p>
        </w:tc>
        <w:tc>
          <w:tcPr>
            <w:tcW w:w="1183" w:type="dxa"/>
            <w:tcBorders>
              <w:top w:val="nil"/>
              <w:left w:val="nil"/>
              <w:bottom w:val="single" w:sz="8" w:space="0" w:color="auto"/>
              <w:right w:val="nil"/>
            </w:tcBorders>
            <w:shd w:val="clear" w:color="auto" w:fill="auto"/>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47,843</w:t>
            </w:r>
          </w:p>
        </w:tc>
        <w:tc>
          <w:tcPr>
            <w:tcW w:w="1092" w:type="dxa"/>
            <w:tcBorders>
              <w:top w:val="nil"/>
              <w:left w:val="nil"/>
              <w:bottom w:val="single" w:sz="8" w:space="0" w:color="auto"/>
              <w:right w:val="nil"/>
            </w:tcBorders>
            <w:shd w:val="clear" w:color="auto" w:fill="auto"/>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46,443</w:t>
            </w:r>
          </w:p>
        </w:tc>
        <w:tc>
          <w:tcPr>
            <w:tcW w:w="1092" w:type="dxa"/>
            <w:tcBorders>
              <w:top w:val="nil"/>
              <w:left w:val="nil"/>
              <w:bottom w:val="single" w:sz="8" w:space="0" w:color="auto"/>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4,437</w:t>
            </w:r>
          </w:p>
        </w:tc>
        <w:tc>
          <w:tcPr>
            <w:tcW w:w="1274" w:type="dxa"/>
            <w:tcBorders>
              <w:top w:val="nil"/>
              <w:left w:val="nil"/>
              <w:bottom w:val="single" w:sz="8" w:space="0" w:color="auto"/>
              <w:right w:val="nil"/>
            </w:tcBorders>
            <w:shd w:val="clear" w:color="000000" w:fill="FFFFFF"/>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10.2%</w:t>
            </w:r>
          </w:p>
        </w:tc>
        <w:tc>
          <w:tcPr>
            <w:tcW w:w="1001" w:type="dxa"/>
            <w:tcBorders>
              <w:top w:val="nil"/>
              <w:left w:val="nil"/>
              <w:bottom w:val="single" w:sz="8" w:space="0" w:color="auto"/>
              <w:right w:val="nil"/>
            </w:tcBorders>
            <w:shd w:val="clear" w:color="auto" w:fill="auto"/>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1,401</w:t>
            </w:r>
          </w:p>
        </w:tc>
        <w:tc>
          <w:tcPr>
            <w:tcW w:w="1365" w:type="dxa"/>
            <w:tcBorders>
              <w:top w:val="nil"/>
              <w:left w:val="nil"/>
              <w:bottom w:val="single" w:sz="8" w:space="0" w:color="auto"/>
              <w:right w:val="single" w:sz="8" w:space="0" w:color="4BACC6"/>
            </w:tcBorders>
            <w:shd w:val="clear" w:color="auto" w:fill="auto"/>
            <w:vAlign w:val="center"/>
            <w:hideMark/>
          </w:tcPr>
          <w:p w:rsidR="00FD3343" w:rsidRDefault="00FD3343" w:rsidP="00FD3343">
            <w:pPr>
              <w:jc w:val="right"/>
              <w:rPr>
                <w:rFonts w:ascii="Calibri" w:hAnsi="Calibri" w:cs="Calibri"/>
                <w:color w:val="000000"/>
                <w:sz w:val="16"/>
                <w:szCs w:val="16"/>
              </w:rPr>
            </w:pPr>
            <w:r>
              <w:rPr>
                <w:rFonts w:ascii="Calibri" w:hAnsi="Calibri" w:cs="Calibri"/>
                <w:color w:val="000000"/>
                <w:sz w:val="16"/>
                <w:szCs w:val="16"/>
              </w:rPr>
              <w:t>103.0%</w:t>
            </w:r>
          </w:p>
        </w:tc>
      </w:tr>
      <w:tr w:rsidR="00FD3343" w:rsidTr="00FD3343">
        <w:trPr>
          <w:trHeight w:val="307"/>
          <w:jc w:val="center"/>
        </w:trPr>
        <w:tc>
          <w:tcPr>
            <w:tcW w:w="2448" w:type="dxa"/>
            <w:tcBorders>
              <w:top w:val="nil"/>
              <w:left w:val="single" w:sz="8" w:space="0" w:color="4BACC6"/>
              <w:bottom w:val="single" w:sz="8" w:space="0" w:color="4BACC6"/>
              <w:right w:val="nil"/>
            </w:tcBorders>
            <w:shd w:val="clear" w:color="000000" w:fill="FFFFFF"/>
            <w:vAlign w:val="center"/>
            <w:hideMark/>
          </w:tcPr>
          <w:p w:rsidR="00FD3343" w:rsidRDefault="00FD3343" w:rsidP="00FD3343">
            <w:pPr>
              <w:rPr>
                <w:rFonts w:ascii="Calibri" w:hAnsi="Calibri" w:cs="Calibri"/>
                <w:b/>
                <w:bCs/>
                <w:color w:val="000000"/>
                <w:sz w:val="16"/>
                <w:szCs w:val="16"/>
              </w:rPr>
            </w:pPr>
            <w:r>
              <w:rPr>
                <w:rFonts w:ascii="Calibri" w:hAnsi="Calibri" w:cs="Calibri"/>
                <w:b/>
                <w:bCs/>
                <w:color w:val="000000"/>
                <w:sz w:val="16"/>
                <w:szCs w:val="16"/>
              </w:rPr>
              <w:t>TOTALI TATIME + DOGANA (përfshirë kontributet)</w:t>
            </w:r>
          </w:p>
        </w:tc>
        <w:tc>
          <w:tcPr>
            <w:tcW w:w="910"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166,624</w:t>
            </w:r>
          </w:p>
        </w:tc>
        <w:tc>
          <w:tcPr>
            <w:tcW w:w="1183"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204,715</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192,378</w:t>
            </w:r>
          </w:p>
        </w:tc>
        <w:tc>
          <w:tcPr>
            <w:tcW w:w="1092"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38,090</w:t>
            </w:r>
          </w:p>
        </w:tc>
        <w:tc>
          <w:tcPr>
            <w:tcW w:w="1274" w:type="dxa"/>
            <w:tcBorders>
              <w:top w:val="nil"/>
              <w:left w:val="nil"/>
              <w:bottom w:val="single" w:sz="8" w:space="0" w:color="4BACC6"/>
              <w:right w:val="nil"/>
            </w:tcBorders>
            <w:shd w:val="clear" w:color="000000" w:fill="FFFFFF"/>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22.9%</w:t>
            </w:r>
          </w:p>
        </w:tc>
        <w:tc>
          <w:tcPr>
            <w:tcW w:w="1001" w:type="dxa"/>
            <w:tcBorders>
              <w:top w:val="nil"/>
              <w:left w:val="nil"/>
              <w:bottom w:val="single" w:sz="8" w:space="0" w:color="4BACC6"/>
              <w:right w:val="nil"/>
            </w:tcBorders>
            <w:shd w:val="clear" w:color="auto" w:fill="auto"/>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12,337</w:t>
            </w:r>
          </w:p>
        </w:tc>
        <w:tc>
          <w:tcPr>
            <w:tcW w:w="1365" w:type="dxa"/>
            <w:tcBorders>
              <w:top w:val="nil"/>
              <w:left w:val="nil"/>
              <w:bottom w:val="single" w:sz="8" w:space="0" w:color="4BACC6"/>
              <w:right w:val="single" w:sz="8" w:space="0" w:color="4BACC6"/>
            </w:tcBorders>
            <w:shd w:val="clear" w:color="auto" w:fill="auto"/>
            <w:vAlign w:val="center"/>
            <w:hideMark/>
          </w:tcPr>
          <w:p w:rsidR="00FD3343" w:rsidRDefault="00FD3343" w:rsidP="00FD3343">
            <w:pPr>
              <w:jc w:val="right"/>
              <w:rPr>
                <w:rFonts w:ascii="Calibri" w:hAnsi="Calibri" w:cs="Calibri"/>
                <w:b/>
                <w:bCs/>
                <w:color w:val="000000"/>
                <w:sz w:val="16"/>
                <w:szCs w:val="16"/>
              </w:rPr>
            </w:pPr>
            <w:r>
              <w:rPr>
                <w:rFonts w:ascii="Calibri" w:hAnsi="Calibri" w:cs="Calibri"/>
                <w:b/>
                <w:bCs/>
                <w:color w:val="000000"/>
                <w:sz w:val="16"/>
                <w:szCs w:val="16"/>
              </w:rPr>
              <w:t>106.4%</w:t>
            </w:r>
          </w:p>
        </w:tc>
      </w:tr>
    </w:tbl>
    <w:p w:rsidR="0034657E" w:rsidRPr="004E355C" w:rsidRDefault="00FD3343" w:rsidP="0034657E">
      <w:pPr>
        <w:tabs>
          <w:tab w:val="left" w:pos="2511"/>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(2022)</w:t>
      </w:r>
    </w:p>
    <w:p w:rsidR="00FD3343" w:rsidRPr="00FD3343" w:rsidRDefault="00FD3343" w:rsidP="00FD3343">
      <w:pPr>
        <w:tabs>
          <w:tab w:val="left" w:pos="2511"/>
          <w:tab w:val="center" w:pos="4680"/>
          <w:tab w:val="left" w:pos="9360"/>
        </w:tabs>
        <w:spacing w:line="276" w:lineRule="auto"/>
        <w:jc w:val="both"/>
        <w:rPr>
          <w:rFonts w:asciiTheme="minorHAnsi" w:eastAsiaTheme="minorEastAsia" w:hAnsiTheme="minorHAnsi" w:cstheme="minorHAnsi"/>
          <w:noProof/>
          <w:sz w:val="12"/>
          <w:lang w:val="sq-AL"/>
        </w:rPr>
      </w:pPr>
      <w:bookmarkStart w:id="10" w:name="_Toc12448427"/>
    </w:p>
    <w:p w:rsidR="0034657E" w:rsidRPr="00C23A06" w:rsidRDefault="00FD3343" w:rsidP="00FD3343">
      <w:pPr>
        <w:tabs>
          <w:tab w:val="left" w:pos="2511"/>
          <w:tab w:val="center" w:pos="4680"/>
          <w:tab w:val="left" w:pos="9360"/>
        </w:tabs>
        <w:spacing w:line="276" w:lineRule="auto"/>
        <w:jc w:val="both"/>
        <w:rPr>
          <w:rFonts w:asciiTheme="minorHAnsi" w:eastAsiaTheme="minorEastAsia" w:hAnsiTheme="minorHAnsi" w:cstheme="minorHAnsi"/>
          <w:noProof/>
          <w:color w:val="000000" w:themeColor="text1"/>
          <w:lang w:val="sq-AL"/>
        </w:rPr>
      </w:pPr>
      <w:r>
        <w:rPr>
          <w:rFonts w:asciiTheme="minorHAnsi" w:eastAsiaTheme="minorEastAsia" w:hAnsiTheme="minorHAnsi" w:cstheme="minorHAnsi"/>
          <w:noProof/>
          <w:lang w:val="sq-AL"/>
        </w:rPr>
        <w:t>Krahasuar me 5 mujorin 2021, performaca e të gjith</w:t>
      </w:r>
      <w:r w:rsidRPr="004E355C">
        <w:rPr>
          <w:rFonts w:asciiTheme="minorHAnsi" w:eastAsiaTheme="minorEastAsia" w:hAnsiTheme="minorHAnsi" w:cstheme="minorHAnsi"/>
          <w:noProof/>
          <w:lang w:val="sq-AL"/>
        </w:rPr>
        <w:t>ë</w:t>
      </w:r>
      <w:r>
        <w:rPr>
          <w:rFonts w:asciiTheme="minorHAnsi" w:eastAsiaTheme="minorEastAsia" w:hAnsiTheme="minorHAnsi" w:cstheme="minorHAnsi"/>
          <w:noProof/>
          <w:lang w:val="sq-AL"/>
        </w:rPr>
        <w:t xml:space="preserve"> </w:t>
      </w:r>
      <w:r w:rsidRPr="004E355C">
        <w:rPr>
          <w:rFonts w:asciiTheme="minorHAnsi" w:eastAsiaTheme="minorEastAsia" w:hAnsiTheme="minorHAnsi" w:cstheme="minorHAnsi"/>
          <w:noProof/>
          <w:lang w:val="sq-AL"/>
        </w:rPr>
        <w:t xml:space="preserve">zërave të të ardhurave “Nga Tatimet dhe Doganat” (përfshirë kontributet e mbledhura nga DPT), </w:t>
      </w:r>
      <w:r w:rsidRPr="00DF4CC7">
        <w:rPr>
          <w:rFonts w:asciiTheme="minorHAnsi" w:eastAsiaTheme="minorEastAsia" w:hAnsiTheme="minorHAnsi" w:cstheme="minorHAnsi"/>
          <w:noProof/>
          <w:color w:val="000000" w:themeColor="text1"/>
          <w:lang w:val="sq-AL"/>
        </w:rPr>
        <w:t xml:space="preserve">ka </w:t>
      </w:r>
      <w:r>
        <w:rPr>
          <w:rFonts w:asciiTheme="minorHAnsi" w:eastAsiaTheme="minorEastAsia" w:hAnsiTheme="minorHAnsi" w:cstheme="minorHAnsi"/>
          <w:noProof/>
          <w:color w:val="000000" w:themeColor="text1"/>
          <w:lang w:val="sq-AL"/>
        </w:rPr>
        <w:t>pësuar</w:t>
      </w:r>
      <w:r w:rsidRPr="00DF4CC7">
        <w:rPr>
          <w:rFonts w:asciiTheme="minorHAnsi" w:eastAsiaTheme="minorEastAsia" w:hAnsiTheme="minorHAnsi" w:cstheme="minorHAnsi"/>
          <w:noProof/>
          <w:color w:val="000000" w:themeColor="text1"/>
          <w:lang w:val="sq-AL"/>
        </w:rPr>
        <w:t xml:space="preserve"> rritje</w:t>
      </w:r>
      <w:r>
        <w:rPr>
          <w:rFonts w:asciiTheme="minorHAnsi" w:eastAsiaTheme="minorEastAsia" w:hAnsiTheme="minorHAnsi" w:cstheme="minorHAnsi"/>
          <w:noProof/>
          <w:color w:val="000000" w:themeColor="text1"/>
          <w:lang w:val="sq-AL"/>
        </w:rPr>
        <w:t xml:space="preserve">. </w:t>
      </w:r>
      <w:r w:rsidRPr="00C56A21">
        <w:rPr>
          <w:rFonts w:asciiTheme="minorHAnsi" w:eastAsiaTheme="minorEastAsia" w:hAnsiTheme="minorHAnsi" w:cstheme="minorHAnsi"/>
          <w:noProof/>
          <w:color w:val="000000" w:themeColor="text1"/>
          <w:lang w:val="sq-AL"/>
        </w:rPr>
        <w:t>Konkretisht,</w:t>
      </w:r>
      <w:r>
        <w:rPr>
          <w:rFonts w:asciiTheme="minorHAnsi" w:eastAsiaTheme="minorEastAsia" w:hAnsiTheme="minorHAnsi" w:cstheme="minorHAnsi"/>
          <w:noProof/>
          <w:color w:val="000000" w:themeColor="text1"/>
          <w:lang w:val="sq-AL"/>
        </w:rPr>
        <w:t xml:space="preserve"> TVSH 37.5%,</w:t>
      </w:r>
      <w:r w:rsidRPr="00C56A21">
        <w:rPr>
          <w:rFonts w:asciiTheme="minorHAnsi" w:eastAsiaTheme="minorEastAsia" w:hAnsiTheme="minorHAnsi" w:cstheme="minorHAnsi"/>
          <w:noProof/>
          <w:color w:val="000000" w:themeColor="text1"/>
          <w:lang w:val="sq-AL"/>
        </w:rPr>
        <w:t xml:space="preserve"> Tatim mbi të ardhurat personale</w:t>
      </w:r>
      <w:r>
        <w:rPr>
          <w:rFonts w:asciiTheme="minorHAnsi" w:eastAsiaTheme="minorEastAsia" w:hAnsiTheme="minorHAnsi" w:cstheme="minorHAnsi"/>
          <w:noProof/>
          <w:color w:val="000000" w:themeColor="text1"/>
          <w:lang w:val="sq-AL"/>
        </w:rPr>
        <w:t xml:space="preserve"> 14.1% </w:t>
      </w:r>
      <w:r w:rsidRPr="00C56A21">
        <w:rPr>
          <w:rFonts w:asciiTheme="minorHAnsi" w:eastAsiaTheme="minorEastAsia" w:hAnsiTheme="minorHAnsi" w:cstheme="minorHAnsi"/>
          <w:noProof/>
          <w:color w:val="000000" w:themeColor="text1"/>
          <w:lang w:val="sq-AL"/>
        </w:rPr>
        <w:t>,Tatim mbi fitimin u realizua n</w:t>
      </w:r>
      <w:r>
        <w:rPr>
          <w:rFonts w:asciiTheme="minorHAnsi" w:eastAsiaTheme="minorEastAsia" w:hAnsiTheme="minorHAnsi" w:cstheme="minorHAnsi"/>
          <w:noProof/>
          <w:color w:val="000000" w:themeColor="text1"/>
          <w:lang w:val="sq-AL"/>
        </w:rPr>
        <w:t>ë</w:t>
      </w:r>
      <w:r w:rsidRPr="00C56A21">
        <w:rPr>
          <w:rFonts w:asciiTheme="minorHAnsi" w:eastAsiaTheme="minorEastAsia" w:hAnsiTheme="minorHAnsi" w:cstheme="minorHAnsi"/>
          <w:noProof/>
          <w:color w:val="000000" w:themeColor="text1"/>
          <w:lang w:val="sq-AL"/>
        </w:rPr>
        <w:t xml:space="preserve"> mas</w:t>
      </w:r>
      <w:r>
        <w:rPr>
          <w:rFonts w:asciiTheme="minorHAnsi" w:eastAsiaTheme="minorEastAsia" w:hAnsiTheme="minorHAnsi" w:cstheme="minorHAnsi"/>
          <w:noProof/>
          <w:color w:val="000000" w:themeColor="text1"/>
          <w:lang w:val="sq-AL"/>
        </w:rPr>
        <w:t>ë</w:t>
      </w:r>
      <w:r w:rsidRPr="00C56A21">
        <w:rPr>
          <w:rFonts w:asciiTheme="minorHAnsi" w:eastAsiaTheme="minorEastAsia" w:hAnsiTheme="minorHAnsi" w:cstheme="minorHAnsi"/>
          <w:noProof/>
          <w:color w:val="000000" w:themeColor="text1"/>
          <w:lang w:val="sq-AL"/>
        </w:rPr>
        <w:t xml:space="preserve">n </w:t>
      </w:r>
      <w:r w:rsidRPr="00B765F8">
        <w:rPr>
          <w:rFonts w:asciiTheme="minorHAnsi" w:eastAsiaTheme="minorEastAsia" w:hAnsiTheme="minorHAnsi" w:cstheme="minorHAnsi"/>
          <w:noProof/>
          <w:color w:val="000000" w:themeColor="text1"/>
          <w:lang w:val="sq-AL"/>
        </w:rPr>
        <w:t>3</w:t>
      </w:r>
      <w:r>
        <w:rPr>
          <w:rFonts w:asciiTheme="minorHAnsi" w:eastAsiaTheme="minorEastAsia" w:hAnsiTheme="minorHAnsi" w:cstheme="minorHAnsi"/>
          <w:noProof/>
          <w:color w:val="000000" w:themeColor="text1"/>
          <w:lang w:val="sq-AL"/>
        </w:rPr>
        <w:t>7</w:t>
      </w:r>
      <w:r w:rsidRPr="00B765F8">
        <w:rPr>
          <w:rFonts w:asciiTheme="minorHAnsi" w:eastAsiaTheme="minorEastAsia" w:hAnsiTheme="minorHAnsi" w:cstheme="minorHAnsi"/>
          <w:noProof/>
          <w:color w:val="000000" w:themeColor="text1"/>
          <w:lang w:val="sq-AL"/>
        </w:rPr>
        <w:t>,</w:t>
      </w:r>
      <w:r>
        <w:rPr>
          <w:rFonts w:asciiTheme="minorHAnsi" w:eastAsiaTheme="minorEastAsia" w:hAnsiTheme="minorHAnsi" w:cstheme="minorHAnsi"/>
          <w:noProof/>
          <w:color w:val="000000" w:themeColor="text1"/>
          <w:lang w:val="sq-AL"/>
        </w:rPr>
        <w:t>2</w:t>
      </w:r>
      <w:r w:rsidRPr="00B765F8">
        <w:rPr>
          <w:rFonts w:asciiTheme="minorHAnsi" w:eastAsiaTheme="minorEastAsia" w:hAnsiTheme="minorHAnsi" w:cstheme="minorHAnsi"/>
          <w:noProof/>
          <w:color w:val="000000" w:themeColor="text1"/>
          <w:lang w:val="sq-AL"/>
        </w:rPr>
        <w:t xml:space="preserve">% </w:t>
      </w:r>
      <w:r>
        <w:rPr>
          <w:rFonts w:asciiTheme="minorHAnsi" w:eastAsiaTheme="minorEastAsia" w:hAnsiTheme="minorHAnsi" w:cstheme="minorHAnsi"/>
          <w:noProof/>
          <w:color w:val="000000" w:themeColor="text1"/>
          <w:lang w:val="sq-AL"/>
        </w:rPr>
        <w:t xml:space="preserve">, </w:t>
      </w:r>
      <w:r w:rsidRPr="00C56A21">
        <w:rPr>
          <w:rFonts w:asciiTheme="minorHAnsi" w:eastAsiaTheme="minorEastAsia" w:hAnsiTheme="minorHAnsi" w:cstheme="minorHAnsi"/>
          <w:noProof/>
          <w:color w:val="000000" w:themeColor="text1"/>
          <w:lang w:val="sq-AL"/>
        </w:rPr>
        <w:t>Akciza</w:t>
      </w:r>
      <w:r>
        <w:rPr>
          <w:rFonts w:asciiTheme="minorHAnsi" w:eastAsiaTheme="minorEastAsia" w:hAnsiTheme="minorHAnsi" w:cstheme="minorHAnsi"/>
          <w:noProof/>
          <w:color w:val="000000" w:themeColor="text1"/>
          <w:lang w:val="sq-AL"/>
        </w:rPr>
        <w:t xml:space="preserve"> 6.5%</w:t>
      </w:r>
      <w:r w:rsidRPr="00583F58">
        <w:rPr>
          <w:rFonts w:asciiTheme="minorHAnsi" w:eastAsiaTheme="minorEastAsia" w:hAnsiTheme="minorHAnsi" w:cstheme="minorHAnsi"/>
          <w:noProof/>
          <w:color w:val="000000" w:themeColor="text1"/>
          <w:lang w:val="sq-AL"/>
        </w:rPr>
        <w:t>, Kontributet e mbledhura nga DPT 1</w:t>
      </w:r>
      <w:r>
        <w:rPr>
          <w:rFonts w:asciiTheme="minorHAnsi" w:eastAsiaTheme="minorEastAsia" w:hAnsiTheme="minorHAnsi" w:cstheme="minorHAnsi"/>
          <w:noProof/>
          <w:color w:val="000000" w:themeColor="text1"/>
          <w:lang w:val="sq-AL"/>
        </w:rPr>
        <w:t>0</w:t>
      </w:r>
      <w:r w:rsidRPr="00583F58">
        <w:rPr>
          <w:rFonts w:asciiTheme="minorHAnsi" w:eastAsiaTheme="minorEastAsia" w:hAnsiTheme="minorHAnsi" w:cstheme="minorHAnsi"/>
          <w:noProof/>
          <w:color w:val="000000" w:themeColor="text1"/>
          <w:lang w:val="sq-AL"/>
        </w:rPr>
        <w:t>.</w:t>
      </w:r>
      <w:r>
        <w:rPr>
          <w:rFonts w:asciiTheme="minorHAnsi" w:eastAsiaTheme="minorEastAsia" w:hAnsiTheme="minorHAnsi" w:cstheme="minorHAnsi"/>
          <w:noProof/>
          <w:color w:val="000000" w:themeColor="text1"/>
          <w:lang w:val="sq-AL"/>
        </w:rPr>
        <w:t>2</w:t>
      </w:r>
      <w:r w:rsidRPr="00583F58">
        <w:rPr>
          <w:rFonts w:asciiTheme="minorHAnsi" w:eastAsiaTheme="minorEastAsia" w:hAnsiTheme="minorHAnsi" w:cstheme="minorHAnsi"/>
          <w:noProof/>
          <w:color w:val="000000" w:themeColor="text1"/>
          <w:lang w:val="sq-AL"/>
        </w:rPr>
        <w:t xml:space="preserve">% </w:t>
      </w:r>
      <w:r w:rsidRPr="0012460D">
        <w:rPr>
          <w:rFonts w:asciiTheme="minorHAnsi" w:eastAsiaTheme="minorEastAsia" w:hAnsiTheme="minorHAnsi" w:cstheme="minorHAnsi"/>
          <w:noProof/>
          <w:color w:val="000000" w:themeColor="text1"/>
          <w:lang w:val="sq-AL"/>
        </w:rPr>
        <w:t>dh</w:t>
      </w:r>
      <w:r>
        <w:rPr>
          <w:rFonts w:asciiTheme="minorHAnsi" w:eastAsiaTheme="minorEastAsia" w:hAnsiTheme="minorHAnsi" w:cstheme="minorHAnsi"/>
          <w:noProof/>
          <w:color w:val="000000" w:themeColor="text1"/>
          <w:lang w:val="sq-AL"/>
        </w:rPr>
        <w:t xml:space="preserve">e </w:t>
      </w:r>
      <w:r w:rsidRPr="00583F58">
        <w:rPr>
          <w:rFonts w:asciiTheme="minorHAnsi" w:eastAsiaTheme="minorEastAsia" w:hAnsiTheme="minorHAnsi" w:cstheme="minorHAnsi"/>
          <w:noProof/>
          <w:color w:val="000000" w:themeColor="text1"/>
          <w:lang w:val="sq-AL"/>
        </w:rPr>
        <w:t>Taksa</w:t>
      </w:r>
      <w:r>
        <w:rPr>
          <w:rFonts w:asciiTheme="minorHAnsi" w:eastAsiaTheme="minorEastAsia" w:hAnsiTheme="minorHAnsi" w:cstheme="minorHAnsi"/>
          <w:noProof/>
          <w:color w:val="000000" w:themeColor="text1"/>
          <w:lang w:val="sq-AL"/>
        </w:rPr>
        <w:t xml:space="preserve">t </w:t>
      </w:r>
      <w:r w:rsidRPr="00583F58">
        <w:rPr>
          <w:rFonts w:asciiTheme="minorHAnsi" w:eastAsiaTheme="minorEastAsia" w:hAnsiTheme="minorHAnsi" w:cstheme="minorHAnsi"/>
          <w:noProof/>
          <w:color w:val="000000" w:themeColor="text1"/>
          <w:lang w:val="sq-AL"/>
        </w:rPr>
        <w:t xml:space="preserve">doganore </w:t>
      </w:r>
      <w:r>
        <w:rPr>
          <w:rFonts w:asciiTheme="minorHAnsi" w:eastAsiaTheme="minorEastAsia" w:hAnsiTheme="minorHAnsi" w:cstheme="minorHAnsi"/>
          <w:noProof/>
          <w:color w:val="000000" w:themeColor="text1"/>
          <w:lang w:val="sq-AL"/>
        </w:rPr>
        <w:t>16.9</w:t>
      </w:r>
      <w:r w:rsidRPr="00583F58">
        <w:rPr>
          <w:rFonts w:asciiTheme="minorHAnsi" w:eastAsiaTheme="minorEastAsia" w:hAnsiTheme="minorHAnsi" w:cstheme="minorHAnsi"/>
          <w:noProof/>
          <w:color w:val="000000" w:themeColor="text1"/>
          <w:lang w:val="sq-AL"/>
        </w:rPr>
        <w:t>%</w:t>
      </w:r>
      <w:r>
        <w:rPr>
          <w:rFonts w:asciiTheme="minorHAnsi" w:eastAsiaTheme="minorEastAsia" w:hAnsiTheme="minorHAnsi" w:cstheme="minorHAnsi"/>
          <w:noProof/>
          <w:color w:val="000000" w:themeColor="text1"/>
          <w:lang w:val="sq-AL"/>
        </w:rPr>
        <w:t xml:space="preserve">. </w:t>
      </w:r>
      <w:r>
        <w:rPr>
          <w:rFonts w:asciiTheme="minorHAnsi" w:eastAsiaTheme="minorEastAsia" w:hAnsiTheme="minorHAnsi" w:cstheme="minorHAnsi"/>
          <w:noProof/>
          <w:lang w:val="sq-AL"/>
        </w:rPr>
        <w:t>P</w:t>
      </w:r>
      <w:r w:rsidRPr="008E3CDE">
        <w:rPr>
          <w:rFonts w:asciiTheme="minorHAnsi" w:eastAsiaTheme="minorEastAsia" w:hAnsiTheme="minorHAnsi" w:cstheme="minorHAnsi"/>
          <w:noProof/>
          <w:lang w:val="sq-AL"/>
        </w:rPr>
        <w:t>araqite</w:t>
      </w:r>
      <w:r>
        <w:rPr>
          <w:rFonts w:asciiTheme="minorHAnsi" w:eastAsiaTheme="minorEastAsia" w:hAnsiTheme="minorHAnsi" w:cstheme="minorHAnsi"/>
          <w:noProof/>
          <w:lang w:val="sq-AL"/>
        </w:rPr>
        <w:t>t</w:t>
      </w:r>
      <w:r w:rsidRPr="008E3CDE">
        <w:rPr>
          <w:rFonts w:asciiTheme="minorHAnsi" w:eastAsiaTheme="minorEastAsia" w:hAnsiTheme="minorHAnsi" w:cstheme="minorHAnsi"/>
          <w:noProof/>
          <w:lang w:val="sq-AL"/>
        </w:rPr>
        <w:t xml:space="preserve"> me rënie kundrejt vitit 20</w:t>
      </w:r>
      <w:r>
        <w:rPr>
          <w:rFonts w:asciiTheme="minorHAnsi" w:eastAsiaTheme="minorEastAsia" w:hAnsiTheme="minorHAnsi" w:cstheme="minorHAnsi"/>
          <w:noProof/>
          <w:lang w:val="sq-AL"/>
        </w:rPr>
        <w:t>21</w:t>
      </w:r>
      <w:r w:rsidRPr="008E3CDE">
        <w:rPr>
          <w:rFonts w:asciiTheme="minorHAnsi" w:eastAsiaTheme="minorEastAsia" w:hAnsiTheme="minorHAnsi" w:cstheme="minorHAnsi"/>
          <w:noProof/>
          <w:lang w:val="sq-AL"/>
        </w:rPr>
        <w:t xml:space="preserve"> </w:t>
      </w:r>
      <w:r>
        <w:rPr>
          <w:rFonts w:asciiTheme="minorHAnsi" w:eastAsiaTheme="minorEastAsia" w:hAnsiTheme="minorHAnsi" w:cstheme="minorHAnsi"/>
          <w:noProof/>
          <w:lang w:val="sq-AL"/>
        </w:rPr>
        <w:t>rimbursimi i TVSH me 54.8% ose 6.8 miliardë më pak për shkak të ndryshimit të skemës se rimbursimeve nga Administrata Tatimore</w:t>
      </w:r>
      <w:r w:rsidR="0034657E">
        <w:rPr>
          <w:rFonts w:asciiTheme="minorHAnsi" w:eastAsiaTheme="minorEastAsia" w:hAnsiTheme="minorHAnsi" w:cstheme="minorHAnsi"/>
          <w:noProof/>
          <w:lang w:val="sq-AL"/>
        </w:rPr>
        <w:t>.</w:t>
      </w:r>
    </w:p>
    <w:p w:rsidR="0034657E" w:rsidRPr="0034657E" w:rsidRDefault="0034657E" w:rsidP="00E74AAC">
      <w:pPr>
        <w:pStyle w:val="Caption"/>
        <w:rPr>
          <w:rFonts w:asciiTheme="minorHAnsi" w:hAnsiTheme="minorHAnsi"/>
          <w:i/>
          <w:sz w:val="22"/>
          <w:lang w:val="sq-AL"/>
        </w:rPr>
      </w:pPr>
      <w:r w:rsidRPr="0034657E">
        <w:rPr>
          <w:rFonts w:asciiTheme="minorHAnsi" w:hAnsiTheme="minorHAnsi"/>
          <w:i/>
          <w:color w:val="FF0000"/>
          <w:sz w:val="22"/>
          <w:lang w:val="sq-AL"/>
        </w:rPr>
        <w:t xml:space="preserve"> </w:t>
      </w:r>
      <w:bookmarkStart w:id="11" w:name="_Toc107498092"/>
      <w:r w:rsidR="00E74AAC" w:rsidRPr="00E74AAC">
        <w:rPr>
          <w:rFonts w:asciiTheme="minorHAnsi" w:hAnsiTheme="minorHAnsi"/>
          <w:b w:val="0"/>
          <w:bCs w:val="0"/>
          <w:i/>
          <w:color w:val="auto"/>
          <w:sz w:val="22"/>
          <w:szCs w:val="24"/>
          <w:lang w:val="sq-AL"/>
        </w:rPr>
        <w:t xml:space="preserve">Grafiku </w:t>
      </w:r>
      <w:r w:rsidR="00E74AAC" w:rsidRPr="00E74AAC">
        <w:rPr>
          <w:rFonts w:asciiTheme="minorHAnsi" w:hAnsiTheme="minorHAnsi"/>
          <w:b w:val="0"/>
          <w:bCs w:val="0"/>
          <w:i/>
          <w:color w:val="auto"/>
          <w:sz w:val="22"/>
          <w:szCs w:val="24"/>
          <w:lang w:val="sq-AL"/>
        </w:rPr>
        <w:fldChar w:fldCharType="begin"/>
      </w:r>
      <w:r w:rsidR="00E74AAC" w:rsidRPr="00E74AAC">
        <w:rPr>
          <w:rFonts w:asciiTheme="minorHAnsi" w:hAnsiTheme="minorHAnsi"/>
          <w:b w:val="0"/>
          <w:bCs w:val="0"/>
          <w:i/>
          <w:color w:val="auto"/>
          <w:sz w:val="22"/>
          <w:szCs w:val="24"/>
          <w:lang w:val="sq-AL"/>
        </w:rPr>
        <w:instrText xml:space="preserve"> SEQ Grafiku \* ARABIC </w:instrText>
      </w:r>
      <w:r w:rsidR="00E74AAC" w:rsidRPr="00E74AAC">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w:t>
      </w:r>
      <w:r w:rsidR="00E74AAC" w:rsidRPr="00E74AAC">
        <w:rPr>
          <w:rFonts w:asciiTheme="minorHAnsi" w:hAnsiTheme="minorHAnsi"/>
          <w:b w:val="0"/>
          <w:bCs w:val="0"/>
          <w:i/>
          <w:color w:val="auto"/>
          <w:sz w:val="22"/>
          <w:szCs w:val="24"/>
          <w:lang w:val="sq-AL"/>
        </w:rPr>
        <w:fldChar w:fldCharType="end"/>
      </w:r>
      <w:r w:rsidRPr="00E74AAC">
        <w:rPr>
          <w:rFonts w:asciiTheme="minorHAnsi" w:hAnsiTheme="minorHAnsi"/>
          <w:b w:val="0"/>
          <w:bCs w:val="0"/>
          <w:i/>
          <w:color w:val="auto"/>
          <w:sz w:val="22"/>
          <w:szCs w:val="24"/>
          <w:lang w:val="sq-AL"/>
        </w:rPr>
        <w:t>: Totali i të ardhurave Janar- Maj 202</w:t>
      </w:r>
      <w:r w:rsidR="00FD3343" w:rsidRPr="00E74AAC">
        <w:rPr>
          <w:rFonts w:asciiTheme="minorHAnsi" w:hAnsiTheme="minorHAnsi"/>
          <w:b w:val="0"/>
          <w:bCs w:val="0"/>
          <w:i/>
          <w:color w:val="auto"/>
          <w:sz w:val="22"/>
          <w:szCs w:val="24"/>
          <w:lang w:val="sq-AL"/>
        </w:rPr>
        <w:t>2</w:t>
      </w:r>
      <w:r w:rsidRPr="00E74AAC">
        <w:rPr>
          <w:rFonts w:asciiTheme="minorHAnsi" w:hAnsiTheme="minorHAnsi"/>
          <w:b w:val="0"/>
          <w:bCs w:val="0"/>
          <w:i/>
          <w:color w:val="auto"/>
          <w:sz w:val="22"/>
          <w:szCs w:val="24"/>
          <w:lang w:val="sq-AL"/>
        </w:rPr>
        <w:t>/202</w:t>
      </w:r>
      <w:r w:rsidR="00FD3343" w:rsidRPr="00E74AAC">
        <w:rPr>
          <w:rFonts w:asciiTheme="minorHAnsi" w:hAnsiTheme="minorHAnsi"/>
          <w:b w:val="0"/>
          <w:bCs w:val="0"/>
          <w:i/>
          <w:color w:val="auto"/>
          <w:sz w:val="22"/>
          <w:szCs w:val="24"/>
          <w:lang w:val="sq-AL"/>
        </w:rPr>
        <w:t>1</w:t>
      </w:r>
      <w:r w:rsidRPr="00E74AAC">
        <w:rPr>
          <w:rFonts w:asciiTheme="minorHAnsi" w:hAnsiTheme="minorHAnsi"/>
          <w:b w:val="0"/>
          <w:bCs w:val="0"/>
          <w:i/>
          <w:color w:val="auto"/>
          <w:sz w:val="22"/>
          <w:szCs w:val="24"/>
          <w:lang w:val="sq-AL"/>
        </w:rPr>
        <w:t xml:space="preserve"> (në milionë lekë)</w:t>
      </w:r>
      <w:bookmarkEnd w:id="10"/>
      <w:bookmarkEnd w:id="11"/>
    </w:p>
    <w:p w:rsidR="0034657E" w:rsidRDefault="00FD3343" w:rsidP="0034657E">
      <w:pPr>
        <w:tabs>
          <w:tab w:val="left" w:pos="2511"/>
          <w:tab w:val="center" w:pos="4680"/>
          <w:tab w:val="left" w:pos="9360"/>
        </w:tabs>
        <w:jc w:val="center"/>
        <w:rPr>
          <w:rFonts w:asciiTheme="minorHAnsi" w:hAnsiTheme="minorHAnsi"/>
          <w:i/>
          <w:noProof/>
          <w:sz w:val="20"/>
          <w:szCs w:val="20"/>
          <w:lang w:val="sq-AL"/>
        </w:rPr>
      </w:pPr>
      <w:r>
        <w:rPr>
          <w:noProof/>
        </w:rPr>
        <w:drawing>
          <wp:inline distT="0" distB="0" distL="0" distR="0" wp14:anchorId="1FE5233D" wp14:editId="3485A125">
            <wp:extent cx="6115050" cy="2179320"/>
            <wp:effectExtent l="0" t="0" r="0" b="11430"/>
            <wp:docPr id="271" name="Chart 271">
              <a:extLst xmlns:a="http://schemas.openxmlformats.org/drawingml/2006/main">
                <a:ext uri="{FF2B5EF4-FFF2-40B4-BE49-F238E27FC236}">
                  <a16:creationId xmlns:a16="http://schemas.microsoft.com/office/drawing/2014/main"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4657E" w:rsidRPr="00BF0ED9" w:rsidRDefault="00FD3343" w:rsidP="00FD3343">
      <w:pPr>
        <w:tabs>
          <w:tab w:val="left" w:pos="2511"/>
          <w:tab w:val="center" w:pos="4680"/>
          <w:tab w:val="left" w:pos="9360"/>
        </w:tabs>
        <w:jc w:val="both"/>
        <w:rPr>
          <w:rFonts w:asciiTheme="minorHAnsi" w:hAnsiTheme="minorHAnsi"/>
          <w:noProof/>
          <w:color w:val="FF0000"/>
          <w:lang w:val="sq-AL"/>
        </w:rPr>
      </w:pPr>
      <w:r>
        <w:rPr>
          <w:rFonts w:asciiTheme="minorHAnsi" w:hAnsiTheme="minorHAnsi"/>
          <w:i/>
          <w:noProof/>
          <w:sz w:val="20"/>
          <w:szCs w:val="20"/>
          <w:lang w:val="sq-AL"/>
        </w:rPr>
        <w:t>Burimi: Ministria e Financave dhe Ekonomisë (2022)</w:t>
      </w:r>
    </w:p>
    <w:p w:rsidR="0034657E" w:rsidRPr="00646CAC" w:rsidRDefault="0034657E" w:rsidP="0034657E">
      <w:pPr>
        <w:tabs>
          <w:tab w:val="left" w:pos="2511"/>
          <w:tab w:val="center" w:pos="4680"/>
          <w:tab w:val="left" w:pos="9360"/>
        </w:tabs>
        <w:spacing w:line="276" w:lineRule="auto"/>
        <w:jc w:val="both"/>
        <w:rPr>
          <w:rFonts w:asciiTheme="minorHAnsi" w:hAnsiTheme="minorHAnsi" w:cstheme="minorHAnsi"/>
          <w:noProof/>
          <w:u w:val="single"/>
          <w:lang w:val="sq-AL"/>
        </w:rPr>
      </w:pPr>
      <w:r w:rsidRPr="00646CAC">
        <w:rPr>
          <w:rFonts w:asciiTheme="minorHAnsi" w:hAnsiTheme="minorHAnsi" w:cstheme="minorHAnsi"/>
          <w:noProof/>
          <w:u w:val="single"/>
          <w:lang w:val="sq-AL"/>
        </w:rPr>
        <w:lastRenderedPageBreak/>
        <w:t>Faktorët kryesorë që kanë ndikuar në performancën e 5 mujorit kundrejt planit janë:</w:t>
      </w:r>
    </w:p>
    <w:p w:rsidR="00FD3343" w:rsidRPr="000F6DE0" w:rsidRDefault="00FD3343" w:rsidP="003F6B21">
      <w:pPr>
        <w:pStyle w:val="ListParagraph"/>
        <w:numPr>
          <w:ilvl w:val="0"/>
          <w:numId w:val="21"/>
        </w:numPr>
        <w:tabs>
          <w:tab w:val="left" w:pos="2511"/>
          <w:tab w:val="center" w:pos="4680"/>
          <w:tab w:val="left" w:pos="9360"/>
        </w:tabs>
        <w:spacing w:line="276" w:lineRule="auto"/>
        <w:jc w:val="both"/>
        <w:rPr>
          <w:rFonts w:asciiTheme="minorHAnsi" w:hAnsiTheme="minorHAnsi" w:cstheme="minorHAnsi"/>
          <w:noProof/>
          <w:lang w:val="sq-AL"/>
        </w:rPr>
      </w:pPr>
      <w:r w:rsidRPr="000F6DE0">
        <w:rPr>
          <w:rFonts w:asciiTheme="minorHAnsi" w:hAnsiTheme="minorHAnsi" w:cstheme="minorHAnsi"/>
          <w:noProof/>
          <w:lang w:val="sq-AL"/>
        </w:rPr>
        <w:t xml:space="preserve">Rimëkëmbja graduale të ekonomisë pas </w:t>
      </w:r>
      <w:r w:rsidRPr="000F6DE0">
        <w:rPr>
          <w:rFonts w:asciiTheme="minorHAnsi" w:hAnsiTheme="minorHAnsi" w:cstheme="minorHAnsi"/>
        </w:rPr>
        <w:t xml:space="preserve">tërmetit të vitit 2019 dhe situatës Covid </w:t>
      </w:r>
      <w:r w:rsidRPr="000F6DE0">
        <w:rPr>
          <w:rFonts w:asciiTheme="minorHAnsi" w:hAnsiTheme="minorHAnsi" w:cstheme="minorHAnsi"/>
          <w:noProof/>
          <w:lang w:val="sq-AL"/>
        </w:rPr>
        <w:t>e cila është reflektuar në realizimin e të ardhurave tatimore dhe doganore</w:t>
      </w:r>
    </w:p>
    <w:p w:rsidR="00FD3343" w:rsidRPr="00381511" w:rsidRDefault="00FD3343" w:rsidP="003F6B21">
      <w:pPr>
        <w:pStyle w:val="ListParagraph"/>
        <w:numPr>
          <w:ilvl w:val="0"/>
          <w:numId w:val="21"/>
        </w:numPr>
        <w:tabs>
          <w:tab w:val="left" w:pos="2511"/>
          <w:tab w:val="center" w:pos="4680"/>
          <w:tab w:val="left" w:pos="9360"/>
        </w:tabs>
        <w:spacing w:line="276" w:lineRule="auto"/>
        <w:jc w:val="both"/>
        <w:rPr>
          <w:rFonts w:asciiTheme="minorHAnsi" w:hAnsiTheme="minorHAnsi" w:cstheme="minorHAnsi"/>
          <w:noProof/>
          <w:lang w:val="sq-AL"/>
        </w:rPr>
      </w:pPr>
      <w:r w:rsidRPr="000F6DE0">
        <w:rPr>
          <w:rFonts w:asciiTheme="minorHAnsi" w:hAnsiTheme="minorHAnsi" w:cstheme="minorHAnsi"/>
        </w:rPr>
        <w:t xml:space="preserve">Rritja e volumit të importeve të taksuara krahasuar me të njëjtën </w:t>
      </w:r>
      <w:r>
        <w:rPr>
          <w:rFonts w:asciiTheme="minorHAnsi" w:hAnsiTheme="minorHAnsi" w:cstheme="minorHAnsi"/>
        </w:rPr>
        <w:t>periudhe të vitit të meparshëm.</w:t>
      </w:r>
    </w:p>
    <w:p w:rsidR="00FD3343" w:rsidRPr="00381511" w:rsidRDefault="00FD3343" w:rsidP="003F6B21">
      <w:pPr>
        <w:pStyle w:val="ListParagraph"/>
        <w:numPr>
          <w:ilvl w:val="0"/>
          <w:numId w:val="21"/>
        </w:numPr>
        <w:spacing w:before="120" w:line="276" w:lineRule="auto"/>
        <w:jc w:val="both"/>
        <w:rPr>
          <w:rFonts w:asciiTheme="minorHAnsi" w:hAnsiTheme="minorHAnsi" w:cstheme="minorHAnsi"/>
          <w:bCs/>
          <w:i/>
          <w:iCs/>
          <w:lang w:val="sq-AL"/>
        </w:rPr>
      </w:pPr>
      <w:r w:rsidRPr="00381511">
        <w:rPr>
          <w:rFonts w:asciiTheme="minorHAnsi" w:hAnsiTheme="minorHAnsi" w:cstheme="minorHAnsi"/>
          <w:lang w:val="sq-AL"/>
        </w:rPr>
        <w:t>Implementimi i proçesit të fiskalizimit dhe mirëadministrimit nga administrata tatimore.</w:t>
      </w:r>
    </w:p>
    <w:p w:rsidR="00FD3343" w:rsidRPr="00381511" w:rsidRDefault="00FD3343" w:rsidP="003F6B21">
      <w:pPr>
        <w:pStyle w:val="ListParagraph"/>
        <w:numPr>
          <w:ilvl w:val="0"/>
          <w:numId w:val="21"/>
        </w:numPr>
        <w:tabs>
          <w:tab w:val="left" w:pos="2511"/>
          <w:tab w:val="center" w:pos="4680"/>
          <w:tab w:val="left" w:pos="9360"/>
        </w:tabs>
        <w:spacing w:line="276" w:lineRule="auto"/>
        <w:jc w:val="both"/>
        <w:rPr>
          <w:rFonts w:asciiTheme="minorHAnsi" w:hAnsiTheme="minorHAnsi" w:cstheme="minorHAnsi"/>
          <w:noProof/>
        </w:rPr>
      </w:pPr>
      <w:r w:rsidRPr="00381511">
        <w:rPr>
          <w:rFonts w:asciiTheme="minorHAnsi" w:hAnsiTheme="minorHAnsi" w:cstheme="minorHAnsi"/>
          <w:noProof/>
        </w:rPr>
        <w:t>Rritja e</w:t>
      </w:r>
      <w:r>
        <w:rPr>
          <w:rFonts w:asciiTheme="minorHAnsi" w:hAnsiTheme="minorHAnsi" w:cstheme="minorHAnsi"/>
          <w:noProof/>
        </w:rPr>
        <w:t xml:space="preserve"> çmimeve te mallrave dhe veçanërisht e mallrave kryesore si energjia</w:t>
      </w:r>
      <w:r w:rsidRPr="00381511">
        <w:rPr>
          <w:rFonts w:asciiTheme="minorHAnsi" w:hAnsiTheme="minorHAnsi" w:cstheme="minorHAnsi"/>
          <w:noProof/>
        </w:rPr>
        <w:t xml:space="preserve"> elektrike, karburanteve dhe mataleve bazë duke dhënë efekt pozitiv në të ardhura. </w:t>
      </w:r>
    </w:p>
    <w:p w:rsidR="0034657E" w:rsidRDefault="0034657E" w:rsidP="0034657E">
      <w:pPr>
        <w:spacing w:before="240" w:line="276" w:lineRule="auto"/>
        <w:rPr>
          <w:rFonts w:asciiTheme="minorHAnsi" w:hAnsiTheme="minorHAnsi"/>
          <w:b/>
          <w:noProof/>
          <w:lang w:val="sq-AL"/>
        </w:rPr>
      </w:pPr>
      <w:r w:rsidRPr="004E355C">
        <w:rPr>
          <w:rFonts w:asciiTheme="minorHAnsi" w:hAnsiTheme="minorHAnsi"/>
          <w:b/>
          <w:noProof/>
          <w:lang w:val="sq-AL"/>
        </w:rPr>
        <w:t>Performanca e të ardhurave tatimore dhe doganore kundrejt planit 20</w:t>
      </w:r>
      <w:r>
        <w:rPr>
          <w:rFonts w:asciiTheme="minorHAnsi" w:hAnsiTheme="minorHAnsi"/>
          <w:b/>
          <w:noProof/>
          <w:lang w:val="sq-AL"/>
        </w:rPr>
        <w:t>2</w:t>
      </w:r>
      <w:r w:rsidR="00FD3343">
        <w:rPr>
          <w:rFonts w:asciiTheme="minorHAnsi" w:hAnsiTheme="minorHAnsi"/>
          <w:b/>
          <w:noProof/>
          <w:lang w:val="sq-AL"/>
        </w:rPr>
        <w:t>2</w:t>
      </w:r>
    </w:p>
    <w:p w:rsidR="00FD3343" w:rsidRPr="004E355C" w:rsidRDefault="00FD3343" w:rsidP="00FD3343">
      <w:pPr>
        <w:tabs>
          <w:tab w:val="left" w:pos="2511"/>
          <w:tab w:val="center" w:pos="4680"/>
          <w:tab w:val="left" w:pos="9360"/>
        </w:tabs>
        <w:spacing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“Tatimet dhe Doganat” për periudhën Janar</w:t>
      </w:r>
      <w:r>
        <w:rPr>
          <w:rFonts w:asciiTheme="minorHAnsi" w:hAnsiTheme="minorHAnsi" w:cstheme="minorHAnsi"/>
          <w:noProof/>
          <w:lang w:val="sq-AL"/>
        </w:rPr>
        <w:t xml:space="preserve"> </w:t>
      </w:r>
      <w:r w:rsidRPr="004E355C">
        <w:rPr>
          <w:rFonts w:asciiTheme="minorHAnsi" w:hAnsiTheme="minorHAnsi" w:cstheme="minorHAnsi"/>
          <w:noProof/>
          <w:lang w:val="sq-AL"/>
        </w:rPr>
        <w:t>-</w:t>
      </w:r>
      <w:r>
        <w:rPr>
          <w:rFonts w:asciiTheme="minorHAnsi" w:hAnsiTheme="minorHAnsi" w:cstheme="minorHAnsi"/>
          <w:noProof/>
          <w:lang w:val="sq-AL"/>
        </w:rPr>
        <w:t xml:space="preserve"> </w:t>
      </w:r>
      <w:r w:rsidRPr="004E355C">
        <w:rPr>
          <w:rFonts w:asciiTheme="minorHAnsi" w:hAnsiTheme="minorHAnsi" w:cstheme="minorHAnsi"/>
          <w:noProof/>
          <w:lang w:val="sq-AL"/>
        </w:rPr>
        <w:t>Maj 20</w:t>
      </w:r>
      <w:r>
        <w:rPr>
          <w:rFonts w:asciiTheme="minorHAnsi" w:hAnsiTheme="minorHAnsi" w:cstheme="minorHAnsi"/>
          <w:noProof/>
          <w:lang w:val="sq-AL"/>
        </w:rPr>
        <w:t>22</w:t>
      </w:r>
      <w:r w:rsidRPr="004E355C">
        <w:rPr>
          <w:rFonts w:asciiTheme="minorHAnsi" w:hAnsiTheme="minorHAnsi" w:cstheme="minorHAnsi"/>
          <w:noProof/>
          <w:lang w:val="sq-AL"/>
        </w:rPr>
        <w:t xml:space="preserve"> paraqiten me një realizim në masën </w:t>
      </w:r>
      <w:r>
        <w:rPr>
          <w:rFonts w:asciiTheme="minorHAnsi" w:hAnsiTheme="minorHAnsi" w:cstheme="minorHAnsi"/>
          <w:noProof/>
          <w:lang w:val="sq-AL"/>
        </w:rPr>
        <w:t>106.4</w:t>
      </w:r>
      <w:r w:rsidRPr="004E355C">
        <w:rPr>
          <w:rFonts w:asciiTheme="minorHAnsi" w:hAnsiTheme="minorHAnsi" w:cstheme="minorHAnsi"/>
          <w:noProof/>
          <w:lang w:val="sq-AL"/>
        </w:rPr>
        <w:t xml:space="preserve">% ose </w:t>
      </w:r>
      <w:r>
        <w:rPr>
          <w:rFonts w:asciiTheme="minorHAnsi" w:hAnsiTheme="minorHAnsi" w:cstheme="minorHAnsi"/>
          <w:noProof/>
          <w:lang w:val="sq-AL"/>
        </w:rPr>
        <w:t>12.3</w:t>
      </w:r>
      <w:r w:rsidRPr="004E355C">
        <w:rPr>
          <w:rFonts w:asciiTheme="minorHAnsi" w:hAnsiTheme="minorHAnsi" w:cstheme="minorHAnsi"/>
          <w:noProof/>
          <w:lang w:val="sq-AL"/>
        </w:rPr>
        <w:t xml:space="preserve"> miliardë lekë më </w:t>
      </w:r>
      <w:r>
        <w:rPr>
          <w:rFonts w:asciiTheme="minorHAnsi" w:hAnsiTheme="minorHAnsi" w:cstheme="minorHAnsi"/>
          <w:noProof/>
          <w:lang w:val="sq-AL"/>
        </w:rPr>
        <w:t>shumë</w:t>
      </w:r>
      <w:r w:rsidRPr="004E355C">
        <w:rPr>
          <w:rFonts w:asciiTheme="minorHAnsi" w:hAnsiTheme="minorHAnsi" w:cstheme="minorHAnsi"/>
          <w:noProof/>
          <w:lang w:val="sq-AL"/>
        </w:rPr>
        <w:t xml:space="preserve"> se plani i periudhës. Performanca sipas taksave paraqitet si vijon:</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 xml:space="preserve">Të ardhurat nga “T.V.SH-ja” në total, janë realizuar në vlerën 76 miliardë lekë, 5.7% ose 4.1 miliardë lekë më shumë se plani i periudhës. </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“Tatimi mbi Fitimin”, janë realizuar në vlerën 20.8 miliardë lekë, 38.7% ose 5.8 miliardë lekë më shumë se plani i periudhës.</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“Akciza”, janë realizuar në vlerën 19.5 miliardë lekë, 7.8% ose 1.7 miliardë lekë më pak se plani i periudhës.</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“Tatimi mbi të Ardhurat Personale”, janë realizuar në vlerën 18.3 miliardë lekë, 0.8% ose 137 milionë lekë më shumë se plani i periudhës.</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“Taksat Nacionale dhe të tjera” janë realizuar në vlerën 19.3 miliardë lekë, 10.8 % ose 1.9 miliardë lekë më shumë se plani i periudhës.</w:t>
      </w:r>
    </w:p>
    <w:p w:rsidR="00FD3343" w:rsidRPr="00FD3343" w:rsidRDefault="00FD3343" w:rsidP="003F6B21">
      <w:pPr>
        <w:pStyle w:val="ListParagraph"/>
        <w:numPr>
          <w:ilvl w:val="0"/>
          <w:numId w:val="21"/>
        </w:numPr>
        <w:tabs>
          <w:tab w:val="left" w:pos="2511"/>
          <w:tab w:val="center" w:pos="4680"/>
          <w:tab w:val="left" w:pos="9360"/>
        </w:tabs>
        <w:spacing w:after="200"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“Taksat Doganore” janë realizuar në vlerën 3.1 miliardë lekë, 29.6 % ose     714 milionë lekë më shumë se plani i periudhës.</w:t>
      </w:r>
    </w:p>
    <w:p w:rsidR="00FD3343" w:rsidRPr="00FD3343" w:rsidRDefault="00FD3343" w:rsidP="003F6B21">
      <w:pPr>
        <w:pStyle w:val="ListParagraph"/>
        <w:numPr>
          <w:ilvl w:val="0"/>
          <w:numId w:val="21"/>
        </w:numPr>
        <w:tabs>
          <w:tab w:val="left" w:pos="2511"/>
          <w:tab w:val="center" w:pos="4680"/>
          <w:tab w:val="left" w:pos="9360"/>
        </w:tabs>
        <w:spacing w:line="276" w:lineRule="auto"/>
        <w:jc w:val="both"/>
        <w:rPr>
          <w:rFonts w:asciiTheme="minorHAnsi" w:hAnsiTheme="minorHAnsi" w:cstheme="minorHAnsi"/>
          <w:i/>
          <w:noProof/>
          <w:sz w:val="22"/>
          <w:lang w:val="sq-AL"/>
        </w:rPr>
      </w:pPr>
      <w:r w:rsidRPr="00FD3343">
        <w:rPr>
          <w:rFonts w:asciiTheme="minorHAnsi" w:hAnsiTheme="minorHAnsi" w:cstheme="minorHAnsi"/>
          <w:i/>
          <w:noProof/>
          <w:sz w:val="22"/>
          <w:lang w:val="sq-AL"/>
        </w:rPr>
        <w:t>Të ardhurat nga “Kontributet e Sigurimeve Shoqërore dhe Shëndetësore” janë realizuar në vlerën 47.8 miliardë lekë, 3 % ose 1.4 miliardë lekë më shumë se plani i periudhës.</w:t>
      </w:r>
    </w:p>
    <w:p w:rsidR="0034657E" w:rsidRPr="00162793" w:rsidRDefault="00FD3343" w:rsidP="00FD3343">
      <w:pPr>
        <w:pStyle w:val="NormalWeb"/>
        <w:spacing w:before="0" w:beforeAutospacing="0" w:after="0" w:afterAutospacing="0" w:line="276" w:lineRule="auto"/>
        <w:jc w:val="both"/>
        <w:rPr>
          <w:rFonts w:asciiTheme="minorHAnsi" w:hAnsiTheme="minorHAnsi"/>
          <w:bCs/>
          <w:lang w:val="sq-AL"/>
        </w:rPr>
      </w:pPr>
      <w:r w:rsidRPr="00C44352">
        <w:rPr>
          <w:rFonts w:asciiTheme="minorHAnsi" w:hAnsiTheme="minorHAnsi" w:cstheme="minorHAnsi"/>
          <w:bCs/>
          <w:lang w:val="sq-AL"/>
        </w:rPr>
        <w:t>Importi i taksuar arriti në vlerën 284 miliardë lekë, ndërsa eksportet në total arritën vlerën 217 miliardë lekë. Krahasuar me të njëtën periudhë të vitit të kaluar importi i taksuar është rritur me 59 miliardë lekë ose 26%, gjithashtu edhe eksporti total është rritur me 75 miliardë lekë ose 53%. Sipas orientimit gjeografik, vendet Europiane, veçanërisht Italia mbeten partnerët kryesorë në shkëmbimet tregtare</w:t>
      </w:r>
      <w:r w:rsidR="0034657E" w:rsidRPr="00162793">
        <w:rPr>
          <w:rFonts w:asciiTheme="minorHAnsi" w:hAnsiTheme="minorHAnsi"/>
          <w:bCs/>
          <w:lang w:val="sq-AL"/>
        </w:rPr>
        <w:t xml:space="preserve">. </w:t>
      </w:r>
    </w:p>
    <w:p w:rsidR="0034657E" w:rsidRPr="00162793" w:rsidRDefault="0034657E" w:rsidP="0034657E">
      <w:pPr>
        <w:pStyle w:val="NormalWeb"/>
        <w:spacing w:before="0" w:beforeAutospacing="0" w:after="0" w:afterAutospacing="0" w:line="276" w:lineRule="auto"/>
        <w:jc w:val="both"/>
        <w:rPr>
          <w:rFonts w:asciiTheme="minorHAnsi" w:hAnsiTheme="minorHAnsi"/>
          <w:sz w:val="8"/>
          <w:szCs w:val="8"/>
          <w:lang w:val="sq-AL"/>
        </w:rPr>
      </w:pPr>
    </w:p>
    <w:p w:rsidR="0034657E" w:rsidRPr="0034657E" w:rsidRDefault="00C371C2" w:rsidP="00C371C2">
      <w:pPr>
        <w:pStyle w:val="Caption"/>
        <w:shd w:val="clear" w:color="auto" w:fill="FFFFFF" w:themeFill="background1"/>
        <w:rPr>
          <w:rFonts w:asciiTheme="minorHAnsi" w:hAnsiTheme="minorHAnsi"/>
          <w:b w:val="0"/>
          <w:bCs w:val="0"/>
          <w:i/>
          <w:color w:val="auto"/>
          <w:sz w:val="22"/>
          <w:szCs w:val="24"/>
          <w:lang w:val="sq-AL"/>
        </w:rPr>
      </w:pPr>
      <w:bookmarkStart w:id="12" w:name="_Toc12448428"/>
      <w:bookmarkStart w:id="13" w:name="_Toc107498093"/>
      <w:r w:rsidRPr="00C371C2">
        <w:rPr>
          <w:rFonts w:asciiTheme="minorHAnsi" w:hAnsiTheme="minorHAnsi"/>
          <w:b w:val="0"/>
          <w:bCs w:val="0"/>
          <w:i/>
          <w:color w:val="auto"/>
          <w:sz w:val="22"/>
          <w:szCs w:val="24"/>
          <w:lang w:val="sq-AL"/>
        </w:rPr>
        <w:t xml:space="preserve">Grafiku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Grafiku \* ARABIC </w:instrText>
      </w:r>
      <w:r w:rsidRPr="00C371C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Import i Taksuar dhe Eksport Total 202</w:t>
      </w:r>
      <w:r w:rsidR="00FD3343" w:rsidRPr="00C371C2">
        <w:rPr>
          <w:rFonts w:asciiTheme="minorHAnsi" w:hAnsiTheme="minorHAnsi"/>
          <w:b w:val="0"/>
          <w:bCs w:val="0"/>
          <w:i/>
          <w:color w:val="auto"/>
          <w:sz w:val="22"/>
          <w:szCs w:val="24"/>
          <w:lang w:val="sq-AL"/>
        </w:rPr>
        <w:t>2</w:t>
      </w:r>
      <w:r w:rsidR="0034657E" w:rsidRPr="00C371C2">
        <w:rPr>
          <w:rFonts w:asciiTheme="minorHAnsi" w:hAnsiTheme="minorHAnsi"/>
          <w:b w:val="0"/>
          <w:bCs w:val="0"/>
          <w:i/>
          <w:color w:val="auto"/>
          <w:sz w:val="22"/>
          <w:szCs w:val="24"/>
          <w:lang w:val="sq-AL"/>
        </w:rPr>
        <w:t>/202</w:t>
      </w:r>
      <w:r w:rsidR="00FD3343" w:rsidRPr="00C371C2">
        <w:rPr>
          <w:rFonts w:asciiTheme="minorHAnsi" w:hAnsiTheme="minorHAnsi"/>
          <w:b w:val="0"/>
          <w:bCs w:val="0"/>
          <w:i/>
          <w:color w:val="auto"/>
          <w:sz w:val="22"/>
          <w:szCs w:val="24"/>
          <w:lang w:val="sq-AL"/>
        </w:rPr>
        <w:t xml:space="preserve">1 </w:t>
      </w:r>
      <w:r w:rsidR="0034657E" w:rsidRPr="00C371C2">
        <w:rPr>
          <w:rFonts w:asciiTheme="minorHAnsi" w:hAnsiTheme="minorHAnsi"/>
          <w:b w:val="0"/>
          <w:bCs w:val="0"/>
          <w:i/>
          <w:color w:val="auto"/>
          <w:sz w:val="22"/>
          <w:szCs w:val="24"/>
          <w:lang w:val="sq-AL"/>
        </w:rPr>
        <w:t>(në miliard lekë)</w:t>
      </w:r>
      <w:bookmarkEnd w:id="12"/>
      <w:bookmarkEnd w:id="13"/>
    </w:p>
    <w:p w:rsidR="0034657E" w:rsidRPr="0054006E" w:rsidRDefault="00FD3343" w:rsidP="0034657E">
      <w:pPr>
        <w:jc w:val="center"/>
        <w:rPr>
          <w:lang w:val="sq-AL"/>
        </w:rPr>
      </w:pPr>
      <w:r>
        <w:rPr>
          <w:noProof/>
        </w:rPr>
        <w:drawing>
          <wp:inline distT="0" distB="0" distL="0" distR="0" wp14:anchorId="0583E073" wp14:editId="2F4648FF">
            <wp:extent cx="5981700" cy="1028700"/>
            <wp:effectExtent l="0" t="0" r="0" b="0"/>
            <wp:docPr id="31" name="Chart 31">
              <a:extLst xmlns:a="http://schemas.openxmlformats.org/drawingml/2006/main">
                <a:ext uri="{FF2B5EF4-FFF2-40B4-BE49-F238E27FC236}">
                  <a16:creationId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4657E" w:rsidRPr="004E355C" w:rsidRDefault="00FD3343" w:rsidP="0034657E">
      <w:pPr>
        <w:tabs>
          <w:tab w:val="left" w:pos="1440"/>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(2022)</w:t>
      </w:r>
    </w:p>
    <w:p w:rsidR="0034657E" w:rsidRDefault="0034657E" w:rsidP="0034657E">
      <w:pPr>
        <w:tabs>
          <w:tab w:val="left" w:pos="2511"/>
          <w:tab w:val="left" w:pos="4500"/>
          <w:tab w:val="left" w:pos="4590"/>
          <w:tab w:val="center" w:pos="4680"/>
          <w:tab w:val="left" w:pos="4770"/>
          <w:tab w:val="left" w:pos="4860"/>
        </w:tabs>
        <w:spacing w:before="240" w:line="276" w:lineRule="auto"/>
        <w:jc w:val="both"/>
        <w:rPr>
          <w:rFonts w:asciiTheme="minorHAnsi" w:eastAsiaTheme="minorEastAsia" w:hAnsiTheme="minorHAnsi" w:cstheme="minorHAnsi"/>
          <w:color w:val="000000" w:themeColor="text1"/>
          <w:kern w:val="24"/>
          <w:lang w:val="it-IT"/>
        </w:rPr>
      </w:pPr>
      <w:r w:rsidRPr="004E355C">
        <w:rPr>
          <w:rFonts w:asciiTheme="minorHAnsi" w:hAnsiTheme="minorHAnsi"/>
          <w:b/>
          <w:bCs/>
          <w:lang w:val="sq-AL"/>
        </w:rPr>
        <w:t>Të Ardhurat Doganore</w:t>
      </w:r>
      <w:r w:rsidRPr="004E355C">
        <w:rPr>
          <w:rFonts w:asciiTheme="minorHAnsi" w:hAnsiTheme="minorHAnsi"/>
          <w:bCs/>
          <w:lang w:val="sq-AL"/>
        </w:rPr>
        <w:t xml:space="preserve"> – </w:t>
      </w:r>
      <w:r w:rsidR="00FD3343" w:rsidRPr="00C44352">
        <w:rPr>
          <w:rFonts w:asciiTheme="minorHAnsi" w:hAnsiTheme="minorHAnsi" w:cstheme="minorHAnsi"/>
        </w:rPr>
        <w:t>Të ardhurat e mbledhura nga administrata doganore për 5 mujorin e vitit 2022 janë realizuar në vlerën 83.8 miliardë lekë, 23.6% ose 16 miliardë lekë më shumë se 5 mujori i vitit 2021, dhe 4.3% ose 3.4 miliardë lekë më shumë se plani i të ardhurave doganore për 5</w:t>
      </w:r>
      <w:r w:rsidR="00777169">
        <w:rPr>
          <w:rFonts w:asciiTheme="minorHAnsi" w:hAnsiTheme="minorHAnsi" w:cstheme="minorHAnsi"/>
        </w:rPr>
        <w:t>M</w:t>
      </w:r>
      <w:r w:rsidR="00FD3343" w:rsidRPr="00C44352">
        <w:rPr>
          <w:rFonts w:asciiTheme="minorHAnsi" w:hAnsiTheme="minorHAnsi" w:cstheme="minorHAnsi"/>
        </w:rPr>
        <w:t xml:space="preserve"> 2022</w:t>
      </w:r>
      <w:r w:rsidRPr="004E355C">
        <w:rPr>
          <w:rFonts w:asciiTheme="minorHAnsi" w:hAnsiTheme="minorHAnsi" w:cstheme="minorHAnsi"/>
          <w:lang w:val="it-IT"/>
        </w:rPr>
        <w:t>.</w:t>
      </w:r>
      <w:r w:rsidRPr="004E355C">
        <w:rPr>
          <w:rFonts w:asciiTheme="minorHAnsi" w:eastAsiaTheme="minorEastAsia" w:hAnsiTheme="minorHAnsi" w:cstheme="minorHAnsi"/>
          <w:color w:val="000000" w:themeColor="text1"/>
          <w:kern w:val="24"/>
          <w:lang w:val="it-IT"/>
        </w:rPr>
        <w:t xml:space="preserve"> </w:t>
      </w:r>
    </w:p>
    <w:p w:rsidR="00777169" w:rsidRPr="0034657E" w:rsidRDefault="00777169" w:rsidP="00777169">
      <w:pPr>
        <w:pStyle w:val="Caption"/>
        <w:keepNext/>
        <w:spacing w:after="0"/>
        <w:jc w:val="both"/>
        <w:rPr>
          <w:rFonts w:asciiTheme="minorHAnsi" w:hAnsiTheme="minorHAnsi"/>
          <w:b w:val="0"/>
          <w:bCs w:val="0"/>
          <w:i/>
          <w:color w:val="auto"/>
          <w:sz w:val="22"/>
          <w:szCs w:val="24"/>
          <w:lang w:val="sq-AL"/>
        </w:rPr>
      </w:pPr>
      <w:bookmarkStart w:id="14" w:name="_Toc107498094"/>
      <w:r w:rsidRPr="0034657E">
        <w:rPr>
          <w:rFonts w:asciiTheme="minorHAnsi" w:hAnsiTheme="minorHAnsi"/>
          <w:b w:val="0"/>
          <w:bCs w:val="0"/>
          <w:i/>
          <w:color w:val="auto"/>
          <w:sz w:val="22"/>
          <w:szCs w:val="24"/>
          <w:lang w:val="sq-AL"/>
        </w:rPr>
        <w:lastRenderedPageBreak/>
        <w:t xml:space="preserve">Grafiku </w:t>
      </w:r>
      <w:r w:rsidRPr="0034657E">
        <w:rPr>
          <w:rFonts w:asciiTheme="minorHAnsi" w:hAnsiTheme="minorHAnsi"/>
          <w:b w:val="0"/>
          <w:bCs w:val="0"/>
          <w:i/>
          <w:color w:val="auto"/>
          <w:sz w:val="22"/>
          <w:szCs w:val="24"/>
          <w:lang w:val="sq-AL"/>
        </w:rPr>
        <w:fldChar w:fldCharType="begin"/>
      </w:r>
      <w:r w:rsidRPr="0034657E">
        <w:rPr>
          <w:rFonts w:asciiTheme="minorHAnsi" w:hAnsiTheme="minorHAnsi"/>
          <w:b w:val="0"/>
          <w:bCs w:val="0"/>
          <w:i/>
          <w:color w:val="auto"/>
          <w:sz w:val="22"/>
          <w:szCs w:val="24"/>
          <w:lang w:val="sq-AL"/>
        </w:rPr>
        <w:instrText xml:space="preserve"> SEQ Grafiku \* ARABIC </w:instrText>
      </w:r>
      <w:r w:rsidRPr="0034657E">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3</w:t>
      </w:r>
      <w:r w:rsidRPr="0034657E">
        <w:rPr>
          <w:rFonts w:asciiTheme="minorHAnsi" w:hAnsiTheme="minorHAnsi"/>
          <w:b w:val="0"/>
          <w:bCs w:val="0"/>
          <w:i/>
          <w:color w:val="auto"/>
          <w:sz w:val="22"/>
          <w:szCs w:val="24"/>
          <w:lang w:val="sq-AL"/>
        </w:rPr>
        <w:fldChar w:fldCharType="end"/>
      </w:r>
      <w:r w:rsidRPr="0034657E">
        <w:rPr>
          <w:rFonts w:asciiTheme="minorHAnsi" w:hAnsiTheme="minorHAnsi"/>
          <w:b w:val="0"/>
          <w:bCs w:val="0"/>
          <w:i/>
          <w:color w:val="auto"/>
          <w:sz w:val="22"/>
          <w:szCs w:val="24"/>
          <w:lang w:val="sq-AL"/>
        </w:rPr>
        <w:t>: Të ardhurat Doganore për Janar- Maj 2021, mujore dhe progresive (në milion lekë)</w:t>
      </w:r>
      <w:bookmarkEnd w:id="14"/>
      <w:r w:rsidRPr="0034657E">
        <w:rPr>
          <w:noProof/>
          <w:sz w:val="16"/>
        </w:rPr>
        <w:t xml:space="preserve">                    </w:t>
      </w:r>
    </w:p>
    <w:p w:rsidR="0034657E" w:rsidRDefault="00777169" w:rsidP="0034657E">
      <w:pPr>
        <w:tabs>
          <w:tab w:val="left" w:pos="1260"/>
          <w:tab w:val="center" w:pos="4680"/>
          <w:tab w:val="left" w:pos="9360"/>
        </w:tabs>
        <w:spacing w:line="276" w:lineRule="auto"/>
        <w:jc w:val="both"/>
        <w:rPr>
          <w:rFonts w:asciiTheme="minorHAnsi" w:eastAsia="SimSun" w:hAnsiTheme="minorHAnsi"/>
          <w:i/>
          <w:sz w:val="8"/>
          <w:szCs w:val="8"/>
          <w:lang w:val="sq-AL"/>
        </w:rPr>
      </w:pPr>
      <w:r>
        <w:rPr>
          <w:noProof/>
        </w:rPr>
        <w:drawing>
          <wp:anchor distT="0" distB="0" distL="114300" distR="114300" simplePos="0" relativeHeight="251665920" behindDoc="0" locked="0" layoutInCell="1" allowOverlap="1" wp14:anchorId="366B3D16" wp14:editId="4B133A0A">
            <wp:simplePos x="0" y="0"/>
            <wp:positionH relativeFrom="column">
              <wp:posOffset>64770</wp:posOffset>
            </wp:positionH>
            <wp:positionV relativeFrom="paragraph">
              <wp:posOffset>4445</wp:posOffset>
            </wp:positionV>
            <wp:extent cx="2943225" cy="1798320"/>
            <wp:effectExtent l="0" t="0" r="9525" b="11430"/>
            <wp:wrapSquare wrapText="bothSides"/>
            <wp:docPr id="272" name="Chart 272">
              <a:extLst xmlns:a="http://schemas.openxmlformats.org/drawingml/2006/main">
                <a:ext uri="{FF2B5EF4-FFF2-40B4-BE49-F238E27FC236}">
                  <a16:creationId xmlns:a16="http://schemas.microsoft.com/office/drawing/2014/main" id="{928F6D70-CB68-443E-A8B3-56E10DE8FA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V relativeFrom="margin">
              <wp14:pctHeight>0</wp14:pctHeight>
            </wp14:sizeRelV>
          </wp:anchor>
        </w:drawing>
      </w:r>
      <w:r>
        <w:rPr>
          <w:noProof/>
        </w:rPr>
        <w:drawing>
          <wp:inline distT="0" distB="0" distL="0" distR="0" wp14:anchorId="3BA666E7" wp14:editId="79C67A84">
            <wp:extent cx="2867025" cy="1805940"/>
            <wp:effectExtent l="0" t="0" r="9525" b="3810"/>
            <wp:docPr id="273" name="Chart 273">
              <a:extLst xmlns:a="http://schemas.openxmlformats.org/drawingml/2006/main">
                <a:ext uri="{FF2B5EF4-FFF2-40B4-BE49-F238E27FC236}">
                  <a16:creationId xmlns:a16="http://schemas.microsoft.com/office/drawing/2014/main" id="{49E24131-DFDF-4DFD-B3C1-AEAFC9FB5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77169" w:rsidRPr="00CE45D4" w:rsidRDefault="00777169" w:rsidP="00777169">
      <w:pPr>
        <w:rPr>
          <w:lang w:val="sq-AL"/>
        </w:rPr>
      </w:pPr>
      <w:r w:rsidRPr="004E355C">
        <w:rPr>
          <w:rFonts w:asciiTheme="minorHAnsi" w:eastAsia="SimSun" w:hAnsiTheme="minorHAnsi"/>
          <w:lang w:val="sq-AL"/>
        </w:rPr>
        <w:t xml:space="preserve"> </w:t>
      </w:r>
      <w:r w:rsidRPr="004E355C">
        <w:rPr>
          <w:rFonts w:asciiTheme="minorHAnsi" w:hAnsiTheme="minorHAnsi"/>
          <w:i/>
          <w:noProof/>
          <w:sz w:val="20"/>
          <w:szCs w:val="20"/>
          <w:lang w:val="sq-AL"/>
        </w:rPr>
        <w:t xml:space="preserve">    </w:t>
      </w:r>
      <w:r>
        <w:rPr>
          <w:rFonts w:asciiTheme="minorHAnsi" w:hAnsiTheme="minorHAnsi"/>
          <w:i/>
          <w:noProof/>
          <w:sz w:val="20"/>
          <w:szCs w:val="20"/>
          <w:lang w:val="sq-AL"/>
        </w:rPr>
        <w:t>Burimi: Ministria e Financave dhe Ekonomisë (2022)</w:t>
      </w:r>
    </w:p>
    <w:p w:rsidR="00777169" w:rsidRPr="004E355C" w:rsidRDefault="00777169" w:rsidP="0034657E">
      <w:pPr>
        <w:tabs>
          <w:tab w:val="left" w:pos="1260"/>
          <w:tab w:val="center" w:pos="4680"/>
          <w:tab w:val="left" w:pos="9360"/>
        </w:tabs>
        <w:spacing w:line="276" w:lineRule="auto"/>
        <w:jc w:val="both"/>
        <w:rPr>
          <w:rFonts w:asciiTheme="minorHAnsi" w:eastAsia="SimSun" w:hAnsiTheme="minorHAnsi"/>
          <w:i/>
          <w:sz w:val="8"/>
          <w:szCs w:val="8"/>
          <w:lang w:val="sq-AL"/>
        </w:rPr>
      </w:pPr>
    </w:p>
    <w:p w:rsidR="0034657E" w:rsidRDefault="00F56B10" w:rsidP="0034657E">
      <w:pPr>
        <w:tabs>
          <w:tab w:val="left" w:pos="2511"/>
          <w:tab w:val="center" w:pos="4680"/>
        </w:tabs>
        <w:spacing w:before="240" w:line="276" w:lineRule="auto"/>
        <w:jc w:val="both"/>
        <w:rPr>
          <w:rFonts w:asciiTheme="minorHAnsi" w:hAnsiTheme="minorHAnsi" w:cstheme="minorHAnsi"/>
          <w:lang w:val="sq-AL"/>
        </w:rPr>
      </w:pPr>
      <w:r w:rsidRPr="00D66B8D">
        <w:rPr>
          <w:rFonts w:asciiTheme="minorHAnsi" w:hAnsiTheme="minorHAnsi" w:cstheme="minorHAnsi"/>
          <w:lang w:val="sq-AL"/>
        </w:rPr>
        <w:t>Kontribuesit kryesor me efekt pozitiv në të ardhurat doganore janë karburant importi me 24.6% të të ardhurave, cigaret me 13.8% të të ardhurave, metalet bazë 8.5%, energjia elektrike 4.8% të të ardhurave</w:t>
      </w:r>
      <w:r w:rsidR="0034657E">
        <w:rPr>
          <w:rFonts w:asciiTheme="minorHAnsi" w:hAnsiTheme="minorHAnsi" w:cstheme="minorHAnsi"/>
          <w:lang w:val="sq-AL"/>
        </w:rPr>
        <w:t>.</w:t>
      </w:r>
    </w:p>
    <w:p w:rsidR="0034657E" w:rsidRPr="00900B3D" w:rsidRDefault="0034657E" w:rsidP="00F56B10">
      <w:pPr>
        <w:pStyle w:val="Caption"/>
        <w:keepNext/>
        <w:spacing w:after="0"/>
        <w:jc w:val="both"/>
        <w:rPr>
          <w:rFonts w:asciiTheme="minorHAnsi" w:hAnsiTheme="minorHAnsi"/>
          <w:b w:val="0"/>
          <w:bCs w:val="0"/>
          <w:i/>
          <w:color w:val="auto"/>
          <w:sz w:val="22"/>
          <w:szCs w:val="24"/>
          <w:lang w:val="sq-AL"/>
        </w:rPr>
      </w:pPr>
      <w:bookmarkStart w:id="15" w:name="_Toc12448430"/>
      <w:bookmarkStart w:id="16" w:name="_Toc107498095"/>
      <w:r w:rsidRPr="00900B3D">
        <w:rPr>
          <w:rFonts w:asciiTheme="minorHAnsi" w:hAnsiTheme="minorHAnsi"/>
          <w:b w:val="0"/>
          <w:bCs w:val="0"/>
          <w:i/>
          <w:color w:val="auto"/>
          <w:sz w:val="22"/>
          <w:szCs w:val="24"/>
          <w:lang w:val="sq-AL"/>
        </w:rPr>
        <w:t xml:space="preserve">Grafiku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Grafiku \* ARABIC </w:instrText>
      </w:r>
      <w:r w:rsidRPr="00900B3D">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kryesor në të ardhurat doganore Janar- Maj 202</w:t>
      </w:r>
      <w:r w:rsidR="00F56B10">
        <w:rPr>
          <w:rFonts w:asciiTheme="minorHAnsi" w:hAnsiTheme="minorHAnsi"/>
          <w:b w:val="0"/>
          <w:bCs w:val="0"/>
          <w:i/>
          <w:color w:val="auto"/>
          <w:sz w:val="22"/>
          <w:szCs w:val="24"/>
          <w:lang w:val="sq-AL"/>
        </w:rPr>
        <w:t>2</w:t>
      </w:r>
      <w:r w:rsidRPr="00900B3D">
        <w:rPr>
          <w:rFonts w:asciiTheme="minorHAnsi" w:hAnsiTheme="minorHAnsi"/>
          <w:b w:val="0"/>
          <w:bCs w:val="0"/>
          <w:i/>
          <w:color w:val="auto"/>
          <w:sz w:val="22"/>
          <w:szCs w:val="24"/>
          <w:lang w:val="sq-AL"/>
        </w:rPr>
        <w:t>/202</w:t>
      </w:r>
      <w:r w:rsidR="00F56B10">
        <w:rPr>
          <w:rFonts w:asciiTheme="minorHAnsi" w:hAnsiTheme="minorHAnsi"/>
          <w:b w:val="0"/>
          <w:bCs w:val="0"/>
          <w:i/>
          <w:color w:val="auto"/>
          <w:sz w:val="22"/>
          <w:szCs w:val="24"/>
          <w:lang w:val="sq-AL"/>
        </w:rPr>
        <w:t>1</w:t>
      </w:r>
      <w:r w:rsidRPr="00900B3D">
        <w:rPr>
          <w:rFonts w:asciiTheme="minorHAnsi" w:hAnsiTheme="minorHAnsi"/>
          <w:b w:val="0"/>
          <w:bCs w:val="0"/>
          <w:i/>
          <w:color w:val="auto"/>
          <w:sz w:val="22"/>
          <w:szCs w:val="24"/>
          <w:lang w:val="sq-AL"/>
        </w:rPr>
        <w:t xml:space="preserve"> (në milion lekë)</w:t>
      </w:r>
      <w:bookmarkEnd w:id="15"/>
      <w:bookmarkEnd w:id="16"/>
    </w:p>
    <w:p w:rsidR="0034657E" w:rsidRPr="004E355C" w:rsidRDefault="00F56B10" w:rsidP="0034657E">
      <w:pPr>
        <w:tabs>
          <w:tab w:val="left" w:pos="1260"/>
          <w:tab w:val="center" w:pos="4680"/>
          <w:tab w:val="left" w:pos="9360"/>
        </w:tabs>
        <w:spacing w:line="276" w:lineRule="auto"/>
        <w:jc w:val="center"/>
        <w:rPr>
          <w:rFonts w:asciiTheme="minorHAnsi" w:eastAsia="SimSun" w:hAnsiTheme="minorHAnsi"/>
          <w:lang w:val="sq-AL"/>
        </w:rPr>
      </w:pPr>
      <w:r w:rsidRPr="004E355C">
        <w:rPr>
          <w:rFonts w:asciiTheme="minorHAnsi" w:eastAsia="SimSun" w:hAnsiTheme="minorHAnsi" w:cstheme="minorHAnsi"/>
          <w:noProof/>
        </w:rPr>
        <w:drawing>
          <wp:inline distT="0" distB="0" distL="0" distR="0" wp14:anchorId="4E57088C" wp14:editId="7BEFC097">
            <wp:extent cx="6000750" cy="1874520"/>
            <wp:effectExtent l="0" t="0" r="0" b="1143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4657E" w:rsidRPr="004E355C" w:rsidRDefault="0034657E" w:rsidP="0034657E">
      <w:pPr>
        <w:tabs>
          <w:tab w:val="left" w:pos="2511"/>
          <w:tab w:val="center" w:pos="4680"/>
          <w:tab w:val="left" w:pos="9360"/>
        </w:tabs>
        <w:spacing w:line="276" w:lineRule="auto"/>
        <w:jc w:val="both"/>
        <w:rPr>
          <w:rStyle w:val="Strong"/>
          <w:rFonts w:asciiTheme="minorHAnsi" w:hAnsiTheme="minorHAnsi"/>
          <w:b w:val="0"/>
          <w:bCs w:val="0"/>
          <w:i/>
          <w:noProof/>
          <w:sz w:val="20"/>
          <w:szCs w:val="20"/>
          <w:lang w:val="sq-AL"/>
        </w:rPr>
      </w:pPr>
      <w:r w:rsidRPr="004E355C">
        <w:rPr>
          <w:rFonts w:asciiTheme="minorHAnsi" w:hAnsiTheme="minorHAnsi"/>
          <w:i/>
          <w:noProof/>
          <w:sz w:val="20"/>
          <w:szCs w:val="20"/>
          <w:lang w:val="sq-AL"/>
        </w:rPr>
        <w:t xml:space="preserve">    </w:t>
      </w:r>
      <w:r w:rsidR="00FD3343">
        <w:rPr>
          <w:rFonts w:asciiTheme="minorHAnsi" w:hAnsiTheme="minorHAnsi"/>
          <w:i/>
          <w:noProof/>
          <w:sz w:val="20"/>
          <w:szCs w:val="20"/>
          <w:lang w:val="sq-AL"/>
        </w:rPr>
        <w:t>Burimi: Ministria e Financave dhe Ekonomisë (2022)</w:t>
      </w:r>
    </w:p>
    <w:p w:rsidR="00F56B10" w:rsidRPr="00F56B10" w:rsidRDefault="00F56B10" w:rsidP="00F56B10">
      <w:pPr>
        <w:pStyle w:val="NormalWeb"/>
        <w:spacing w:before="0" w:beforeAutospacing="0" w:after="0" w:afterAutospacing="0" w:line="276" w:lineRule="auto"/>
        <w:jc w:val="both"/>
        <w:rPr>
          <w:rStyle w:val="Strong"/>
          <w:rFonts w:asciiTheme="minorHAnsi" w:eastAsia="Calibri" w:hAnsiTheme="minorHAnsi" w:cstheme="minorHAnsi"/>
          <w:b w:val="0"/>
          <w:i/>
          <w:color w:val="000000" w:themeColor="text1"/>
          <w:sz w:val="8"/>
          <w:szCs w:val="8"/>
          <w:lang w:val="it-IT"/>
        </w:rPr>
      </w:pPr>
    </w:p>
    <w:p w:rsidR="00F56B10" w:rsidRDefault="00F56B10" w:rsidP="00F56B10">
      <w:pPr>
        <w:pStyle w:val="NormalWeb"/>
        <w:spacing w:before="0" w:beforeAutospacing="0" w:after="0" w:afterAutospacing="0" w:line="276" w:lineRule="auto"/>
        <w:jc w:val="both"/>
        <w:rPr>
          <w:rFonts w:asciiTheme="minorHAnsi" w:hAnsiTheme="minorHAnsi" w:cstheme="minorHAnsi"/>
          <w:color w:val="000000" w:themeColor="text1"/>
          <w:lang w:val="it-IT"/>
        </w:rPr>
      </w:pPr>
      <w:r w:rsidRPr="0044150C">
        <w:rPr>
          <w:rStyle w:val="Strong"/>
          <w:rFonts w:asciiTheme="minorHAnsi" w:eastAsia="Calibri" w:hAnsiTheme="minorHAnsi" w:cstheme="minorHAnsi"/>
          <w:b w:val="0"/>
          <w:i/>
          <w:color w:val="000000" w:themeColor="text1"/>
          <w:lang w:val="it-IT"/>
        </w:rPr>
        <w:t>Të ardhurat nga taksa doganore</w:t>
      </w:r>
      <w:r w:rsidRPr="0044150C">
        <w:rPr>
          <w:rFonts w:asciiTheme="minorHAnsi" w:hAnsiTheme="minorHAnsi" w:cstheme="minorHAnsi"/>
          <w:color w:val="000000" w:themeColor="text1"/>
          <w:lang w:val="it-IT"/>
        </w:rPr>
        <w:t xml:space="preserve"> janë realizuar në vlerën 3.1 miliardë lekë, 16.9% ose 453 milionë lekë më shume se 5 mujori i vitit 2021, dhe </w:t>
      </w:r>
      <w:r>
        <w:rPr>
          <w:rFonts w:asciiTheme="minorHAnsi" w:hAnsiTheme="minorHAnsi" w:cstheme="minorHAnsi"/>
          <w:color w:val="000000" w:themeColor="text1"/>
          <w:lang w:val="it-IT"/>
        </w:rPr>
        <w:t>29.6% ose 714</w:t>
      </w:r>
      <w:r w:rsidRPr="0044150C">
        <w:rPr>
          <w:rFonts w:asciiTheme="minorHAnsi" w:hAnsiTheme="minorHAnsi" w:cstheme="minorHAnsi"/>
          <w:color w:val="000000" w:themeColor="text1"/>
          <w:lang w:val="it-IT"/>
        </w:rPr>
        <w:t xml:space="preserve"> </w:t>
      </w:r>
      <w:r>
        <w:rPr>
          <w:rFonts w:asciiTheme="minorHAnsi" w:hAnsiTheme="minorHAnsi" w:cstheme="minorHAnsi"/>
          <w:color w:val="000000" w:themeColor="text1"/>
          <w:lang w:val="it-IT"/>
        </w:rPr>
        <w:t>milionë</w:t>
      </w:r>
      <w:r w:rsidRPr="0044150C">
        <w:rPr>
          <w:rFonts w:asciiTheme="minorHAnsi" w:hAnsiTheme="minorHAnsi" w:cstheme="minorHAnsi"/>
          <w:color w:val="000000" w:themeColor="text1"/>
          <w:lang w:val="it-IT"/>
        </w:rPr>
        <w:t xml:space="preserve"> lekë më shumë se plani 5</w:t>
      </w:r>
      <w:r>
        <w:rPr>
          <w:rFonts w:asciiTheme="minorHAnsi" w:hAnsiTheme="minorHAnsi" w:cstheme="minorHAnsi"/>
          <w:color w:val="000000" w:themeColor="text1"/>
          <w:lang w:val="it-IT"/>
        </w:rPr>
        <w:t>M</w:t>
      </w:r>
      <w:r w:rsidRPr="0044150C">
        <w:rPr>
          <w:rFonts w:asciiTheme="minorHAnsi" w:hAnsiTheme="minorHAnsi" w:cstheme="minorHAnsi"/>
          <w:color w:val="000000" w:themeColor="text1"/>
          <w:lang w:val="it-IT"/>
        </w:rPr>
        <w:t xml:space="preserve"> 2022.</w:t>
      </w:r>
    </w:p>
    <w:p w:rsidR="00F56B10" w:rsidRPr="00F56B10" w:rsidRDefault="00F56B10" w:rsidP="00F56B10">
      <w:pPr>
        <w:pStyle w:val="NormalWeb"/>
        <w:spacing w:before="0" w:beforeAutospacing="0" w:after="0" w:afterAutospacing="0" w:line="276" w:lineRule="auto"/>
        <w:jc w:val="both"/>
        <w:rPr>
          <w:rFonts w:asciiTheme="minorHAnsi" w:hAnsiTheme="minorHAnsi" w:cstheme="minorHAnsi"/>
          <w:i/>
          <w:sz w:val="8"/>
          <w:szCs w:val="8"/>
        </w:rPr>
      </w:pPr>
    </w:p>
    <w:p w:rsidR="0034657E" w:rsidRPr="00F56B10" w:rsidRDefault="00F56B10" w:rsidP="00F56B10">
      <w:pPr>
        <w:pStyle w:val="NormalWeb"/>
        <w:spacing w:before="0" w:beforeAutospacing="0" w:after="0" w:afterAutospacing="0" w:line="276" w:lineRule="auto"/>
        <w:jc w:val="both"/>
        <w:rPr>
          <w:rFonts w:asciiTheme="minorHAnsi" w:hAnsiTheme="minorHAnsi" w:cstheme="minorHAnsi"/>
          <w:lang w:val="it-IT"/>
        </w:rPr>
      </w:pPr>
      <w:r w:rsidRPr="00DA3F3C">
        <w:rPr>
          <w:rFonts w:asciiTheme="minorHAnsi" w:hAnsiTheme="minorHAnsi" w:cstheme="minorHAnsi"/>
          <w:i/>
        </w:rPr>
        <w:t>Të ardhurat nga akciza</w:t>
      </w:r>
      <w:r w:rsidRPr="00DA3F3C">
        <w:rPr>
          <w:rFonts w:asciiTheme="minorHAnsi" w:hAnsiTheme="minorHAnsi" w:cstheme="minorHAnsi"/>
        </w:rPr>
        <w:t xml:space="preserve"> janë realizuar në vlerën 19.5 miliardë lekë, 6.5% ose 1.2 miliardë lekë më shumë se 5 mujori i vitit 2021, dhe -7.8% ose -1.6 miliardë lekë më shume se plani. Grup-produktet me kontribut pozitiv në të ardhura, ndikim kryesor pozitiv ka pasur </w:t>
      </w:r>
      <w:r w:rsidRPr="00DA3F3C">
        <w:rPr>
          <w:rFonts w:asciiTheme="minorHAnsi" w:hAnsiTheme="minorHAnsi" w:cstheme="minorHAnsi"/>
          <w:lang w:val="it-IT"/>
        </w:rPr>
        <w:t>produkti cigare i cili rezultoi me një rritje prej 150 ton ose +14.8% me një efekt +1.2 miliardë lekë më shumë se viti i kaluar.</w:t>
      </w:r>
      <w:r>
        <w:rPr>
          <w:rFonts w:asciiTheme="minorHAnsi" w:hAnsiTheme="minorHAnsi" w:cstheme="minorHAnsi"/>
          <w:lang w:val="it-IT"/>
        </w:rPr>
        <w:t xml:space="preserve"> </w:t>
      </w:r>
      <w:r w:rsidRPr="00DA3F3C">
        <w:rPr>
          <w:rFonts w:asciiTheme="minorHAnsi" w:hAnsiTheme="minorHAnsi" w:cstheme="minorHAnsi"/>
          <w:lang w:val="it-IT"/>
        </w:rPr>
        <w:t xml:space="preserve">Ndër produktet e akcizueshme që kishin ndikim negativ, ishte produkti karburant import me një rënie prej 14,3 mijë ton (-6.3%) krahasuar me një vit më parë duke sjell nje efekt negativ në akcizë me </w:t>
      </w:r>
      <w:r>
        <w:rPr>
          <w:rFonts w:asciiTheme="minorHAnsi" w:hAnsiTheme="minorHAnsi" w:cstheme="minorHAnsi"/>
          <w:lang w:val="it-IT"/>
        </w:rPr>
        <w:t xml:space="preserve">         </w:t>
      </w:r>
      <w:r w:rsidRPr="00DA3F3C">
        <w:rPr>
          <w:rFonts w:asciiTheme="minorHAnsi" w:hAnsiTheme="minorHAnsi" w:cstheme="minorHAnsi"/>
          <w:lang w:val="it-IT"/>
        </w:rPr>
        <w:t>-325 milionë lekë</w:t>
      </w:r>
      <w:r w:rsidR="0034657E" w:rsidRPr="00536465">
        <w:rPr>
          <w:rFonts w:asciiTheme="minorHAnsi" w:hAnsiTheme="minorHAnsi" w:cstheme="minorHAnsi"/>
        </w:rPr>
        <w:t>.</w:t>
      </w:r>
    </w:p>
    <w:p w:rsidR="0034657E" w:rsidRDefault="0034657E" w:rsidP="0034657E">
      <w:pPr>
        <w:pStyle w:val="Caption"/>
        <w:keepNext/>
        <w:spacing w:after="0"/>
        <w:jc w:val="both"/>
        <w:rPr>
          <w:rFonts w:asciiTheme="minorHAnsi" w:hAnsiTheme="minorHAnsi"/>
          <w:b w:val="0"/>
          <w:bCs w:val="0"/>
          <w:i/>
          <w:color w:val="FF0000"/>
          <w:sz w:val="8"/>
          <w:szCs w:val="8"/>
          <w:lang w:val="sq-AL"/>
        </w:rPr>
      </w:pPr>
    </w:p>
    <w:p w:rsidR="0034657E" w:rsidRPr="00900B3D" w:rsidRDefault="00C371C2" w:rsidP="00C371C2">
      <w:pPr>
        <w:pStyle w:val="Caption"/>
        <w:rPr>
          <w:rFonts w:asciiTheme="minorHAnsi" w:hAnsiTheme="minorHAnsi"/>
          <w:b w:val="0"/>
          <w:bCs w:val="0"/>
          <w:i/>
          <w:color w:val="auto"/>
          <w:sz w:val="22"/>
          <w:szCs w:val="24"/>
          <w:lang w:val="sq-AL"/>
        </w:rPr>
      </w:pPr>
      <w:bookmarkStart w:id="17" w:name="_Toc12449189"/>
      <w:bookmarkStart w:id="18" w:name="_Toc107496738"/>
      <w:r w:rsidRPr="00C371C2">
        <w:rPr>
          <w:rFonts w:asciiTheme="minorHAnsi" w:hAnsiTheme="minorHAnsi"/>
          <w:b w:val="0"/>
          <w:bCs w:val="0"/>
          <w:i/>
          <w:color w:val="auto"/>
          <w:sz w:val="22"/>
          <w:szCs w:val="24"/>
          <w:lang w:val="sq-AL"/>
        </w:rPr>
        <w:t xml:space="preserve">Tabela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Tabela \* ARABIC </w:instrText>
      </w:r>
      <w:r w:rsidRPr="00C371C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Kontribuesit pozitivë në të ardhurat nga Akciza/Diferencat Janar-Maj 202</w:t>
      </w:r>
      <w:r w:rsidR="00F56B10" w:rsidRPr="00C371C2">
        <w:rPr>
          <w:rFonts w:asciiTheme="minorHAnsi" w:hAnsiTheme="minorHAnsi"/>
          <w:b w:val="0"/>
          <w:bCs w:val="0"/>
          <w:i/>
          <w:color w:val="auto"/>
          <w:sz w:val="22"/>
          <w:szCs w:val="24"/>
          <w:lang w:val="sq-AL"/>
        </w:rPr>
        <w:t>2</w:t>
      </w:r>
      <w:r w:rsidR="0034657E" w:rsidRPr="00C371C2">
        <w:rPr>
          <w:rFonts w:asciiTheme="minorHAnsi" w:hAnsiTheme="minorHAnsi"/>
          <w:b w:val="0"/>
          <w:bCs w:val="0"/>
          <w:i/>
          <w:color w:val="auto"/>
          <w:sz w:val="22"/>
          <w:szCs w:val="24"/>
          <w:lang w:val="sq-AL"/>
        </w:rPr>
        <w:t>/20</w:t>
      </w:r>
      <w:bookmarkEnd w:id="17"/>
      <w:r w:rsidR="0034657E" w:rsidRPr="00C371C2">
        <w:rPr>
          <w:rFonts w:asciiTheme="minorHAnsi" w:hAnsiTheme="minorHAnsi"/>
          <w:b w:val="0"/>
          <w:bCs w:val="0"/>
          <w:i/>
          <w:color w:val="auto"/>
          <w:sz w:val="22"/>
          <w:szCs w:val="24"/>
          <w:lang w:val="sq-AL"/>
        </w:rPr>
        <w:t>2</w:t>
      </w:r>
      <w:r w:rsidR="00F56B10" w:rsidRPr="00C371C2">
        <w:rPr>
          <w:rFonts w:asciiTheme="minorHAnsi" w:hAnsiTheme="minorHAnsi"/>
          <w:b w:val="0"/>
          <w:bCs w:val="0"/>
          <w:i/>
          <w:color w:val="auto"/>
          <w:sz w:val="22"/>
          <w:szCs w:val="24"/>
          <w:lang w:val="sq-AL"/>
        </w:rPr>
        <w:t>1</w:t>
      </w:r>
      <w:bookmarkEnd w:id="18"/>
    </w:p>
    <w:tbl>
      <w:tblPr>
        <w:tblW w:w="9701" w:type="dxa"/>
        <w:jc w:val="center"/>
        <w:tblLook w:val="0600" w:firstRow="0" w:lastRow="0" w:firstColumn="0" w:lastColumn="0" w:noHBand="1" w:noVBand="1"/>
      </w:tblPr>
      <w:tblGrid>
        <w:gridCol w:w="3878"/>
        <w:gridCol w:w="1096"/>
        <w:gridCol w:w="1077"/>
        <w:gridCol w:w="1234"/>
        <w:gridCol w:w="1332"/>
        <w:gridCol w:w="1084"/>
      </w:tblGrid>
      <w:tr w:rsidR="00F56B10" w:rsidRPr="00F56B10" w:rsidTr="00FA2630">
        <w:trPr>
          <w:trHeight w:val="277"/>
          <w:jc w:val="center"/>
        </w:trPr>
        <w:tc>
          <w:tcPr>
            <w:tcW w:w="9701" w:type="dxa"/>
            <w:gridSpan w:val="6"/>
            <w:tcBorders>
              <w:top w:val="single" w:sz="4" w:space="0" w:color="5B9BD5"/>
              <w:left w:val="single" w:sz="4" w:space="0" w:color="5B9BD5"/>
              <w:bottom w:val="nil"/>
              <w:right w:val="single" w:sz="4" w:space="0" w:color="5B9BD5"/>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Diferencat Janar-Maj 2022/2021</w:t>
            </w:r>
          </w:p>
        </w:tc>
      </w:tr>
      <w:tr w:rsidR="00F56B10" w:rsidRPr="00F56B10" w:rsidTr="00FA2630">
        <w:trPr>
          <w:trHeight w:val="277"/>
          <w:jc w:val="center"/>
        </w:trPr>
        <w:tc>
          <w:tcPr>
            <w:tcW w:w="9701" w:type="dxa"/>
            <w:gridSpan w:val="6"/>
            <w:tcBorders>
              <w:top w:val="nil"/>
              <w:left w:val="single" w:sz="4" w:space="0" w:color="5B9BD5"/>
              <w:bottom w:val="nil"/>
              <w:right w:val="single" w:sz="4" w:space="0" w:color="5B9BD5"/>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 xml:space="preserve">                                                            Produktet me kontribut Pozitiv</w:t>
            </w:r>
            <w:r w:rsidRPr="00F56B10">
              <w:rPr>
                <w:rFonts w:ascii="Calibri" w:hAnsi="Calibri" w:cs="Calibri"/>
                <w:b/>
                <w:bCs/>
                <w:color w:val="00B050"/>
                <w:sz w:val="20"/>
                <w:szCs w:val="20"/>
              </w:rPr>
              <w:t xml:space="preserve">   </w:t>
            </w:r>
            <w:r w:rsidRPr="00F56B10">
              <w:rPr>
                <w:rFonts w:ascii="Calibri" w:hAnsi="Calibri" w:cs="Calibri"/>
                <w:b/>
                <w:bCs/>
                <w:color w:val="0070C0"/>
                <w:sz w:val="20"/>
                <w:szCs w:val="20"/>
              </w:rPr>
              <w:t xml:space="preserve">                                     </w:t>
            </w:r>
            <w:r w:rsidRPr="00F56B10">
              <w:rPr>
                <w:rFonts w:ascii="Calibri" w:hAnsi="Calibri" w:cs="Calibri"/>
                <w:b/>
                <w:bCs/>
                <w:color w:val="000000"/>
                <w:sz w:val="20"/>
                <w:szCs w:val="20"/>
              </w:rPr>
              <w:t>milionë lekë</w:t>
            </w:r>
          </w:p>
        </w:tc>
      </w:tr>
      <w:tr w:rsidR="00F56B10" w:rsidRPr="00F56B10" w:rsidTr="00FA2630">
        <w:trPr>
          <w:trHeight w:val="277"/>
          <w:jc w:val="center"/>
        </w:trPr>
        <w:tc>
          <w:tcPr>
            <w:tcW w:w="3878" w:type="dxa"/>
            <w:tcBorders>
              <w:top w:val="nil"/>
              <w:left w:val="single" w:sz="4" w:space="0" w:color="5B9BD5"/>
              <w:bottom w:val="single" w:sz="4" w:space="0" w:color="5B9BD5"/>
              <w:right w:val="nil"/>
            </w:tcBorders>
            <w:shd w:val="clear" w:color="000000" w:fill="BDD7EE"/>
            <w:vAlign w:val="bottom"/>
            <w:hideMark/>
          </w:tcPr>
          <w:p w:rsidR="00F56B10" w:rsidRPr="00F56B10" w:rsidRDefault="00F56B10" w:rsidP="00FA2630">
            <w:pPr>
              <w:rPr>
                <w:rFonts w:ascii="Calibri" w:hAnsi="Calibri" w:cs="Calibri"/>
                <w:b/>
                <w:bCs/>
                <w:color w:val="000000"/>
                <w:sz w:val="20"/>
                <w:szCs w:val="20"/>
              </w:rPr>
            </w:pPr>
            <w:r w:rsidRPr="00F56B10">
              <w:rPr>
                <w:rFonts w:ascii="Calibri" w:hAnsi="Calibri" w:cs="Calibri"/>
                <w:b/>
                <w:bCs/>
                <w:color w:val="000000"/>
                <w:sz w:val="20"/>
                <w:szCs w:val="20"/>
              </w:rPr>
              <w:t> </w:t>
            </w:r>
          </w:p>
        </w:tc>
        <w:tc>
          <w:tcPr>
            <w:tcW w:w="1096" w:type="dxa"/>
            <w:tcBorders>
              <w:top w:val="nil"/>
              <w:left w:val="nil"/>
              <w:bottom w:val="single" w:sz="4" w:space="0" w:color="5B9BD5"/>
              <w:right w:val="nil"/>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Njësia</w:t>
            </w:r>
          </w:p>
        </w:tc>
        <w:tc>
          <w:tcPr>
            <w:tcW w:w="1077" w:type="dxa"/>
            <w:tcBorders>
              <w:top w:val="nil"/>
              <w:left w:val="nil"/>
              <w:bottom w:val="single" w:sz="4" w:space="0" w:color="5B9BD5"/>
              <w:right w:val="nil"/>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 xml:space="preserve">Sasi </w:t>
            </w:r>
          </w:p>
        </w:tc>
        <w:tc>
          <w:tcPr>
            <w:tcW w:w="1234" w:type="dxa"/>
            <w:tcBorders>
              <w:top w:val="nil"/>
              <w:left w:val="nil"/>
              <w:bottom w:val="single" w:sz="4" w:space="0" w:color="5B9BD5"/>
              <w:right w:val="nil"/>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w:t>
            </w:r>
          </w:p>
        </w:tc>
        <w:tc>
          <w:tcPr>
            <w:tcW w:w="1332" w:type="dxa"/>
            <w:tcBorders>
              <w:top w:val="nil"/>
              <w:left w:val="nil"/>
              <w:bottom w:val="single" w:sz="4" w:space="0" w:color="5B9BD5"/>
              <w:right w:val="nil"/>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Akciza</w:t>
            </w:r>
          </w:p>
        </w:tc>
        <w:tc>
          <w:tcPr>
            <w:tcW w:w="1084" w:type="dxa"/>
            <w:tcBorders>
              <w:top w:val="nil"/>
              <w:left w:val="nil"/>
              <w:bottom w:val="single" w:sz="4" w:space="0" w:color="5B9BD5"/>
              <w:right w:val="single" w:sz="4" w:space="0" w:color="5B9BD5"/>
            </w:tcBorders>
            <w:shd w:val="clear" w:color="000000" w:fill="BDD7EE"/>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w:t>
            </w:r>
          </w:p>
        </w:tc>
      </w:tr>
      <w:tr w:rsidR="00F56B10" w:rsidRPr="00F56B10" w:rsidTr="00FA2630">
        <w:trPr>
          <w:trHeight w:val="245"/>
          <w:jc w:val="center"/>
        </w:trPr>
        <w:tc>
          <w:tcPr>
            <w:tcW w:w="3878" w:type="dxa"/>
            <w:tcBorders>
              <w:top w:val="nil"/>
              <w:left w:val="single" w:sz="4" w:space="0" w:color="5B9BD5"/>
              <w:bottom w:val="nil"/>
              <w:right w:val="nil"/>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Cigare</w:t>
            </w:r>
          </w:p>
        </w:tc>
        <w:tc>
          <w:tcPr>
            <w:tcW w:w="1096" w:type="dxa"/>
            <w:tcBorders>
              <w:top w:val="nil"/>
              <w:left w:val="single" w:sz="4" w:space="0" w:color="5B9BD5"/>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i/>
                <w:iCs/>
                <w:color w:val="000000"/>
                <w:sz w:val="20"/>
                <w:szCs w:val="20"/>
              </w:rPr>
            </w:pPr>
            <w:r w:rsidRPr="00F56B10">
              <w:rPr>
                <w:rFonts w:ascii="Calibri" w:hAnsi="Calibri" w:cs="Calibri"/>
                <w:i/>
                <w:iCs/>
                <w:color w:val="000000"/>
                <w:sz w:val="20"/>
                <w:szCs w:val="20"/>
              </w:rPr>
              <w:t xml:space="preserve">Ton </w:t>
            </w:r>
          </w:p>
        </w:tc>
        <w:tc>
          <w:tcPr>
            <w:tcW w:w="1077" w:type="dxa"/>
            <w:tcBorders>
              <w:top w:val="nil"/>
              <w:left w:val="nil"/>
              <w:bottom w:val="nil"/>
              <w:right w:val="single" w:sz="4" w:space="0" w:color="5B9BD5"/>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    150</w:t>
            </w:r>
          </w:p>
        </w:tc>
        <w:tc>
          <w:tcPr>
            <w:tcW w:w="1234" w:type="dxa"/>
            <w:tcBorders>
              <w:top w:val="nil"/>
              <w:left w:val="nil"/>
              <w:bottom w:val="nil"/>
              <w:right w:val="nil"/>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     14.8%</w:t>
            </w:r>
          </w:p>
        </w:tc>
        <w:tc>
          <w:tcPr>
            <w:tcW w:w="1332" w:type="dxa"/>
            <w:tcBorders>
              <w:top w:val="nil"/>
              <w:left w:val="single" w:sz="4" w:space="0" w:color="5B9BD5"/>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1,198</w:t>
            </w:r>
          </w:p>
        </w:tc>
        <w:tc>
          <w:tcPr>
            <w:tcW w:w="1084" w:type="dxa"/>
            <w:tcBorders>
              <w:top w:val="nil"/>
              <w:left w:val="nil"/>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18.8%</w:t>
            </w:r>
          </w:p>
        </w:tc>
      </w:tr>
      <w:tr w:rsidR="00F56B10" w:rsidRPr="00F56B10" w:rsidTr="00FA2630">
        <w:trPr>
          <w:trHeight w:val="245"/>
          <w:jc w:val="center"/>
        </w:trPr>
        <w:tc>
          <w:tcPr>
            <w:tcW w:w="3878" w:type="dxa"/>
            <w:tcBorders>
              <w:top w:val="single" w:sz="4" w:space="0" w:color="5B9BD5"/>
              <w:left w:val="single" w:sz="4" w:space="0" w:color="5B9BD5"/>
              <w:bottom w:val="single" w:sz="4" w:space="0" w:color="5B9BD5"/>
              <w:right w:val="nil"/>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Karburant Prodhim Vendi</w:t>
            </w:r>
          </w:p>
        </w:tc>
        <w:tc>
          <w:tcPr>
            <w:tcW w:w="109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i/>
                <w:iCs/>
                <w:color w:val="000000"/>
                <w:sz w:val="20"/>
                <w:szCs w:val="20"/>
              </w:rPr>
            </w:pPr>
            <w:r w:rsidRPr="00F56B10">
              <w:rPr>
                <w:rFonts w:ascii="Calibri" w:hAnsi="Calibri" w:cs="Calibri"/>
                <w:i/>
                <w:iCs/>
                <w:color w:val="000000"/>
                <w:sz w:val="20"/>
                <w:szCs w:val="20"/>
              </w:rPr>
              <w:t xml:space="preserve">Ton </w:t>
            </w:r>
          </w:p>
        </w:tc>
        <w:tc>
          <w:tcPr>
            <w:tcW w:w="1077" w:type="dxa"/>
            <w:tcBorders>
              <w:top w:val="single" w:sz="4" w:space="0" w:color="5B9BD5"/>
              <w:left w:val="nil"/>
              <w:bottom w:val="single" w:sz="4" w:space="0" w:color="5B9BD5"/>
              <w:right w:val="single" w:sz="4" w:space="0" w:color="5B9BD5"/>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   1,302</w:t>
            </w:r>
          </w:p>
        </w:tc>
        <w:tc>
          <w:tcPr>
            <w:tcW w:w="1234" w:type="dxa"/>
            <w:tcBorders>
              <w:top w:val="single" w:sz="4" w:space="0" w:color="5B9BD5"/>
              <w:left w:val="nil"/>
              <w:bottom w:val="single" w:sz="4" w:space="0" w:color="5B9BD5"/>
              <w:right w:val="nil"/>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24.6%</w:t>
            </w:r>
          </w:p>
        </w:tc>
        <w:tc>
          <w:tcPr>
            <w:tcW w:w="1332"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55</w:t>
            </w:r>
          </w:p>
        </w:tc>
        <w:tc>
          <w:tcPr>
            <w:tcW w:w="1084" w:type="dxa"/>
            <w:tcBorders>
              <w:top w:val="single" w:sz="4" w:space="0" w:color="5B9BD5"/>
              <w:left w:val="nil"/>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28%</w:t>
            </w:r>
          </w:p>
        </w:tc>
      </w:tr>
      <w:tr w:rsidR="00F56B10" w:rsidRPr="00F56B10" w:rsidTr="00FA2630">
        <w:trPr>
          <w:trHeight w:val="245"/>
          <w:jc w:val="center"/>
        </w:trPr>
        <w:tc>
          <w:tcPr>
            <w:tcW w:w="3878" w:type="dxa"/>
            <w:tcBorders>
              <w:top w:val="nil"/>
              <w:left w:val="single" w:sz="4" w:space="0" w:color="5B9BD5"/>
              <w:bottom w:val="nil"/>
              <w:right w:val="nil"/>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Pije alkoolike Import</w:t>
            </w:r>
          </w:p>
        </w:tc>
        <w:tc>
          <w:tcPr>
            <w:tcW w:w="1096" w:type="dxa"/>
            <w:tcBorders>
              <w:top w:val="nil"/>
              <w:left w:val="single" w:sz="4" w:space="0" w:color="5B9BD5"/>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i/>
                <w:iCs/>
                <w:color w:val="000000"/>
                <w:sz w:val="20"/>
                <w:szCs w:val="20"/>
              </w:rPr>
            </w:pPr>
            <w:r w:rsidRPr="00F56B10">
              <w:rPr>
                <w:rFonts w:ascii="Calibri" w:hAnsi="Calibri" w:cs="Calibri"/>
                <w:i/>
                <w:iCs/>
                <w:color w:val="000000"/>
                <w:sz w:val="20"/>
                <w:szCs w:val="20"/>
              </w:rPr>
              <w:t>Mije lit</w:t>
            </w:r>
          </w:p>
        </w:tc>
        <w:tc>
          <w:tcPr>
            <w:tcW w:w="1077" w:type="dxa"/>
            <w:tcBorders>
              <w:top w:val="nil"/>
              <w:left w:val="nil"/>
              <w:bottom w:val="nil"/>
              <w:right w:val="single" w:sz="4" w:space="0" w:color="5B9BD5"/>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     201</w:t>
            </w:r>
          </w:p>
        </w:tc>
        <w:tc>
          <w:tcPr>
            <w:tcW w:w="1234" w:type="dxa"/>
            <w:tcBorders>
              <w:top w:val="nil"/>
              <w:left w:val="nil"/>
              <w:bottom w:val="nil"/>
              <w:right w:val="nil"/>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40.7%</w:t>
            </w:r>
          </w:p>
        </w:tc>
        <w:tc>
          <w:tcPr>
            <w:tcW w:w="1332" w:type="dxa"/>
            <w:tcBorders>
              <w:top w:val="nil"/>
              <w:left w:val="single" w:sz="4" w:space="0" w:color="5B9BD5"/>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52</w:t>
            </w:r>
          </w:p>
        </w:tc>
        <w:tc>
          <w:tcPr>
            <w:tcW w:w="1084" w:type="dxa"/>
            <w:tcBorders>
              <w:top w:val="nil"/>
              <w:left w:val="nil"/>
              <w:bottom w:val="nil"/>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53.3%</w:t>
            </w:r>
          </w:p>
        </w:tc>
      </w:tr>
      <w:tr w:rsidR="00F56B10" w:rsidRPr="00F56B10" w:rsidTr="00FA2630">
        <w:trPr>
          <w:trHeight w:val="245"/>
          <w:jc w:val="center"/>
        </w:trPr>
        <w:tc>
          <w:tcPr>
            <w:tcW w:w="3878" w:type="dxa"/>
            <w:tcBorders>
              <w:top w:val="single" w:sz="4" w:space="0" w:color="5B9BD5"/>
              <w:left w:val="single" w:sz="4" w:space="0" w:color="5B9BD5"/>
              <w:bottom w:val="single" w:sz="4" w:space="0" w:color="5B9BD5"/>
              <w:right w:val="nil"/>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Birrë </w:t>
            </w:r>
          </w:p>
        </w:tc>
        <w:tc>
          <w:tcPr>
            <w:tcW w:w="109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i/>
                <w:iCs/>
                <w:color w:val="000000"/>
                <w:sz w:val="20"/>
                <w:szCs w:val="20"/>
              </w:rPr>
            </w:pPr>
            <w:r w:rsidRPr="00F56B10">
              <w:rPr>
                <w:rFonts w:ascii="Calibri" w:hAnsi="Calibri" w:cs="Calibri"/>
                <w:i/>
                <w:iCs/>
                <w:color w:val="000000"/>
                <w:sz w:val="20"/>
                <w:szCs w:val="20"/>
              </w:rPr>
              <w:t>Mije lit</w:t>
            </w:r>
          </w:p>
        </w:tc>
        <w:tc>
          <w:tcPr>
            <w:tcW w:w="1077" w:type="dxa"/>
            <w:tcBorders>
              <w:top w:val="single" w:sz="4" w:space="0" w:color="5B9BD5"/>
              <w:left w:val="nil"/>
              <w:bottom w:val="single" w:sz="4" w:space="0" w:color="5B9BD5"/>
              <w:right w:val="single" w:sz="4" w:space="0" w:color="5B9BD5"/>
            </w:tcBorders>
            <w:shd w:val="clear" w:color="auto" w:fill="auto"/>
            <w:vAlign w:val="bottom"/>
            <w:hideMark/>
          </w:tcPr>
          <w:p w:rsidR="00F56B10" w:rsidRPr="00F56B10" w:rsidRDefault="00F56B10" w:rsidP="00FA2630">
            <w:pPr>
              <w:rPr>
                <w:rFonts w:ascii="Calibri" w:hAnsi="Calibri" w:cs="Calibri"/>
                <w:color w:val="000000"/>
                <w:sz w:val="20"/>
                <w:szCs w:val="20"/>
              </w:rPr>
            </w:pPr>
            <w:r w:rsidRPr="00F56B10">
              <w:rPr>
                <w:rFonts w:ascii="Calibri" w:hAnsi="Calibri" w:cs="Calibri"/>
                <w:color w:val="000000"/>
                <w:sz w:val="20"/>
                <w:szCs w:val="20"/>
              </w:rPr>
              <w:t xml:space="preserve">     903</w:t>
            </w:r>
          </w:p>
        </w:tc>
        <w:tc>
          <w:tcPr>
            <w:tcW w:w="1234" w:type="dxa"/>
            <w:tcBorders>
              <w:top w:val="single" w:sz="4" w:space="0" w:color="5B9BD5"/>
              <w:left w:val="nil"/>
              <w:bottom w:val="single" w:sz="4" w:space="0" w:color="5B9BD5"/>
              <w:right w:val="nil"/>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6.7%</w:t>
            </w:r>
          </w:p>
        </w:tc>
        <w:tc>
          <w:tcPr>
            <w:tcW w:w="1332"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46</w:t>
            </w:r>
          </w:p>
        </w:tc>
        <w:tc>
          <w:tcPr>
            <w:tcW w:w="1084" w:type="dxa"/>
            <w:tcBorders>
              <w:top w:val="single" w:sz="4" w:space="0" w:color="5B9BD5"/>
              <w:left w:val="nil"/>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r w:rsidRPr="00F56B10">
              <w:rPr>
                <w:rFonts w:ascii="Calibri" w:hAnsi="Calibri" w:cs="Calibri"/>
                <w:color w:val="000000"/>
                <w:sz w:val="20"/>
                <w:szCs w:val="20"/>
              </w:rPr>
              <w:t>10.4%</w:t>
            </w:r>
          </w:p>
        </w:tc>
      </w:tr>
      <w:tr w:rsidR="00F56B10" w:rsidRPr="00F56B10" w:rsidTr="00FA2630">
        <w:trPr>
          <w:trHeight w:val="245"/>
          <w:jc w:val="center"/>
        </w:trPr>
        <w:tc>
          <w:tcPr>
            <w:tcW w:w="3878" w:type="dxa"/>
            <w:tcBorders>
              <w:top w:val="nil"/>
              <w:left w:val="single" w:sz="4" w:space="0" w:color="5B9BD5"/>
              <w:bottom w:val="single" w:sz="4" w:space="0" w:color="5B9BD5"/>
              <w:right w:val="nil"/>
            </w:tcBorders>
            <w:shd w:val="clear" w:color="auto" w:fill="auto"/>
            <w:vAlign w:val="bottom"/>
            <w:hideMark/>
          </w:tcPr>
          <w:p w:rsidR="00F56B10" w:rsidRPr="00F56B10" w:rsidRDefault="00F56B10" w:rsidP="00FA2630">
            <w:pPr>
              <w:rPr>
                <w:rFonts w:ascii="Calibri" w:hAnsi="Calibri" w:cs="Calibri"/>
                <w:b/>
                <w:bCs/>
                <w:color w:val="000000"/>
                <w:sz w:val="20"/>
                <w:szCs w:val="20"/>
              </w:rPr>
            </w:pPr>
            <w:r w:rsidRPr="00F56B10">
              <w:rPr>
                <w:rFonts w:ascii="Calibri" w:hAnsi="Calibri" w:cs="Calibri"/>
                <w:b/>
                <w:bCs/>
                <w:color w:val="000000"/>
                <w:sz w:val="20"/>
                <w:szCs w:val="20"/>
              </w:rPr>
              <w:t>Efekti</w:t>
            </w:r>
          </w:p>
        </w:tc>
        <w:tc>
          <w:tcPr>
            <w:tcW w:w="1096" w:type="dxa"/>
            <w:tcBorders>
              <w:top w:val="nil"/>
              <w:left w:val="nil"/>
              <w:bottom w:val="single" w:sz="4" w:space="0" w:color="5B9BD5"/>
              <w:right w:val="nil"/>
            </w:tcBorders>
            <w:shd w:val="clear" w:color="auto" w:fill="auto"/>
            <w:vAlign w:val="bottom"/>
            <w:hideMark/>
          </w:tcPr>
          <w:p w:rsidR="00F56B10" w:rsidRPr="00F56B10" w:rsidRDefault="00F56B10" w:rsidP="00FA2630">
            <w:pPr>
              <w:rPr>
                <w:rFonts w:ascii="Calibri" w:hAnsi="Calibri" w:cs="Calibri"/>
                <w:b/>
                <w:bCs/>
                <w:i/>
                <w:iCs/>
                <w:color w:val="000000"/>
                <w:sz w:val="20"/>
                <w:szCs w:val="20"/>
              </w:rPr>
            </w:pPr>
            <w:r w:rsidRPr="00F56B10">
              <w:rPr>
                <w:rFonts w:ascii="Calibri" w:hAnsi="Calibri" w:cs="Calibri"/>
                <w:b/>
                <w:bCs/>
                <w:i/>
                <w:iCs/>
                <w:color w:val="000000"/>
                <w:sz w:val="20"/>
                <w:szCs w:val="20"/>
              </w:rPr>
              <w:t> </w:t>
            </w:r>
          </w:p>
        </w:tc>
        <w:tc>
          <w:tcPr>
            <w:tcW w:w="1077" w:type="dxa"/>
            <w:tcBorders>
              <w:top w:val="nil"/>
              <w:left w:val="nil"/>
              <w:bottom w:val="single" w:sz="4" w:space="0" w:color="5B9BD5"/>
              <w:right w:val="nil"/>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p>
        </w:tc>
        <w:tc>
          <w:tcPr>
            <w:tcW w:w="1234" w:type="dxa"/>
            <w:tcBorders>
              <w:top w:val="nil"/>
              <w:left w:val="nil"/>
              <w:bottom w:val="single" w:sz="4" w:space="0" w:color="5B9BD5"/>
              <w:right w:val="nil"/>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p>
        </w:tc>
        <w:tc>
          <w:tcPr>
            <w:tcW w:w="1332" w:type="dxa"/>
            <w:tcBorders>
              <w:top w:val="nil"/>
              <w:left w:val="single" w:sz="4" w:space="0" w:color="5B9BD5"/>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b/>
                <w:bCs/>
                <w:color w:val="000000"/>
                <w:sz w:val="20"/>
                <w:szCs w:val="20"/>
              </w:rPr>
            </w:pPr>
            <w:r w:rsidRPr="00F56B10">
              <w:rPr>
                <w:rFonts w:ascii="Calibri" w:hAnsi="Calibri" w:cs="Calibri"/>
                <w:b/>
                <w:bCs/>
                <w:color w:val="000000"/>
                <w:sz w:val="20"/>
                <w:szCs w:val="20"/>
              </w:rPr>
              <w:t>1,376</w:t>
            </w:r>
          </w:p>
        </w:tc>
        <w:tc>
          <w:tcPr>
            <w:tcW w:w="1084" w:type="dxa"/>
            <w:tcBorders>
              <w:top w:val="nil"/>
              <w:left w:val="nil"/>
              <w:bottom w:val="single" w:sz="4" w:space="0" w:color="5B9BD5"/>
              <w:right w:val="single" w:sz="4" w:space="0" w:color="5B9BD5"/>
            </w:tcBorders>
            <w:shd w:val="clear" w:color="auto" w:fill="auto"/>
            <w:vAlign w:val="bottom"/>
            <w:hideMark/>
          </w:tcPr>
          <w:p w:rsidR="00F56B10" w:rsidRPr="00F56B10" w:rsidRDefault="00F56B10" w:rsidP="00FA2630">
            <w:pPr>
              <w:jc w:val="center"/>
              <w:rPr>
                <w:rFonts w:ascii="Calibri" w:hAnsi="Calibri" w:cs="Calibri"/>
                <w:color w:val="000000"/>
                <w:sz w:val="20"/>
                <w:szCs w:val="20"/>
              </w:rPr>
            </w:pPr>
          </w:p>
        </w:tc>
      </w:tr>
    </w:tbl>
    <w:p w:rsidR="0034657E" w:rsidRDefault="00FD3343"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34657E" w:rsidRPr="0030407F" w:rsidRDefault="0030407F" w:rsidP="0030407F">
      <w:pPr>
        <w:pStyle w:val="Caption"/>
        <w:keepNext/>
        <w:jc w:val="both"/>
      </w:pPr>
      <w:bookmarkStart w:id="19" w:name="_Toc12449190"/>
      <w:bookmarkStart w:id="20" w:name="_Toc107496739"/>
      <w:r w:rsidRPr="0030407F">
        <w:rPr>
          <w:rFonts w:asciiTheme="minorHAnsi" w:hAnsiTheme="minorHAnsi"/>
          <w:b w:val="0"/>
          <w:bCs w:val="0"/>
          <w:i/>
          <w:color w:val="auto"/>
          <w:sz w:val="22"/>
          <w:szCs w:val="24"/>
          <w:lang w:val="sq-AL"/>
        </w:rPr>
        <w:lastRenderedPageBreak/>
        <w:t xml:space="preserve">Tabela </w:t>
      </w:r>
      <w:r w:rsidRPr="0030407F">
        <w:rPr>
          <w:rFonts w:asciiTheme="minorHAnsi" w:hAnsiTheme="minorHAnsi"/>
          <w:b w:val="0"/>
          <w:bCs w:val="0"/>
          <w:i/>
          <w:color w:val="auto"/>
          <w:sz w:val="22"/>
          <w:szCs w:val="24"/>
          <w:lang w:val="sq-AL"/>
        </w:rPr>
        <w:fldChar w:fldCharType="begin"/>
      </w:r>
      <w:r w:rsidRPr="0030407F">
        <w:rPr>
          <w:rFonts w:asciiTheme="minorHAnsi" w:hAnsiTheme="minorHAnsi"/>
          <w:b w:val="0"/>
          <w:bCs w:val="0"/>
          <w:i/>
          <w:color w:val="auto"/>
          <w:sz w:val="22"/>
          <w:szCs w:val="24"/>
          <w:lang w:val="sq-AL"/>
        </w:rPr>
        <w:instrText xml:space="preserve"> SEQ Tabela \* ARABIC </w:instrText>
      </w:r>
      <w:r w:rsidRPr="0030407F">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3</w:t>
      </w:r>
      <w:r w:rsidRPr="0030407F">
        <w:rPr>
          <w:rFonts w:asciiTheme="minorHAnsi" w:hAnsiTheme="minorHAnsi"/>
          <w:b w:val="0"/>
          <w:bCs w:val="0"/>
          <w:i/>
          <w:color w:val="auto"/>
          <w:sz w:val="22"/>
          <w:szCs w:val="24"/>
          <w:lang w:val="sq-AL"/>
        </w:rPr>
        <w:fldChar w:fldCharType="end"/>
      </w:r>
      <w:r w:rsidR="0034657E" w:rsidRPr="0030407F">
        <w:rPr>
          <w:rFonts w:asciiTheme="minorHAnsi" w:hAnsiTheme="minorHAnsi"/>
          <w:b w:val="0"/>
          <w:bCs w:val="0"/>
          <w:i/>
          <w:color w:val="auto"/>
          <w:sz w:val="22"/>
          <w:szCs w:val="24"/>
          <w:lang w:val="sq-AL"/>
        </w:rPr>
        <w:t>: Kontribuesit negativë në të ardhurat nga Akciza/ Diferencat Janar-Maj 202</w:t>
      </w:r>
      <w:r w:rsidR="00F56B10" w:rsidRPr="0030407F">
        <w:rPr>
          <w:rFonts w:asciiTheme="minorHAnsi" w:hAnsiTheme="minorHAnsi"/>
          <w:b w:val="0"/>
          <w:bCs w:val="0"/>
          <w:i/>
          <w:color w:val="auto"/>
          <w:sz w:val="22"/>
          <w:szCs w:val="24"/>
          <w:lang w:val="sq-AL"/>
        </w:rPr>
        <w:t>2</w:t>
      </w:r>
      <w:r w:rsidR="0034657E" w:rsidRPr="0030407F">
        <w:rPr>
          <w:rFonts w:asciiTheme="minorHAnsi" w:hAnsiTheme="minorHAnsi"/>
          <w:b w:val="0"/>
          <w:bCs w:val="0"/>
          <w:i/>
          <w:color w:val="auto"/>
          <w:sz w:val="22"/>
          <w:szCs w:val="24"/>
          <w:lang w:val="sq-AL"/>
        </w:rPr>
        <w:t>/20</w:t>
      </w:r>
      <w:bookmarkEnd w:id="19"/>
      <w:r w:rsidR="0034657E" w:rsidRPr="0030407F">
        <w:rPr>
          <w:rFonts w:asciiTheme="minorHAnsi" w:hAnsiTheme="minorHAnsi"/>
          <w:b w:val="0"/>
          <w:bCs w:val="0"/>
          <w:i/>
          <w:color w:val="auto"/>
          <w:sz w:val="22"/>
          <w:szCs w:val="24"/>
          <w:lang w:val="sq-AL"/>
        </w:rPr>
        <w:t>2</w:t>
      </w:r>
      <w:r w:rsidR="00F56B10" w:rsidRPr="0030407F">
        <w:rPr>
          <w:rFonts w:asciiTheme="minorHAnsi" w:hAnsiTheme="minorHAnsi"/>
          <w:b w:val="0"/>
          <w:bCs w:val="0"/>
          <w:i/>
          <w:color w:val="auto"/>
          <w:sz w:val="22"/>
          <w:szCs w:val="24"/>
          <w:lang w:val="sq-AL"/>
        </w:rPr>
        <w:t>1</w:t>
      </w:r>
      <w:bookmarkEnd w:id="20"/>
    </w:p>
    <w:tbl>
      <w:tblPr>
        <w:tblW w:w="9787" w:type="dxa"/>
        <w:tblLayout w:type="fixed"/>
        <w:tblLook w:val="04A0" w:firstRow="1" w:lastRow="0" w:firstColumn="1" w:lastColumn="0" w:noHBand="0" w:noVBand="1"/>
      </w:tblPr>
      <w:tblGrid>
        <w:gridCol w:w="3939"/>
        <w:gridCol w:w="1113"/>
        <w:gridCol w:w="1093"/>
        <w:gridCol w:w="1253"/>
        <w:gridCol w:w="1353"/>
        <w:gridCol w:w="1036"/>
      </w:tblGrid>
      <w:tr w:rsidR="00E14853" w:rsidRPr="002B58A8" w:rsidTr="00FA2630">
        <w:trPr>
          <w:trHeight w:val="267"/>
        </w:trPr>
        <w:tc>
          <w:tcPr>
            <w:tcW w:w="9787" w:type="dxa"/>
            <w:gridSpan w:val="6"/>
            <w:tcBorders>
              <w:top w:val="single" w:sz="4" w:space="0" w:color="5B9BD5"/>
              <w:left w:val="single" w:sz="4" w:space="0" w:color="5B9BD5"/>
              <w:bottom w:val="nil"/>
              <w:right w:val="single" w:sz="4" w:space="0" w:color="5B9BD5"/>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Diferencat Janar-Maj 2022/2021</w:t>
            </w:r>
          </w:p>
        </w:tc>
      </w:tr>
      <w:tr w:rsidR="00E14853" w:rsidRPr="002B58A8" w:rsidTr="00FA2630">
        <w:trPr>
          <w:trHeight w:val="267"/>
        </w:trPr>
        <w:tc>
          <w:tcPr>
            <w:tcW w:w="9787" w:type="dxa"/>
            <w:gridSpan w:val="6"/>
            <w:tcBorders>
              <w:top w:val="nil"/>
              <w:left w:val="single" w:sz="4" w:space="0" w:color="5B9BD5"/>
              <w:bottom w:val="nil"/>
              <w:right w:val="single" w:sz="4" w:space="0" w:color="5B9BD5"/>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 xml:space="preserve">Produktet me  kontribut  </w:t>
            </w:r>
            <w:r w:rsidRPr="002B58A8">
              <w:rPr>
                <w:rFonts w:ascii="Calibri" w:hAnsi="Calibri" w:cs="Calibri"/>
                <w:b/>
                <w:bCs/>
                <w:color w:val="000000" w:themeColor="text1"/>
                <w:sz w:val="18"/>
                <w:szCs w:val="20"/>
              </w:rPr>
              <w:t>Negativ</w:t>
            </w:r>
          </w:p>
        </w:tc>
      </w:tr>
      <w:tr w:rsidR="00E14853" w:rsidRPr="002B58A8" w:rsidTr="00FA2630">
        <w:trPr>
          <w:trHeight w:val="267"/>
        </w:trPr>
        <w:tc>
          <w:tcPr>
            <w:tcW w:w="3939" w:type="dxa"/>
            <w:tcBorders>
              <w:top w:val="nil"/>
              <w:left w:val="single" w:sz="4" w:space="0" w:color="5B9BD5"/>
              <w:bottom w:val="nil"/>
              <w:right w:val="nil"/>
            </w:tcBorders>
            <w:shd w:val="clear" w:color="000000" w:fill="BDD7EE"/>
            <w:vAlign w:val="bottom"/>
            <w:hideMark/>
          </w:tcPr>
          <w:p w:rsidR="00E14853" w:rsidRPr="002B58A8" w:rsidRDefault="00E14853" w:rsidP="00FA2630">
            <w:pPr>
              <w:rPr>
                <w:rFonts w:ascii="Calibri" w:hAnsi="Calibri" w:cs="Calibri"/>
                <w:b/>
                <w:bCs/>
                <w:color w:val="000000"/>
                <w:sz w:val="18"/>
                <w:szCs w:val="20"/>
              </w:rPr>
            </w:pPr>
            <w:r w:rsidRPr="002B58A8">
              <w:rPr>
                <w:rFonts w:ascii="Calibri" w:hAnsi="Calibri" w:cs="Calibri"/>
                <w:b/>
                <w:bCs/>
                <w:color w:val="000000"/>
                <w:sz w:val="18"/>
                <w:szCs w:val="20"/>
              </w:rPr>
              <w:t> </w:t>
            </w:r>
          </w:p>
        </w:tc>
        <w:tc>
          <w:tcPr>
            <w:tcW w:w="1113" w:type="dxa"/>
            <w:tcBorders>
              <w:top w:val="nil"/>
              <w:left w:val="nil"/>
              <w:bottom w:val="nil"/>
              <w:right w:val="nil"/>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Njësia</w:t>
            </w:r>
          </w:p>
        </w:tc>
        <w:tc>
          <w:tcPr>
            <w:tcW w:w="1093" w:type="dxa"/>
            <w:tcBorders>
              <w:top w:val="nil"/>
              <w:left w:val="nil"/>
              <w:bottom w:val="nil"/>
              <w:right w:val="nil"/>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 xml:space="preserve">Sasi </w:t>
            </w:r>
          </w:p>
        </w:tc>
        <w:tc>
          <w:tcPr>
            <w:tcW w:w="1253" w:type="dxa"/>
            <w:tcBorders>
              <w:top w:val="nil"/>
              <w:left w:val="nil"/>
              <w:bottom w:val="nil"/>
              <w:right w:val="nil"/>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w:t>
            </w:r>
          </w:p>
        </w:tc>
        <w:tc>
          <w:tcPr>
            <w:tcW w:w="1353" w:type="dxa"/>
            <w:tcBorders>
              <w:top w:val="nil"/>
              <w:left w:val="nil"/>
              <w:bottom w:val="nil"/>
              <w:right w:val="nil"/>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Akciza</w:t>
            </w:r>
          </w:p>
        </w:tc>
        <w:tc>
          <w:tcPr>
            <w:tcW w:w="1036" w:type="dxa"/>
            <w:tcBorders>
              <w:top w:val="nil"/>
              <w:left w:val="nil"/>
              <w:bottom w:val="nil"/>
              <w:right w:val="single" w:sz="4" w:space="0" w:color="5B9BD5"/>
            </w:tcBorders>
            <w:shd w:val="clear" w:color="000000" w:fill="BDD7EE"/>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w:t>
            </w:r>
          </w:p>
        </w:tc>
      </w:tr>
      <w:tr w:rsidR="00E14853" w:rsidRPr="002B58A8" w:rsidTr="00FA2630">
        <w:trPr>
          <w:trHeight w:val="251"/>
        </w:trPr>
        <w:tc>
          <w:tcPr>
            <w:tcW w:w="3939" w:type="dxa"/>
            <w:tcBorders>
              <w:top w:val="single" w:sz="4" w:space="0" w:color="5B9BD5"/>
              <w:left w:val="single" w:sz="4" w:space="0" w:color="5B9BD5"/>
              <w:bottom w:val="single" w:sz="4" w:space="0" w:color="5B9BD5"/>
              <w:right w:val="nil"/>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Karburantet Import</w:t>
            </w:r>
          </w:p>
        </w:tc>
        <w:tc>
          <w:tcPr>
            <w:tcW w:w="111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i/>
                <w:iCs/>
                <w:color w:val="000000"/>
                <w:sz w:val="18"/>
                <w:szCs w:val="20"/>
              </w:rPr>
            </w:pPr>
            <w:r w:rsidRPr="002B58A8">
              <w:rPr>
                <w:rFonts w:ascii="Calibri" w:hAnsi="Calibri" w:cs="Calibri"/>
                <w:i/>
                <w:iCs/>
                <w:color w:val="000000"/>
                <w:sz w:val="18"/>
                <w:szCs w:val="20"/>
              </w:rPr>
              <w:t xml:space="preserve">Ton </w:t>
            </w:r>
          </w:p>
        </w:tc>
        <w:tc>
          <w:tcPr>
            <w:tcW w:w="1093" w:type="dxa"/>
            <w:tcBorders>
              <w:top w:val="single" w:sz="4" w:space="0" w:color="5B9BD5"/>
              <w:left w:val="nil"/>
              <w:bottom w:val="single" w:sz="4" w:space="0" w:color="5B9BD5"/>
              <w:right w:val="single" w:sz="4" w:space="0" w:color="5B9BD5"/>
            </w:tcBorders>
            <w:shd w:val="clear" w:color="auto" w:fill="auto"/>
            <w:vAlign w:val="bottom"/>
            <w:hideMark/>
          </w:tcPr>
          <w:p w:rsidR="00E14853" w:rsidRPr="002B58A8" w:rsidRDefault="00E14853" w:rsidP="00FA2630">
            <w:pPr>
              <w:jc w:val="right"/>
              <w:rPr>
                <w:rFonts w:ascii="Calibri" w:hAnsi="Calibri" w:cs="Calibri"/>
                <w:color w:val="000000"/>
                <w:sz w:val="18"/>
                <w:szCs w:val="20"/>
              </w:rPr>
            </w:pPr>
            <w:r w:rsidRPr="002B58A8">
              <w:rPr>
                <w:rFonts w:ascii="Calibri" w:hAnsi="Calibri" w:cs="Calibri"/>
                <w:color w:val="000000"/>
                <w:sz w:val="18"/>
                <w:szCs w:val="20"/>
              </w:rPr>
              <w:t>-14,335</w:t>
            </w:r>
          </w:p>
        </w:tc>
        <w:tc>
          <w:tcPr>
            <w:tcW w:w="1253" w:type="dxa"/>
            <w:tcBorders>
              <w:top w:val="single" w:sz="4" w:space="0" w:color="5B9BD5"/>
              <w:left w:val="nil"/>
              <w:bottom w:val="single" w:sz="4" w:space="0" w:color="5B9BD5"/>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-6.3%</w:t>
            </w:r>
          </w:p>
        </w:tc>
        <w:tc>
          <w:tcPr>
            <w:tcW w:w="135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-325</w:t>
            </w:r>
          </w:p>
        </w:tc>
        <w:tc>
          <w:tcPr>
            <w:tcW w:w="1036" w:type="dxa"/>
            <w:tcBorders>
              <w:top w:val="single" w:sz="4" w:space="0" w:color="5B9BD5"/>
              <w:left w:val="nil"/>
              <w:bottom w:val="single" w:sz="4" w:space="0" w:color="5B9BD5"/>
              <w:right w:val="single" w:sz="4" w:space="0" w:color="5B9BD5"/>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 xml:space="preserve">   -3.3%</w:t>
            </w:r>
          </w:p>
        </w:tc>
      </w:tr>
      <w:tr w:rsidR="00E14853" w:rsidRPr="002B58A8" w:rsidTr="00FA2630">
        <w:trPr>
          <w:trHeight w:val="251"/>
        </w:trPr>
        <w:tc>
          <w:tcPr>
            <w:tcW w:w="3939" w:type="dxa"/>
            <w:tcBorders>
              <w:top w:val="nil"/>
              <w:left w:val="single" w:sz="4" w:space="0" w:color="5B9BD5"/>
              <w:bottom w:val="nil"/>
              <w:right w:val="nil"/>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Duhan Import</w:t>
            </w:r>
          </w:p>
        </w:tc>
        <w:tc>
          <w:tcPr>
            <w:tcW w:w="1113" w:type="dxa"/>
            <w:tcBorders>
              <w:top w:val="nil"/>
              <w:left w:val="single" w:sz="4" w:space="0" w:color="5B9BD5"/>
              <w:bottom w:val="nil"/>
              <w:right w:val="single" w:sz="4" w:space="0" w:color="5B9BD5"/>
            </w:tcBorders>
            <w:shd w:val="clear" w:color="auto" w:fill="auto"/>
            <w:vAlign w:val="bottom"/>
            <w:hideMark/>
          </w:tcPr>
          <w:p w:rsidR="00E14853" w:rsidRPr="002B58A8" w:rsidRDefault="00E14853" w:rsidP="00FA2630">
            <w:pPr>
              <w:rPr>
                <w:rFonts w:ascii="Calibri" w:hAnsi="Calibri" w:cs="Calibri"/>
                <w:i/>
                <w:iCs/>
                <w:color w:val="000000"/>
                <w:sz w:val="18"/>
                <w:szCs w:val="20"/>
              </w:rPr>
            </w:pPr>
            <w:r w:rsidRPr="002B58A8">
              <w:rPr>
                <w:rFonts w:ascii="Calibri" w:hAnsi="Calibri" w:cs="Calibri"/>
                <w:i/>
                <w:iCs/>
                <w:color w:val="000000"/>
                <w:sz w:val="18"/>
                <w:szCs w:val="20"/>
              </w:rPr>
              <w:t xml:space="preserve">       Ton</w:t>
            </w:r>
          </w:p>
        </w:tc>
        <w:tc>
          <w:tcPr>
            <w:tcW w:w="1093" w:type="dxa"/>
            <w:tcBorders>
              <w:top w:val="nil"/>
              <w:left w:val="nil"/>
              <w:bottom w:val="nil"/>
              <w:right w:val="single" w:sz="4" w:space="0" w:color="5B9BD5"/>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 xml:space="preserve">        -4</w:t>
            </w:r>
          </w:p>
        </w:tc>
        <w:tc>
          <w:tcPr>
            <w:tcW w:w="1253" w:type="dxa"/>
            <w:tcBorders>
              <w:top w:val="nil"/>
              <w:left w:val="nil"/>
              <w:bottom w:val="nil"/>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xml:space="preserve">  -10.7%</w:t>
            </w:r>
          </w:p>
        </w:tc>
        <w:tc>
          <w:tcPr>
            <w:tcW w:w="1353" w:type="dxa"/>
            <w:tcBorders>
              <w:top w:val="nil"/>
              <w:left w:val="single" w:sz="4" w:space="0" w:color="5B9BD5"/>
              <w:bottom w:val="nil"/>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41</w:t>
            </w:r>
          </w:p>
        </w:tc>
        <w:tc>
          <w:tcPr>
            <w:tcW w:w="1036" w:type="dxa"/>
            <w:tcBorders>
              <w:top w:val="nil"/>
              <w:left w:val="nil"/>
              <w:bottom w:val="nil"/>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xml:space="preserve"> -17.5%</w:t>
            </w:r>
          </w:p>
        </w:tc>
      </w:tr>
      <w:tr w:rsidR="00E14853" w:rsidRPr="002B58A8" w:rsidTr="00FA2630">
        <w:trPr>
          <w:trHeight w:val="251"/>
        </w:trPr>
        <w:tc>
          <w:tcPr>
            <w:tcW w:w="3939" w:type="dxa"/>
            <w:tcBorders>
              <w:top w:val="single" w:sz="4" w:space="0" w:color="5B9BD5"/>
              <w:left w:val="single" w:sz="4" w:space="0" w:color="5B9BD5"/>
              <w:bottom w:val="single" w:sz="4" w:space="0" w:color="5B9BD5"/>
              <w:right w:val="nil"/>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Gaz i lëngshëm</w:t>
            </w:r>
          </w:p>
        </w:tc>
        <w:tc>
          <w:tcPr>
            <w:tcW w:w="111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i/>
                <w:iCs/>
                <w:color w:val="000000"/>
                <w:sz w:val="18"/>
                <w:szCs w:val="20"/>
              </w:rPr>
            </w:pPr>
            <w:r w:rsidRPr="002B58A8">
              <w:rPr>
                <w:rFonts w:ascii="Calibri" w:hAnsi="Calibri" w:cs="Calibri"/>
                <w:i/>
                <w:iCs/>
                <w:color w:val="000000"/>
                <w:sz w:val="18"/>
                <w:szCs w:val="20"/>
              </w:rPr>
              <w:t>Ton</w:t>
            </w:r>
          </w:p>
        </w:tc>
        <w:tc>
          <w:tcPr>
            <w:tcW w:w="1093" w:type="dxa"/>
            <w:tcBorders>
              <w:top w:val="single" w:sz="4" w:space="0" w:color="5B9BD5"/>
              <w:left w:val="nil"/>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xml:space="preserve">    1,689</w:t>
            </w:r>
          </w:p>
        </w:tc>
        <w:tc>
          <w:tcPr>
            <w:tcW w:w="1253" w:type="dxa"/>
            <w:tcBorders>
              <w:top w:val="single" w:sz="4" w:space="0" w:color="5B9BD5"/>
              <w:left w:val="nil"/>
              <w:bottom w:val="single" w:sz="4" w:space="0" w:color="5B9BD5"/>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xml:space="preserve">  2.6%</w:t>
            </w:r>
          </w:p>
        </w:tc>
        <w:tc>
          <w:tcPr>
            <w:tcW w:w="135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17</w:t>
            </w:r>
          </w:p>
        </w:tc>
        <w:tc>
          <w:tcPr>
            <w:tcW w:w="1036" w:type="dxa"/>
            <w:tcBorders>
              <w:top w:val="single" w:sz="4" w:space="0" w:color="5B9BD5"/>
              <w:left w:val="nil"/>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-7.3%</w:t>
            </w:r>
          </w:p>
        </w:tc>
      </w:tr>
      <w:tr w:rsidR="00E14853" w:rsidRPr="002B58A8" w:rsidTr="00FA2630">
        <w:trPr>
          <w:trHeight w:val="251"/>
        </w:trPr>
        <w:tc>
          <w:tcPr>
            <w:tcW w:w="3939" w:type="dxa"/>
            <w:tcBorders>
              <w:top w:val="nil"/>
              <w:left w:val="single" w:sz="4" w:space="0" w:color="5B9BD5"/>
              <w:bottom w:val="single" w:sz="4" w:space="0" w:color="5B9BD5"/>
              <w:right w:val="nil"/>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Kafe</w:t>
            </w:r>
          </w:p>
        </w:tc>
        <w:tc>
          <w:tcPr>
            <w:tcW w:w="1113" w:type="dxa"/>
            <w:tcBorders>
              <w:top w:val="nil"/>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i/>
                <w:iCs/>
                <w:color w:val="000000"/>
                <w:sz w:val="18"/>
                <w:szCs w:val="20"/>
              </w:rPr>
            </w:pPr>
            <w:r w:rsidRPr="002B58A8">
              <w:rPr>
                <w:rFonts w:ascii="Calibri" w:hAnsi="Calibri" w:cs="Calibri"/>
                <w:i/>
                <w:iCs/>
                <w:color w:val="000000"/>
                <w:sz w:val="18"/>
                <w:szCs w:val="20"/>
              </w:rPr>
              <w:t>Ton</w:t>
            </w:r>
          </w:p>
        </w:tc>
        <w:tc>
          <w:tcPr>
            <w:tcW w:w="1093" w:type="dxa"/>
            <w:tcBorders>
              <w:top w:val="nil"/>
              <w:left w:val="nil"/>
              <w:bottom w:val="single" w:sz="4" w:space="0" w:color="5B9BD5"/>
              <w:right w:val="single" w:sz="4" w:space="0" w:color="5B9BD5"/>
            </w:tcBorders>
            <w:shd w:val="clear" w:color="auto" w:fill="auto"/>
            <w:vAlign w:val="bottom"/>
            <w:hideMark/>
          </w:tcPr>
          <w:p w:rsidR="00E14853" w:rsidRPr="002B58A8" w:rsidRDefault="00E14853" w:rsidP="00FA2630">
            <w:pPr>
              <w:rPr>
                <w:rFonts w:ascii="Calibri" w:hAnsi="Calibri" w:cs="Calibri"/>
                <w:color w:val="000000"/>
                <w:sz w:val="18"/>
                <w:szCs w:val="20"/>
              </w:rPr>
            </w:pPr>
            <w:r w:rsidRPr="002B58A8">
              <w:rPr>
                <w:rFonts w:ascii="Calibri" w:hAnsi="Calibri" w:cs="Calibri"/>
                <w:color w:val="000000"/>
                <w:sz w:val="18"/>
                <w:szCs w:val="20"/>
              </w:rPr>
              <w:t xml:space="preserve">       -406 </w:t>
            </w:r>
          </w:p>
        </w:tc>
        <w:tc>
          <w:tcPr>
            <w:tcW w:w="1253" w:type="dxa"/>
            <w:tcBorders>
              <w:top w:val="nil"/>
              <w:left w:val="nil"/>
              <w:bottom w:val="single" w:sz="4" w:space="0" w:color="5B9BD5"/>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xml:space="preserve">   -11.7%</w:t>
            </w:r>
          </w:p>
        </w:tc>
        <w:tc>
          <w:tcPr>
            <w:tcW w:w="1353" w:type="dxa"/>
            <w:tcBorders>
              <w:top w:val="nil"/>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2</w:t>
            </w:r>
          </w:p>
        </w:tc>
        <w:tc>
          <w:tcPr>
            <w:tcW w:w="1036" w:type="dxa"/>
            <w:tcBorders>
              <w:top w:val="nil"/>
              <w:left w:val="nil"/>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-1.2%</w:t>
            </w:r>
          </w:p>
        </w:tc>
      </w:tr>
      <w:tr w:rsidR="00E14853" w:rsidRPr="002B58A8" w:rsidTr="00FA2630">
        <w:trPr>
          <w:trHeight w:val="251"/>
        </w:trPr>
        <w:tc>
          <w:tcPr>
            <w:tcW w:w="3939" w:type="dxa"/>
            <w:tcBorders>
              <w:top w:val="nil"/>
              <w:left w:val="single" w:sz="4" w:space="0" w:color="5B9BD5"/>
              <w:bottom w:val="single" w:sz="4" w:space="0" w:color="5B9BD5"/>
              <w:right w:val="nil"/>
            </w:tcBorders>
            <w:shd w:val="clear" w:color="auto" w:fill="auto"/>
            <w:vAlign w:val="bottom"/>
            <w:hideMark/>
          </w:tcPr>
          <w:p w:rsidR="00E14853" w:rsidRPr="002B58A8" w:rsidRDefault="00E14853" w:rsidP="00FA2630">
            <w:pPr>
              <w:rPr>
                <w:rFonts w:ascii="Calibri" w:hAnsi="Calibri" w:cs="Calibri"/>
                <w:b/>
                <w:bCs/>
                <w:color w:val="000000"/>
                <w:sz w:val="18"/>
                <w:szCs w:val="20"/>
              </w:rPr>
            </w:pPr>
            <w:r w:rsidRPr="002B58A8">
              <w:rPr>
                <w:rFonts w:ascii="Calibri" w:hAnsi="Calibri" w:cs="Calibri"/>
                <w:b/>
                <w:bCs/>
                <w:color w:val="000000"/>
                <w:sz w:val="18"/>
                <w:szCs w:val="20"/>
              </w:rPr>
              <w:t xml:space="preserve">Efekti </w:t>
            </w:r>
          </w:p>
        </w:tc>
        <w:tc>
          <w:tcPr>
            <w:tcW w:w="1113" w:type="dxa"/>
            <w:tcBorders>
              <w:top w:val="nil"/>
              <w:left w:val="nil"/>
              <w:bottom w:val="single" w:sz="4" w:space="0" w:color="5B9BD5"/>
              <w:right w:val="nil"/>
            </w:tcBorders>
            <w:shd w:val="clear" w:color="auto" w:fill="auto"/>
            <w:vAlign w:val="bottom"/>
            <w:hideMark/>
          </w:tcPr>
          <w:p w:rsidR="00E14853" w:rsidRPr="002B58A8" w:rsidRDefault="00E14853" w:rsidP="00FA2630">
            <w:pPr>
              <w:rPr>
                <w:rFonts w:ascii="Calibri" w:hAnsi="Calibri" w:cs="Calibri"/>
                <w:b/>
                <w:bCs/>
                <w:i/>
                <w:iCs/>
                <w:color w:val="000000"/>
                <w:sz w:val="18"/>
                <w:szCs w:val="20"/>
              </w:rPr>
            </w:pPr>
            <w:r w:rsidRPr="002B58A8">
              <w:rPr>
                <w:rFonts w:ascii="Calibri" w:hAnsi="Calibri" w:cs="Calibri"/>
                <w:b/>
                <w:bCs/>
                <w:i/>
                <w:iCs/>
                <w:color w:val="000000"/>
                <w:sz w:val="18"/>
                <w:szCs w:val="20"/>
              </w:rPr>
              <w:t> </w:t>
            </w:r>
          </w:p>
        </w:tc>
        <w:tc>
          <w:tcPr>
            <w:tcW w:w="1093" w:type="dxa"/>
            <w:tcBorders>
              <w:top w:val="nil"/>
              <w:left w:val="nil"/>
              <w:bottom w:val="single" w:sz="4" w:space="0" w:color="5B9BD5"/>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w:t>
            </w:r>
          </w:p>
        </w:tc>
        <w:tc>
          <w:tcPr>
            <w:tcW w:w="1253" w:type="dxa"/>
            <w:tcBorders>
              <w:top w:val="nil"/>
              <w:left w:val="nil"/>
              <w:bottom w:val="single" w:sz="4" w:space="0" w:color="5B9BD5"/>
              <w:right w:val="nil"/>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w:t>
            </w:r>
          </w:p>
        </w:tc>
        <w:tc>
          <w:tcPr>
            <w:tcW w:w="1353" w:type="dxa"/>
            <w:tcBorders>
              <w:top w:val="nil"/>
              <w:left w:val="single" w:sz="4" w:space="0" w:color="5B9BD5"/>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b/>
                <w:bCs/>
                <w:color w:val="000000"/>
                <w:sz w:val="18"/>
                <w:szCs w:val="20"/>
              </w:rPr>
            </w:pPr>
            <w:r w:rsidRPr="002B58A8">
              <w:rPr>
                <w:rFonts w:ascii="Calibri" w:hAnsi="Calibri" w:cs="Calibri"/>
                <w:b/>
                <w:bCs/>
                <w:color w:val="000000"/>
                <w:sz w:val="18"/>
                <w:szCs w:val="20"/>
              </w:rPr>
              <w:t>-386</w:t>
            </w:r>
          </w:p>
        </w:tc>
        <w:tc>
          <w:tcPr>
            <w:tcW w:w="1036" w:type="dxa"/>
            <w:tcBorders>
              <w:top w:val="nil"/>
              <w:left w:val="nil"/>
              <w:bottom w:val="single" w:sz="4" w:space="0" w:color="5B9BD5"/>
              <w:right w:val="single" w:sz="4" w:space="0" w:color="5B9BD5"/>
            </w:tcBorders>
            <w:shd w:val="clear" w:color="auto" w:fill="auto"/>
            <w:vAlign w:val="bottom"/>
            <w:hideMark/>
          </w:tcPr>
          <w:p w:rsidR="00E14853" w:rsidRPr="002B58A8" w:rsidRDefault="00E14853" w:rsidP="00FA2630">
            <w:pPr>
              <w:jc w:val="center"/>
              <w:rPr>
                <w:rFonts w:ascii="Calibri" w:hAnsi="Calibri" w:cs="Calibri"/>
                <w:color w:val="000000"/>
                <w:sz w:val="18"/>
                <w:szCs w:val="20"/>
              </w:rPr>
            </w:pPr>
            <w:r w:rsidRPr="002B58A8">
              <w:rPr>
                <w:rFonts w:ascii="Calibri" w:hAnsi="Calibri" w:cs="Calibri"/>
                <w:color w:val="000000"/>
                <w:sz w:val="18"/>
                <w:szCs w:val="20"/>
              </w:rPr>
              <w:t> </w:t>
            </w:r>
          </w:p>
        </w:tc>
      </w:tr>
    </w:tbl>
    <w:p w:rsidR="0034657E" w:rsidRPr="004E355C" w:rsidRDefault="00FD3343"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34657E" w:rsidRDefault="00F56B10" w:rsidP="002B58A8">
      <w:pPr>
        <w:tabs>
          <w:tab w:val="left" w:pos="2511"/>
          <w:tab w:val="center" w:pos="4680"/>
        </w:tabs>
        <w:spacing w:line="276" w:lineRule="auto"/>
        <w:jc w:val="both"/>
        <w:rPr>
          <w:rFonts w:asciiTheme="minorHAnsi" w:hAnsiTheme="minorHAnsi"/>
          <w:iCs/>
          <w:color w:val="000000" w:themeColor="text1"/>
          <w:lang w:val="sq-AL"/>
        </w:rPr>
      </w:pPr>
      <w:r w:rsidRPr="00233671">
        <w:rPr>
          <w:rFonts w:asciiTheme="minorHAnsi" w:hAnsiTheme="minorHAnsi" w:cstheme="minorHAnsi"/>
          <w:i/>
        </w:rPr>
        <w:t>Të ardhurat nga TVSH-ja në import</w:t>
      </w:r>
      <w:r w:rsidRPr="00233671">
        <w:rPr>
          <w:rFonts w:asciiTheme="minorHAnsi" w:hAnsiTheme="minorHAnsi" w:cstheme="minorHAnsi"/>
        </w:rPr>
        <w:t xml:space="preserve"> janë realizuar në vlerën 59,3 miliardë lekë, 29.5% ose 13,5 miliardë lekë më shume se 5 mujori i vitit 2021 dhe 6.7% ose 3,7 milia</w:t>
      </w:r>
      <w:r>
        <w:rPr>
          <w:rFonts w:asciiTheme="minorHAnsi" w:hAnsiTheme="minorHAnsi" w:cstheme="minorHAnsi"/>
        </w:rPr>
        <w:t>rdë lekë më shumë</w:t>
      </w:r>
      <w:r w:rsidRPr="00233671">
        <w:rPr>
          <w:rFonts w:asciiTheme="minorHAnsi" w:hAnsiTheme="minorHAnsi" w:cstheme="minorHAnsi"/>
        </w:rPr>
        <w:t xml:space="preserve"> se plani. </w:t>
      </w:r>
      <w:r w:rsidRPr="005A4389">
        <w:rPr>
          <w:rFonts w:asciiTheme="minorHAnsi" w:hAnsiTheme="minorHAnsi" w:cstheme="minorHAnsi"/>
          <w:highlight w:val="yellow"/>
        </w:rPr>
        <w:t xml:space="preserve"> </w:t>
      </w:r>
      <w:r w:rsidRPr="00DA3F3C">
        <w:rPr>
          <w:rFonts w:asciiTheme="minorHAnsi" w:hAnsiTheme="minorHAnsi" w:cstheme="minorHAnsi"/>
        </w:rPr>
        <w:t>Gjate 5 mujorit 2022 rrritja e sasisë së import</w:t>
      </w:r>
      <w:r>
        <w:rPr>
          <w:rFonts w:asciiTheme="minorHAnsi" w:hAnsiTheme="minorHAnsi" w:cstheme="minorHAnsi"/>
        </w:rPr>
        <w:t>uar të energjisë elektrike +167.</w:t>
      </w:r>
      <w:r w:rsidRPr="00DA3F3C">
        <w:rPr>
          <w:rFonts w:asciiTheme="minorHAnsi" w:hAnsiTheme="minorHAnsi" w:cstheme="minorHAnsi"/>
        </w:rPr>
        <w:t>1 mijë mega</w:t>
      </w:r>
      <w:r>
        <w:rPr>
          <w:rFonts w:asciiTheme="minorHAnsi" w:hAnsiTheme="minorHAnsi" w:cstheme="minorHAnsi"/>
        </w:rPr>
        <w:t>ë</w:t>
      </w:r>
      <w:r w:rsidRPr="00DA3F3C">
        <w:rPr>
          <w:rFonts w:asciiTheme="minorHAnsi" w:hAnsiTheme="minorHAnsi" w:cstheme="minorHAnsi"/>
        </w:rPr>
        <w:t>atorë, krahasuar me vitin 2021 ka sjellë efekt +2.7 miliardë lekë në të ardhura për tvsh. Grup-produktet me kontribut pozitiv në të ardhurat nga TVSH në import rezultuan: energjia elektrike, karburant importi, metalet bazë dhe artikujt prej tyre, gazi I lëngët dhe cigarette. Automjetet e përdorura kompjutera</w:t>
      </w:r>
      <w:r>
        <w:rPr>
          <w:rFonts w:asciiTheme="minorHAnsi" w:hAnsiTheme="minorHAnsi" w:cstheme="minorHAnsi"/>
        </w:rPr>
        <w:t>t, t</w:t>
      </w:r>
      <w:r w:rsidRPr="00DA3F3C">
        <w:rPr>
          <w:rFonts w:asciiTheme="minorHAnsi" w:hAnsiTheme="minorHAnsi" w:cstheme="minorHAnsi"/>
        </w:rPr>
        <w:t>elefona celularë etj, kanë dhënë efektin kryesor negativ me - 0.8 miliardë lekë</w:t>
      </w:r>
      <w:r w:rsidR="0034657E" w:rsidRPr="00FF0225">
        <w:rPr>
          <w:rFonts w:asciiTheme="minorHAnsi" w:hAnsiTheme="minorHAnsi"/>
          <w:iCs/>
          <w:color w:val="000000" w:themeColor="text1"/>
          <w:lang w:val="sq-AL"/>
        </w:rPr>
        <w:t>.</w:t>
      </w:r>
    </w:p>
    <w:p w:rsidR="0034657E" w:rsidRPr="00B11317" w:rsidRDefault="0034657E" w:rsidP="00900B3D">
      <w:pPr>
        <w:tabs>
          <w:tab w:val="left" w:pos="2511"/>
          <w:tab w:val="center" w:pos="4680"/>
        </w:tabs>
        <w:spacing w:line="276" w:lineRule="auto"/>
        <w:jc w:val="both"/>
        <w:rPr>
          <w:rFonts w:asciiTheme="minorHAnsi" w:hAnsiTheme="minorHAnsi"/>
          <w:color w:val="000000" w:themeColor="text1"/>
          <w:sz w:val="4"/>
          <w:lang w:val="sq-AL"/>
        </w:rPr>
      </w:pPr>
    </w:p>
    <w:p w:rsidR="00F56B10" w:rsidRPr="00900B3D" w:rsidRDefault="00F56B10" w:rsidP="00F56B10">
      <w:pPr>
        <w:pStyle w:val="Caption"/>
        <w:keepNext/>
        <w:spacing w:after="0"/>
        <w:jc w:val="both"/>
        <w:rPr>
          <w:rFonts w:asciiTheme="minorHAnsi" w:hAnsiTheme="minorHAnsi"/>
          <w:b w:val="0"/>
          <w:bCs w:val="0"/>
          <w:i/>
          <w:color w:val="auto"/>
          <w:sz w:val="22"/>
          <w:szCs w:val="24"/>
          <w:lang w:val="sq-AL"/>
        </w:rPr>
      </w:pPr>
      <w:bookmarkStart w:id="21" w:name="_Toc12449191"/>
      <w:bookmarkStart w:id="22" w:name="_Toc107496740"/>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pozitivë në të ardhurat ng</w:t>
      </w:r>
      <w:r>
        <w:rPr>
          <w:rFonts w:asciiTheme="minorHAnsi" w:hAnsiTheme="minorHAnsi"/>
          <w:b w:val="0"/>
          <w:bCs w:val="0"/>
          <w:i/>
          <w:color w:val="auto"/>
          <w:sz w:val="22"/>
          <w:szCs w:val="24"/>
          <w:lang w:val="sq-AL"/>
        </w:rPr>
        <w:t>a TVSH/Diferencat Janar-Maj 2022</w:t>
      </w:r>
      <w:r w:rsidRPr="00900B3D">
        <w:rPr>
          <w:rFonts w:asciiTheme="minorHAnsi" w:hAnsiTheme="minorHAnsi"/>
          <w:b w:val="0"/>
          <w:bCs w:val="0"/>
          <w:i/>
          <w:color w:val="auto"/>
          <w:sz w:val="22"/>
          <w:szCs w:val="24"/>
          <w:lang w:val="sq-AL"/>
        </w:rPr>
        <w:t>/20</w:t>
      </w:r>
      <w:bookmarkEnd w:id="21"/>
      <w:r w:rsidRPr="00900B3D">
        <w:rPr>
          <w:rFonts w:asciiTheme="minorHAnsi" w:hAnsiTheme="minorHAnsi"/>
          <w:b w:val="0"/>
          <w:bCs w:val="0"/>
          <w:i/>
          <w:color w:val="auto"/>
          <w:sz w:val="22"/>
          <w:szCs w:val="24"/>
          <w:lang w:val="sq-AL"/>
        </w:rPr>
        <w:t>2</w:t>
      </w:r>
      <w:r>
        <w:rPr>
          <w:rFonts w:asciiTheme="minorHAnsi" w:hAnsiTheme="minorHAnsi"/>
          <w:b w:val="0"/>
          <w:bCs w:val="0"/>
          <w:i/>
          <w:color w:val="auto"/>
          <w:sz w:val="22"/>
          <w:szCs w:val="24"/>
          <w:lang w:val="sq-AL"/>
        </w:rPr>
        <w:t>1</w:t>
      </w:r>
      <w:bookmarkEnd w:id="22"/>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E14853" w:rsidRPr="004E355C" w:rsidTr="00FA2630">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100" w:firstRow="0" w:lastRow="0" w:firstColumn="1" w:lastColumn="0" w:oddVBand="0" w:evenVBand="0" w:oddHBand="0" w:evenHBand="0" w:firstRowFirstColumn="1" w:firstRowLastColumn="0" w:lastRowFirstColumn="0" w:lastRowLastColumn="0"/>
            <w:tcW w:w="9404" w:type="dxa"/>
            <w:gridSpan w:val="6"/>
            <w:hideMark/>
          </w:tcPr>
          <w:p w:rsidR="00E14853" w:rsidRPr="004E355C" w:rsidRDefault="00E14853" w:rsidP="00FA2630">
            <w:pPr>
              <w:jc w:val="center"/>
              <w:rPr>
                <w:rFonts w:asciiTheme="minorHAnsi" w:hAnsiTheme="minorHAnsi" w:cstheme="minorHAnsi"/>
                <w:color w:val="auto"/>
                <w:sz w:val="18"/>
                <w:szCs w:val="18"/>
              </w:rPr>
            </w:pPr>
            <w:r w:rsidRPr="004E355C">
              <w:rPr>
                <w:rFonts w:asciiTheme="minorHAnsi" w:hAnsiTheme="minorHAnsi" w:cstheme="minorHAnsi"/>
                <w:color w:val="auto"/>
                <w:sz w:val="20"/>
                <w:szCs w:val="18"/>
              </w:rPr>
              <w:t>Produktet me kontribut pozitiv</w:t>
            </w:r>
          </w:p>
        </w:tc>
      </w:tr>
      <w:tr w:rsidR="00E14853" w:rsidRPr="004E355C" w:rsidTr="002B58A8">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54" w:type="dxa"/>
            <w:hideMark/>
          </w:tcPr>
          <w:p w:rsidR="00E14853" w:rsidRPr="004E355C" w:rsidRDefault="00E14853" w:rsidP="00FA26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1188" w:type="dxa"/>
            <w:hideMark/>
          </w:tcPr>
          <w:p w:rsidR="00E14853" w:rsidRPr="004E355C" w:rsidRDefault="00E14853" w:rsidP="00FA26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53" w:type="dxa"/>
            <w:hideMark/>
          </w:tcPr>
          <w:p w:rsidR="00E14853" w:rsidRPr="004E355C" w:rsidRDefault="00E14853" w:rsidP="00FA26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c>
          <w:tcPr>
            <w:tcW w:w="1676" w:type="dxa"/>
            <w:hideMark/>
          </w:tcPr>
          <w:p w:rsidR="00E14853" w:rsidRPr="004E355C" w:rsidRDefault="00E14853" w:rsidP="00FA26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753" w:type="dxa"/>
            <w:hideMark/>
          </w:tcPr>
          <w:p w:rsidR="00E14853" w:rsidRPr="004E355C" w:rsidRDefault="00E14853" w:rsidP="00FA263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E14853" w:rsidRPr="004E355C" w:rsidTr="00FA2630">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Energji Elektrike</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Megavatorë</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167,139</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35</w:t>
            </w:r>
            <w:r w:rsidRPr="004E355C">
              <w:rPr>
                <w:rFonts w:asciiTheme="minorHAnsi" w:hAnsiTheme="minorHAnsi" w:cstheme="minorHAnsi"/>
                <w:kern w:val="24"/>
                <w:sz w:val="18"/>
                <w:szCs w:val="18"/>
              </w:rPr>
              <w:t>%</w:t>
            </w:r>
          </w:p>
        </w:tc>
        <w:tc>
          <w:tcPr>
            <w:tcW w:w="1676" w:type="dxa"/>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2,700</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337</w:t>
            </w:r>
            <w:r w:rsidRPr="004E355C">
              <w:rPr>
                <w:rFonts w:asciiTheme="minorHAnsi" w:hAnsiTheme="minorHAnsi" w:cstheme="minorHAnsi"/>
                <w:kern w:val="24"/>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Karburant Import</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-14,335</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-6</w:t>
            </w:r>
            <w:r w:rsidRPr="004E355C">
              <w:rPr>
                <w:rFonts w:asciiTheme="minorHAnsi" w:hAnsiTheme="minorHAnsi" w:cstheme="minorHAnsi"/>
                <w:kern w:val="24"/>
                <w:sz w:val="18"/>
                <w:szCs w:val="18"/>
              </w:rPr>
              <w:t>%</w:t>
            </w:r>
          </w:p>
        </w:tc>
        <w:tc>
          <w:tcPr>
            <w:tcW w:w="1676" w:type="dxa"/>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2,209</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35</w:t>
            </w:r>
            <w:r w:rsidRPr="004E355C">
              <w:rPr>
                <w:rFonts w:asciiTheme="minorHAnsi" w:hAnsiTheme="minorHAnsi" w:cstheme="minorHAnsi"/>
                <w:kern w:val="24"/>
                <w:sz w:val="18"/>
                <w:szCs w:val="18"/>
              </w:rPr>
              <w:t>%</w:t>
            </w:r>
          </w:p>
        </w:tc>
      </w:tr>
      <w:tr w:rsidR="00E14853" w:rsidRPr="004E355C" w:rsidTr="00FA2630">
        <w:trPr>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Metalet bazë dhe artikujt prej tyre</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12,783</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6</w:t>
            </w:r>
            <w:r w:rsidRPr="004E355C">
              <w:rPr>
                <w:rFonts w:asciiTheme="minorHAnsi" w:hAnsiTheme="minorHAnsi" w:cstheme="minorHAnsi"/>
                <w:kern w:val="24"/>
                <w:sz w:val="18"/>
                <w:szCs w:val="18"/>
              </w:rPr>
              <w:t>%</w:t>
            </w:r>
          </w:p>
        </w:tc>
        <w:tc>
          <w:tcPr>
            <w:tcW w:w="1676" w:type="dxa"/>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2,044</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51</w:t>
            </w:r>
            <w:r w:rsidRPr="004E355C">
              <w:rPr>
                <w:rFonts w:asciiTheme="minorHAnsi" w:hAnsiTheme="minorHAnsi" w:cstheme="minorHAnsi"/>
                <w:kern w:val="24"/>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Gaz i Lëngët</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1,689</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w:t>
            </w:r>
            <w:r w:rsidRPr="004E355C">
              <w:rPr>
                <w:rFonts w:asciiTheme="minorHAnsi" w:hAnsiTheme="minorHAnsi" w:cstheme="minorHAnsi"/>
                <w:kern w:val="24"/>
                <w:sz w:val="18"/>
                <w:szCs w:val="18"/>
              </w:rPr>
              <w:t>%</w:t>
            </w:r>
          </w:p>
        </w:tc>
        <w:tc>
          <w:tcPr>
            <w:tcW w:w="1676" w:type="dxa"/>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791</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100</w:t>
            </w:r>
            <w:r w:rsidRPr="004E355C">
              <w:rPr>
                <w:rFonts w:asciiTheme="minorHAnsi" w:hAnsiTheme="minorHAnsi" w:cstheme="minorHAnsi"/>
                <w:kern w:val="24"/>
                <w:sz w:val="18"/>
                <w:szCs w:val="18"/>
              </w:rPr>
              <w:t>%</w:t>
            </w:r>
          </w:p>
        </w:tc>
      </w:tr>
      <w:tr w:rsidR="00E14853" w:rsidRPr="004E355C" w:rsidTr="00FA2630">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Cigaret</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150</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15</w:t>
            </w:r>
            <w:r w:rsidRPr="004E355C">
              <w:rPr>
                <w:rFonts w:asciiTheme="minorHAnsi" w:hAnsiTheme="minorHAnsi" w:cstheme="minorHAnsi"/>
                <w:kern w:val="24"/>
                <w:sz w:val="18"/>
                <w:szCs w:val="18"/>
              </w:rPr>
              <w:t>%</w:t>
            </w:r>
          </w:p>
        </w:tc>
        <w:tc>
          <w:tcPr>
            <w:tcW w:w="1676" w:type="dxa"/>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356</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19</w:t>
            </w:r>
            <w:r w:rsidRPr="004E355C">
              <w:rPr>
                <w:rFonts w:asciiTheme="minorHAnsi" w:hAnsiTheme="minorHAnsi" w:cstheme="minorHAnsi"/>
                <w:kern w:val="24"/>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E14853" w:rsidRPr="004E355C" w:rsidRDefault="00E14853" w:rsidP="00FA2630">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Efekti</w:t>
            </w:r>
          </w:p>
        </w:tc>
        <w:tc>
          <w:tcPr>
            <w:tcW w:w="1154"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b/>
                <w:bCs/>
                <w:i/>
                <w:iCs/>
                <w:kern w:val="24"/>
                <w:sz w:val="18"/>
                <w:szCs w:val="18"/>
              </w:rPr>
              <w:t> </w:t>
            </w:r>
          </w:p>
        </w:tc>
        <w:tc>
          <w:tcPr>
            <w:tcW w:w="1188"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1676"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b/>
                <w:bCs/>
                <w:kern w:val="24"/>
                <w:sz w:val="18"/>
                <w:szCs w:val="18"/>
              </w:rPr>
              <w:t>8,100</w:t>
            </w:r>
          </w:p>
        </w:tc>
        <w:tc>
          <w:tcPr>
            <w:tcW w:w="753" w:type="dxa"/>
            <w:hideMark/>
          </w:tcPr>
          <w:p w:rsidR="00E14853" w:rsidRPr="004E355C" w:rsidRDefault="00E14853" w:rsidP="00FA2630">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r>
    </w:tbl>
    <w:p w:rsidR="0034657E" w:rsidRPr="00161E02" w:rsidRDefault="0034657E" w:rsidP="0034657E">
      <w:pPr>
        <w:spacing w:line="276" w:lineRule="auto"/>
        <w:jc w:val="both"/>
        <w:rPr>
          <w:rFonts w:asciiTheme="minorHAnsi" w:hAnsiTheme="minorHAnsi"/>
          <w:i/>
          <w:sz w:val="20"/>
          <w:szCs w:val="20"/>
          <w:lang w:val="sq-AL"/>
        </w:rPr>
      </w:pPr>
      <w:r w:rsidRPr="00161E02">
        <w:rPr>
          <w:rFonts w:asciiTheme="minorHAnsi" w:hAnsiTheme="minorHAnsi"/>
          <w:i/>
          <w:sz w:val="20"/>
          <w:szCs w:val="20"/>
          <w:lang w:val="sq-AL"/>
        </w:rPr>
        <w:t xml:space="preserve">  </w:t>
      </w:r>
      <w:r w:rsidR="00FD3343" w:rsidRPr="00161E02">
        <w:rPr>
          <w:rFonts w:asciiTheme="minorHAnsi" w:hAnsiTheme="minorHAnsi"/>
          <w:i/>
          <w:sz w:val="20"/>
          <w:szCs w:val="20"/>
          <w:lang w:val="sq-AL"/>
        </w:rPr>
        <w:t>Burimi: Ministria e Financave dhe Ekonomisë (2022)</w:t>
      </w:r>
    </w:p>
    <w:p w:rsidR="0034657E" w:rsidRPr="00B11317" w:rsidRDefault="0034657E" w:rsidP="0034657E">
      <w:pPr>
        <w:spacing w:line="276" w:lineRule="auto"/>
        <w:jc w:val="both"/>
        <w:rPr>
          <w:rFonts w:asciiTheme="minorHAnsi" w:hAnsiTheme="minorHAnsi"/>
          <w:sz w:val="8"/>
          <w:szCs w:val="20"/>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23" w:name="_Toc12449192"/>
      <w:bookmarkStart w:id="24" w:name="_Toc107496741"/>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5</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negativë në të ardhurat nga TVSH/ Diferencat Janar-Maj 202</w:t>
      </w:r>
      <w:r w:rsidR="007D5528">
        <w:rPr>
          <w:rFonts w:asciiTheme="minorHAnsi" w:hAnsiTheme="minorHAnsi"/>
          <w:b w:val="0"/>
          <w:bCs w:val="0"/>
          <w:i/>
          <w:color w:val="auto"/>
          <w:sz w:val="22"/>
          <w:szCs w:val="24"/>
          <w:lang w:val="sq-AL"/>
        </w:rPr>
        <w:t>2</w:t>
      </w:r>
      <w:r w:rsidRPr="00900B3D">
        <w:rPr>
          <w:rFonts w:asciiTheme="minorHAnsi" w:hAnsiTheme="minorHAnsi"/>
          <w:b w:val="0"/>
          <w:bCs w:val="0"/>
          <w:i/>
          <w:color w:val="auto"/>
          <w:sz w:val="22"/>
          <w:szCs w:val="24"/>
          <w:lang w:val="sq-AL"/>
        </w:rPr>
        <w:t>/20</w:t>
      </w:r>
      <w:bookmarkEnd w:id="23"/>
      <w:r w:rsidRPr="00900B3D">
        <w:rPr>
          <w:rFonts w:asciiTheme="minorHAnsi" w:hAnsiTheme="minorHAnsi"/>
          <w:b w:val="0"/>
          <w:bCs w:val="0"/>
          <w:i/>
          <w:color w:val="auto"/>
          <w:sz w:val="22"/>
          <w:szCs w:val="24"/>
          <w:lang w:val="sq-AL"/>
        </w:rPr>
        <w:t>2</w:t>
      </w:r>
      <w:r w:rsidR="007D5528">
        <w:rPr>
          <w:rFonts w:asciiTheme="minorHAnsi" w:hAnsiTheme="minorHAnsi"/>
          <w:b w:val="0"/>
          <w:bCs w:val="0"/>
          <w:i/>
          <w:color w:val="auto"/>
          <w:sz w:val="22"/>
          <w:szCs w:val="24"/>
          <w:lang w:val="sq-AL"/>
        </w:rPr>
        <w:t>1</w:t>
      </w:r>
      <w:bookmarkEnd w:id="24"/>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E14853" w:rsidRPr="004E355C" w:rsidTr="002B58A8">
        <w:trPr>
          <w:cnfStyle w:val="100000000000" w:firstRow="1" w:lastRow="0" w:firstColumn="0" w:lastColumn="0" w:oddVBand="0" w:evenVBand="0" w:oddHBand="0" w:evenHBand="0" w:firstRowFirstColumn="0" w:firstRowLastColumn="0" w:lastRowFirstColumn="0" w:lastRowLastColumn="0"/>
          <w:trHeight w:val="305"/>
          <w:jc w:val="center"/>
        </w:trPr>
        <w:tc>
          <w:tcPr>
            <w:cnfStyle w:val="001000000100" w:firstRow="0" w:lastRow="0" w:firstColumn="1" w:lastColumn="0" w:oddVBand="0" w:evenVBand="0" w:oddHBand="0" w:evenHBand="0" w:firstRowFirstColumn="1" w:firstRowLastColumn="0" w:lastRowFirstColumn="0" w:lastRowLastColumn="0"/>
            <w:tcW w:w="9515" w:type="dxa"/>
            <w:gridSpan w:val="6"/>
            <w:hideMark/>
          </w:tcPr>
          <w:p w:rsidR="00E14853" w:rsidRPr="004E355C" w:rsidRDefault="00E14853" w:rsidP="00FA2630">
            <w:pPr>
              <w:jc w:val="center"/>
              <w:rPr>
                <w:rFonts w:asciiTheme="minorHAnsi" w:hAnsiTheme="minorHAnsi" w:cstheme="minorHAnsi"/>
                <w:b w:val="0"/>
                <w:color w:val="auto"/>
                <w:sz w:val="18"/>
                <w:szCs w:val="18"/>
              </w:rPr>
            </w:pPr>
            <w:r w:rsidRPr="004E355C">
              <w:rPr>
                <w:rFonts w:asciiTheme="minorHAnsi" w:hAnsiTheme="minorHAnsi" w:cstheme="minorHAnsi"/>
                <w:color w:val="auto"/>
                <w:sz w:val="20"/>
                <w:szCs w:val="18"/>
              </w:rPr>
              <w:t>Produktet me kontribut negativ</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hideMark/>
          </w:tcPr>
          <w:p w:rsidR="00E14853" w:rsidRPr="004E355C" w:rsidRDefault="00E14853" w:rsidP="00FA2630">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10" w:type="dxa"/>
            <w:hideMark/>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951" w:type="dxa"/>
            <w:hideMark/>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40" w:type="dxa"/>
            <w:hideMark/>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c>
          <w:tcPr>
            <w:tcW w:w="1674" w:type="dxa"/>
            <w:hideMark/>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931" w:type="dxa"/>
            <w:hideMark/>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E14853" w:rsidRPr="004E355C" w:rsidTr="00FA2630">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r>
              <w:rPr>
                <w:rFonts w:asciiTheme="minorHAnsi" w:hAnsiTheme="minorHAnsi" w:cstheme="minorHAnsi"/>
                <w:b w:val="0"/>
                <w:sz w:val="18"/>
                <w:szCs w:val="18"/>
              </w:rPr>
              <w:t xml:space="preserve">Automjeteve te perdorura </w:t>
            </w:r>
          </w:p>
        </w:tc>
        <w:tc>
          <w:tcPr>
            <w:tcW w:w="111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Copë</w:t>
            </w:r>
          </w:p>
        </w:tc>
        <w:tc>
          <w:tcPr>
            <w:tcW w:w="95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-3,937</w:t>
            </w:r>
          </w:p>
        </w:tc>
        <w:tc>
          <w:tcPr>
            <w:tcW w:w="74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-15.8</w:t>
            </w:r>
            <w:r w:rsidRPr="004E355C">
              <w:rPr>
                <w:rFonts w:asciiTheme="minorHAnsi" w:hAnsiTheme="minorHAnsi" w:cstheme="minorHAnsi"/>
                <w:sz w:val="18"/>
                <w:szCs w:val="18"/>
              </w:rPr>
              <w:t>%</w:t>
            </w:r>
          </w:p>
        </w:tc>
        <w:tc>
          <w:tcPr>
            <w:tcW w:w="1674"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-266</w:t>
            </w:r>
          </w:p>
        </w:tc>
        <w:tc>
          <w:tcPr>
            <w:tcW w:w="93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-8.9</w:t>
            </w:r>
            <w:r w:rsidRPr="004E355C">
              <w:rPr>
                <w:rFonts w:asciiTheme="minorHAnsi" w:hAnsiTheme="minorHAnsi" w:cstheme="minorHAnsi"/>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r>
              <w:rPr>
                <w:rFonts w:asciiTheme="minorHAnsi" w:hAnsiTheme="minorHAnsi" w:cstheme="minorHAnsi"/>
                <w:b w:val="0"/>
                <w:sz w:val="18"/>
                <w:szCs w:val="18"/>
              </w:rPr>
              <w:t>Pc. Kompjuter printer fotokopje dhe pjeset: bojra print</w:t>
            </w:r>
          </w:p>
        </w:tc>
        <w:tc>
          <w:tcPr>
            <w:tcW w:w="111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95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-86</w:t>
            </w:r>
          </w:p>
        </w:tc>
        <w:tc>
          <w:tcPr>
            <w:tcW w:w="74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-11</w:t>
            </w:r>
            <w:r w:rsidRPr="004E355C">
              <w:rPr>
                <w:rFonts w:asciiTheme="minorHAnsi" w:hAnsiTheme="minorHAnsi" w:cstheme="minorHAnsi"/>
                <w:sz w:val="18"/>
                <w:szCs w:val="18"/>
              </w:rPr>
              <w:t>%</w:t>
            </w:r>
          </w:p>
        </w:tc>
        <w:tc>
          <w:tcPr>
            <w:tcW w:w="1674"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262</w:t>
            </w:r>
          </w:p>
        </w:tc>
        <w:tc>
          <w:tcPr>
            <w:tcW w:w="93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34.8</w:t>
            </w:r>
            <w:r w:rsidRPr="004E355C">
              <w:rPr>
                <w:rFonts w:asciiTheme="minorHAnsi" w:hAnsiTheme="minorHAnsi" w:cstheme="minorHAnsi"/>
                <w:sz w:val="18"/>
                <w:szCs w:val="18"/>
              </w:rPr>
              <w:t>%</w:t>
            </w:r>
          </w:p>
        </w:tc>
      </w:tr>
      <w:tr w:rsidR="00E14853" w:rsidRPr="004E355C" w:rsidTr="00FA2630">
        <w:trPr>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r>
              <w:rPr>
                <w:rFonts w:asciiTheme="minorHAnsi" w:hAnsiTheme="minorHAnsi" w:cstheme="minorHAnsi"/>
                <w:b w:val="0"/>
                <w:sz w:val="18"/>
                <w:szCs w:val="18"/>
              </w:rPr>
              <w:t>Telefona celulare</w:t>
            </w:r>
          </w:p>
        </w:tc>
        <w:tc>
          <w:tcPr>
            <w:tcW w:w="111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95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w:t>
            </w:r>
          </w:p>
        </w:tc>
        <w:tc>
          <w:tcPr>
            <w:tcW w:w="74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-64.7</w:t>
            </w:r>
            <w:r w:rsidRPr="004E355C">
              <w:rPr>
                <w:rFonts w:asciiTheme="minorHAnsi" w:hAnsiTheme="minorHAnsi" w:cstheme="minorHAnsi"/>
                <w:sz w:val="18"/>
                <w:szCs w:val="18"/>
              </w:rPr>
              <w:t>%</w:t>
            </w:r>
          </w:p>
        </w:tc>
        <w:tc>
          <w:tcPr>
            <w:tcW w:w="1674"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113</w:t>
            </w:r>
          </w:p>
        </w:tc>
        <w:tc>
          <w:tcPr>
            <w:tcW w:w="93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47.2</w:t>
            </w:r>
            <w:r w:rsidRPr="004E355C">
              <w:rPr>
                <w:rFonts w:asciiTheme="minorHAnsi" w:hAnsiTheme="minorHAnsi" w:cstheme="minorHAnsi"/>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r>
              <w:rPr>
                <w:rFonts w:asciiTheme="minorHAnsi" w:hAnsiTheme="minorHAnsi" w:cstheme="minorHAnsi"/>
                <w:b w:val="0"/>
                <w:sz w:val="18"/>
                <w:szCs w:val="18"/>
              </w:rPr>
              <w:t>Instrumented he aparatet fotografik dhe ato mates</w:t>
            </w:r>
          </w:p>
        </w:tc>
        <w:tc>
          <w:tcPr>
            <w:tcW w:w="111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95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-133</w:t>
            </w:r>
          </w:p>
        </w:tc>
        <w:tc>
          <w:tcPr>
            <w:tcW w:w="74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-15.6</w:t>
            </w:r>
            <w:r w:rsidRPr="004E355C">
              <w:rPr>
                <w:rFonts w:asciiTheme="minorHAnsi" w:hAnsiTheme="minorHAnsi" w:cstheme="minorHAnsi"/>
                <w:sz w:val="18"/>
                <w:szCs w:val="18"/>
              </w:rPr>
              <w:t>%</w:t>
            </w:r>
          </w:p>
        </w:tc>
        <w:tc>
          <w:tcPr>
            <w:tcW w:w="1674"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93</w:t>
            </w:r>
          </w:p>
        </w:tc>
        <w:tc>
          <w:tcPr>
            <w:tcW w:w="93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12.1</w:t>
            </w:r>
            <w:r w:rsidRPr="004E355C">
              <w:rPr>
                <w:rFonts w:asciiTheme="minorHAnsi" w:hAnsiTheme="minorHAnsi" w:cstheme="minorHAnsi"/>
                <w:sz w:val="18"/>
                <w:szCs w:val="18"/>
              </w:rPr>
              <w:t>%</w:t>
            </w:r>
          </w:p>
        </w:tc>
      </w:tr>
      <w:tr w:rsidR="00E14853" w:rsidRPr="004E355C" w:rsidTr="00FA2630">
        <w:trPr>
          <w:trHeight w:val="201"/>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r>
              <w:rPr>
                <w:rFonts w:asciiTheme="minorHAnsi" w:hAnsiTheme="minorHAnsi" w:cstheme="minorHAnsi"/>
                <w:b w:val="0"/>
                <w:sz w:val="18"/>
                <w:szCs w:val="18"/>
              </w:rPr>
              <w:t>Automjeteve te reja</w:t>
            </w:r>
          </w:p>
        </w:tc>
        <w:tc>
          <w:tcPr>
            <w:tcW w:w="111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Copë</w:t>
            </w:r>
          </w:p>
        </w:tc>
        <w:tc>
          <w:tcPr>
            <w:tcW w:w="95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-111</w:t>
            </w:r>
          </w:p>
        </w:tc>
        <w:tc>
          <w:tcPr>
            <w:tcW w:w="740"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-10.5</w:t>
            </w:r>
            <w:r w:rsidRPr="004E355C">
              <w:rPr>
                <w:rFonts w:asciiTheme="minorHAnsi" w:hAnsiTheme="minorHAnsi" w:cstheme="minorHAnsi"/>
                <w:sz w:val="18"/>
                <w:szCs w:val="18"/>
              </w:rPr>
              <w:t>%</w:t>
            </w:r>
          </w:p>
        </w:tc>
        <w:tc>
          <w:tcPr>
            <w:tcW w:w="1674"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52</w:t>
            </w:r>
          </w:p>
        </w:tc>
        <w:tc>
          <w:tcPr>
            <w:tcW w:w="931" w:type="dxa"/>
          </w:tcPr>
          <w:p w:rsidR="00E14853" w:rsidRPr="004E355C" w:rsidRDefault="00E14853" w:rsidP="002B58A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9.1</w:t>
            </w:r>
            <w:r w:rsidRPr="004E355C">
              <w:rPr>
                <w:rFonts w:asciiTheme="minorHAnsi" w:hAnsiTheme="minorHAnsi" w:cstheme="minorHAnsi"/>
                <w:sz w:val="18"/>
                <w:szCs w:val="18"/>
              </w:rPr>
              <w:t>%</w:t>
            </w:r>
          </w:p>
        </w:tc>
      </w:tr>
      <w:tr w:rsidR="00E14853" w:rsidRPr="004E355C" w:rsidTr="00FA2630">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rsidR="00E14853" w:rsidRPr="004E355C" w:rsidRDefault="00E14853" w:rsidP="00FA2630">
            <w:pPr>
              <w:rPr>
                <w:rFonts w:asciiTheme="minorHAnsi" w:hAnsiTheme="minorHAnsi" w:cstheme="minorHAnsi"/>
                <w:b w:val="0"/>
                <w:sz w:val="18"/>
                <w:szCs w:val="18"/>
              </w:rPr>
            </w:pPr>
          </w:p>
        </w:tc>
        <w:tc>
          <w:tcPr>
            <w:tcW w:w="111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95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740"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1674" w:type="dxa"/>
          </w:tcPr>
          <w:p w:rsidR="00E14853" w:rsidRPr="00B50B7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B50B7C">
              <w:rPr>
                <w:rFonts w:asciiTheme="minorHAnsi" w:hAnsiTheme="minorHAnsi" w:cstheme="minorHAnsi"/>
                <w:b/>
                <w:sz w:val="18"/>
                <w:szCs w:val="18"/>
              </w:rPr>
              <w:t>-786</w:t>
            </w:r>
          </w:p>
        </w:tc>
        <w:tc>
          <w:tcPr>
            <w:tcW w:w="931" w:type="dxa"/>
          </w:tcPr>
          <w:p w:rsidR="00E14853" w:rsidRPr="004E355C" w:rsidRDefault="00E14853" w:rsidP="002B58A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bl>
    <w:p w:rsidR="0034657E" w:rsidRDefault="00FD3343" w:rsidP="0034657E">
      <w:pPr>
        <w:tabs>
          <w:tab w:val="left" w:pos="810"/>
          <w:tab w:val="center" w:pos="4680"/>
          <w:tab w:val="left" w:pos="9360"/>
        </w:tabs>
        <w:spacing w:line="276" w:lineRule="auto"/>
        <w:rPr>
          <w:rFonts w:asciiTheme="minorHAnsi" w:hAnsiTheme="minorHAnsi"/>
          <w:i/>
          <w:sz w:val="20"/>
          <w:szCs w:val="20"/>
          <w:lang w:val="sq-AL"/>
        </w:rPr>
      </w:pPr>
      <w:r w:rsidRPr="00161E02">
        <w:rPr>
          <w:rFonts w:asciiTheme="minorHAnsi" w:hAnsiTheme="minorHAnsi"/>
          <w:i/>
          <w:sz w:val="20"/>
          <w:szCs w:val="20"/>
          <w:lang w:val="sq-AL"/>
        </w:rPr>
        <w:t>Burimi: Ministria e Financave dhe Ekonomisë (2022)</w:t>
      </w:r>
    </w:p>
    <w:p w:rsidR="007D5528" w:rsidRPr="007D5528" w:rsidRDefault="007D5528" w:rsidP="0034657E">
      <w:pPr>
        <w:tabs>
          <w:tab w:val="left" w:pos="810"/>
          <w:tab w:val="center" w:pos="4680"/>
          <w:tab w:val="left" w:pos="9360"/>
        </w:tabs>
        <w:spacing w:line="276" w:lineRule="auto"/>
        <w:rPr>
          <w:rFonts w:asciiTheme="minorHAnsi" w:hAnsiTheme="minorHAnsi"/>
          <w:i/>
          <w:sz w:val="8"/>
          <w:szCs w:val="20"/>
          <w:lang w:val="sq-AL"/>
        </w:rPr>
      </w:pPr>
    </w:p>
    <w:p w:rsidR="0034657E" w:rsidRPr="007D5528" w:rsidRDefault="007D5528" w:rsidP="007D5528">
      <w:pPr>
        <w:spacing w:line="276" w:lineRule="auto"/>
        <w:jc w:val="both"/>
        <w:rPr>
          <w:rFonts w:asciiTheme="minorHAnsi" w:hAnsiTheme="minorHAnsi" w:cstheme="minorHAnsi"/>
        </w:rPr>
      </w:pPr>
      <w:r w:rsidRPr="00736555">
        <w:rPr>
          <w:rFonts w:asciiTheme="minorHAnsi" w:hAnsiTheme="minorHAnsi" w:cstheme="minorHAnsi"/>
          <w:i/>
        </w:rPr>
        <w:t>Të ardhurat nga renta minerare</w:t>
      </w:r>
      <w:r w:rsidRPr="00736555">
        <w:rPr>
          <w:rFonts w:asciiTheme="minorHAnsi" w:hAnsiTheme="minorHAnsi" w:cstheme="minorHAnsi"/>
        </w:rPr>
        <w:t xml:space="preserve"> në eksport janë realizuar në vlerën 1.9 miliardë lekë, 78.7% krahasuar me vitin 2021, dhe realizim 51.6% kundrejt planit ose 642 milionë lekë më shumë.</w:t>
      </w:r>
      <w:r w:rsidRPr="00736555">
        <w:rPr>
          <w:rFonts w:asciiTheme="minorHAnsi" w:hAnsiTheme="minorHAnsi" w:cstheme="minorHAnsi"/>
          <w:lang w:val="it-IT"/>
        </w:rPr>
        <w:t xml:space="preserve"> </w:t>
      </w:r>
      <w:r w:rsidRPr="00736555">
        <w:rPr>
          <w:rFonts w:asciiTheme="minorHAnsi" w:hAnsiTheme="minorHAnsi" w:cstheme="minorHAnsi"/>
          <w:color w:val="000000" w:themeColor="text1"/>
        </w:rPr>
        <w:t xml:space="preserve">Të ardhurat nga renta minerare për naftën bruto janë rritur me 469 milionë lekë krahasuar me </w:t>
      </w:r>
      <w:r>
        <w:rPr>
          <w:rFonts w:asciiTheme="minorHAnsi" w:hAnsiTheme="minorHAnsi" w:cstheme="minorHAnsi"/>
          <w:color w:val="000000" w:themeColor="text1"/>
        </w:rPr>
        <w:t>2021</w:t>
      </w:r>
      <w:r w:rsidRPr="00EA1568">
        <w:rPr>
          <w:rFonts w:asciiTheme="minorHAnsi" w:hAnsiTheme="minorHAnsi" w:cstheme="minorHAnsi"/>
        </w:rPr>
        <w:t>. Rritja e të ardhurave të rentës nga nafta bruto ka ardhur si rjedhojë e rritjes së çmimit të naftës n</w:t>
      </w:r>
      <w:r>
        <w:rPr>
          <w:rFonts w:asciiTheme="minorHAnsi" w:hAnsiTheme="minorHAnsi" w:cstheme="minorHAnsi"/>
        </w:rPr>
        <w:t>ë</w:t>
      </w:r>
      <w:r w:rsidRPr="00EA1568">
        <w:rPr>
          <w:rFonts w:asciiTheme="minorHAnsi" w:hAnsiTheme="minorHAnsi" w:cstheme="minorHAnsi"/>
        </w:rPr>
        <w:t xml:space="preserve"> tregjet nd</w:t>
      </w:r>
      <w:r>
        <w:rPr>
          <w:rFonts w:asciiTheme="minorHAnsi" w:hAnsiTheme="minorHAnsi" w:cstheme="minorHAnsi"/>
        </w:rPr>
        <w:t>ë</w:t>
      </w:r>
      <w:r w:rsidRPr="00EA1568">
        <w:rPr>
          <w:rFonts w:asciiTheme="minorHAnsi" w:hAnsiTheme="minorHAnsi" w:cstheme="minorHAnsi"/>
        </w:rPr>
        <w:t>rkomb</w:t>
      </w:r>
      <w:r>
        <w:rPr>
          <w:rFonts w:asciiTheme="minorHAnsi" w:hAnsiTheme="minorHAnsi" w:cstheme="minorHAnsi"/>
        </w:rPr>
        <w:t>ë</w:t>
      </w:r>
      <w:r w:rsidRPr="00EA1568">
        <w:rPr>
          <w:rFonts w:asciiTheme="minorHAnsi" w:hAnsiTheme="minorHAnsi" w:cstheme="minorHAnsi"/>
        </w:rPr>
        <w:t>tare, e cila ka sjell</w:t>
      </w:r>
      <w:r>
        <w:rPr>
          <w:rFonts w:asciiTheme="minorHAnsi" w:hAnsiTheme="minorHAnsi" w:cstheme="minorHAnsi"/>
        </w:rPr>
        <w:t>ë</w:t>
      </w:r>
      <w:r w:rsidRPr="00EA1568">
        <w:rPr>
          <w:rFonts w:asciiTheme="minorHAnsi" w:hAnsiTheme="minorHAnsi" w:cstheme="minorHAnsi"/>
        </w:rPr>
        <w:t xml:space="preserve"> efekt pozitiv krahasuar </w:t>
      </w:r>
      <w:r>
        <w:rPr>
          <w:rFonts w:asciiTheme="minorHAnsi" w:hAnsiTheme="minorHAnsi" w:cstheme="minorHAnsi"/>
        </w:rPr>
        <w:t>me +552</w:t>
      </w:r>
      <w:r w:rsidRPr="00EA1568">
        <w:rPr>
          <w:rFonts w:asciiTheme="minorHAnsi" w:hAnsiTheme="minorHAnsi" w:cstheme="minorHAnsi"/>
        </w:rPr>
        <w:t xml:space="preserve"> milion</w:t>
      </w:r>
      <w:r>
        <w:rPr>
          <w:rFonts w:asciiTheme="minorHAnsi" w:hAnsiTheme="minorHAnsi" w:cstheme="minorHAnsi"/>
        </w:rPr>
        <w:t>ë</w:t>
      </w:r>
      <w:r w:rsidRPr="00EA1568">
        <w:rPr>
          <w:rFonts w:asciiTheme="minorHAnsi" w:hAnsiTheme="minorHAnsi" w:cstheme="minorHAnsi"/>
        </w:rPr>
        <w:t xml:space="preserve"> lek</w:t>
      </w:r>
      <w:r>
        <w:rPr>
          <w:rFonts w:asciiTheme="minorHAnsi" w:hAnsiTheme="minorHAnsi" w:cstheme="minorHAnsi"/>
        </w:rPr>
        <w:t>ë</w:t>
      </w:r>
      <w:r w:rsidRPr="00EA1568">
        <w:rPr>
          <w:rFonts w:asciiTheme="minorHAnsi" w:hAnsiTheme="minorHAnsi" w:cstheme="minorHAnsi"/>
        </w:rPr>
        <w:t xml:space="preserve"> megjith</w:t>
      </w:r>
      <w:r>
        <w:rPr>
          <w:rFonts w:asciiTheme="minorHAnsi" w:hAnsiTheme="minorHAnsi" w:cstheme="minorHAnsi"/>
        </w:rPr>
        <w:t>ë</w:t>
      </w:r>
      <w:r w:rsidRPr="00EA1568">
        <w:rPr>
          <w:rFonts w:asciiTheme="minorHAnsi" w:hAnsiTheme="minorHAnsi" w:cstheme="minorHAnsi"/>
        </w:rPr>
        <w:t>se sasia e eksportuar e naft</w:t>
      </w:r>
      <w:r>
        <w:rPr>
          <w:rFonts w:asciiTheme="minorHAnsi" w:hAnsiTheme="minorHAnsi" w:cstheme="minorHAnsi"/>
        </w:rPr>
        <w:t>ë</w:t>
      </w:r>
      <w:r w:rsidRPr="00EA1568">
        <w:rPr>
          <w:rFonts w:asciiTheme="minorHAnsi" w:hAnsiTheme="minorHAnsi" w:cstheme="minorHAnsi"/>
        </w:rPr>
        <w:t>s bruto ka p</w:t>
      </w:r>
      <w:r>
        <w:rPr>
          <w:rFonts w:asciiTheme="minorHAnsi" w:hAnsiTheme="minorHAnsi" w:cstheme="minorHAnsi"/>
        </w:rPr>
        <w:t>ë</w:t>
      </w:r>
      <w:r w:rsidRPr="00EA1568">
        <w:rPr>
          <w:rFonts w:asciiTheme="minorHAnsi" w:hAnsiTheme="minorHAnsi" w:cstheme="minorHAnsi"/>
        </w:rPr>
        <w:t>suar r</w:t>
      </w:r>
      <w:r>
        <w:rPr>
          <w:rFonts w:asciiTheme="minorHAnsi" w:hAnsiTheme="minorHAnsi" w:cstheme="minorHAnsi"/>
        </w:rPr>
        <w:t>ë</w:t>
      </w:r>
      <w:r w:rsidRPr="00EA1568">
        <w:rPr>
          <w:rFonts w:asciiTheme="minorHAnsi" w:hAnsiTheme="minorHAnsi" w:cstheme="minorHAnsi"/>
        </w:rPr>
        <w:t>nie me -81 ton</w:t>
      </w:r>
      <w:r>
        <w:rPr>
          <w:rFonts w:asciiTheme="minorHAnsi" w:hAnsiTheme="minorHAnsi" w:cstheme="minorHAnsi"/>
        </w:rPr>
        <w:t>,</w:t>
      </w:r>
      <w:r w:rsidRPr="00EA1568">
        <w:rPr>
          <w:rFonts w:asciiTheme="minorHAnsi" w:hAnsiTheme="minorHAnsi" w:cstheme="minorHAnsi"/>
        </w:rPr>
        <w:t xml:space="preserve"> </w:t>
      </w:r>
      <w:r>
        <w:rPr>
          <w:rFonts w:asciiTheme="minorHAnsi" w:hAnsiTheme="minorHAnsi" w:cstheme="minorHAnsi"/>
        </w:rPr>
        <w:t>me efekt -83.3 milionë lekë krahasuar m</w:t>
      </w:r>
      <w:r w:rsidRPr="00EA1568">
        <w:rPr>
          <w:rFonts w:asciiTheme="minorHAnsi" w:hAnsiTheme="minorHAnsi" w:cstheme="minorHAnsi"/>
        </w:rPr>
        <w:t>e t</w:t>
      </w:r>
      <w:r>
        <w:rPr>
          <w:rFonts w:asciiTheme="minorHAnsi" w:hAnsiTheme="minorHAnsi" w:cstheme="minorHAnsi"/>
        </w:rPr>
        <w:t>ë</w:t>
      </w:r>
      <w:r w:rsidRPr="00EA1568">
        <w:rPr>
          <w:rFonts w:asciiTheme="minorHAnsi" w:hAnsiTheme="minorHAnsi" w:cstheme="minorHAnsi"/>
        </w:rPr>
        <w:t xml:space="preserve"> nj</w:t>
      </w:r>
      <w:r>
        <w:rPr>
          <w:rFonts w:asciiTheme="minorHAnsi" w:hAnsiTheme="minorHAnsi" w:cstheme="minorHAnsi"/>
        </w:rPr>
        <w:t>ë</w:t>
      </w:r>
      <w:r w:rsidRPr="00EA1568">
        <w:rPr>
          <w:rFonts w:asciiTheme="minorHAnsi" w:hAnsiTheme="minorHAnsi" w:cstheme="minorHAnsi"/>
        </w:rPr>
        <w:t>jt</w:t>
      </w:r>
      <w:r>
        <w:rPr>
          <w:rFonts w:asciiTheme="minorHAnsi" w:hAnsiTheme="minorHAnsi" w:cstheme="minorHAnsi"/>
        </w:rPr>
        <w:t>ë</w:t>
      </w:r>
      <w:r w:rsidRPr="00EA1568">
        <w:rPr>
          <w:rFonts w:asciiTheme="minorHAnsi" w:hAnsiTheme="minorHAnsi" w:cstheme="minorHAnsi"/>
        </w:rPr>
        <w:t>n periudh</w:t>
      </w:r>
      <w:r>
        <w:rPr>
          <w:rFonts w:asciiTheme="minorHAnsi" w:hAnsiTheme="minorHAnsi" w:cstheme="minorHAnsi"/>
        </w:rPr>
        <w:t>ë</w:t>
      </w:r>
      <w:r w:rsidRPr="00EA1568">
        <w:rPr>
          <w:rFonts w:asciiTheme="minorHAnsi" w:hAnsiTheme="minorHAnsi" w:cstheme="minorHAnsi"/>
        </w:rPr>
        <w:t xml:space="preserve"> t</w:t>
      </w:r>
      <w:r>
        <w:rPr>
          <w:rFonts w:asciiTheme="minorHAnsi" w:hAnsiTheme="minorHAnsi" w:cstheme="minorHAnsi"/>
        </w:rPr>
        <w:t>ë</w:t>
      </w:r>
      <w:r w:rsidRPr="00EA1568">
        <w:rPr>
          <w:rFonts w:asciiTheme="minorHAnsi" w:hAnsiTheme="minorHAnsi" w:cstheme="minorHAnsi"/>
        </w:rPr>
        <w:t xml:space="preserve"> vitit 2021. </w:t>
      </w:r>
      <w:r w:rsidRPr="00B45962">
        <w:rPr>
          <w:rFonts w:asciiTheme="minorHAnsi" w:hAnsiTheme="minorHAnsi" w:cstheme="minorHAnsi"/>
        </w:rPr>
        <w:t xml:space="preserve">Gjatë 5 mujorit 2022 kemi një rritje të rentës për njësi nga 3.19 lekë/ton në 5.42 lekë/ton. Ndërkohë, të ardhurat nga mineralet e eksportuara kanë pësuar rritje </w:t>
      </w:r>
      <w:r w:rsidRPr="004213BC">
        <w:rPr>
          <w:rFonts w:asciiTheme="minorHAnsi" w:hAnsiTheme="minorHAnsi" w:cstheme="minorHAnsi"/>
        </w:rPr>
        <w:t>në masën 346 milionë lekë për shkak të rritjes së çmimit te mineraleve të eksportuar me efekt 917 milionë lekë krahasuar me 5 mujorin 2021, shoq</w:t>
      </w:r>
      <w:r>
        <w:rPr>
          <w:rFonts w:asciiTheme="minorHAnsi" w:hAnsiTheme="minorHAnsi" w:cstheme="minorHAnsi"/>
        </w:rPr>
        <w:t>ë</w:t>
      </w:r>
      <w:r w:rsidRPr="004213BC">
        <w:rPr>
          <w:rFonts w:asciiTheme="minorHAnsi" w:hAnsiTheme="minorHAnsi" w:cstheme="minorHAnsi"/>
        </w:rPr>
        <w:t>ruar me efekt negativ -19.4 milion</w:t>
      </w:r>
      <w:r>
        <w:rPr>
          <w:rFonts w:asciiTheme="minorHAnsi" w:hAnsiTheme="minorHAnsi" w:cstheme="minorHAnsi"/>
        </w:rPr>
        <w:t>ë</w:t>
      </w:r>
      <w:r w:rsidRPr="004213BC">
        <w:rPr>
          <w:rFonts w:asciiTheme="minorHAnsi" w:hAnsiTheme="minorHAnsi" w:cstheme="minorHAnsi"/>
        </w:rPr>
        <w:t xml:space="preserve"> lek</w:t>
      </w:r>
      <w:r>
        <w:rPr>
          <w:rFonts w:asciiTheme="minorHAnsi" w:hAnsiTheme="minorHAnsi" w:cstheme="minorHAnsi"/>
        </w:rPr>
        <w:t>ë</w:t>
      </w:r>
      <w:r w:rsidRPr="004213BC">
        <w:rPr>
          <w:rFonts w:asciiTheme="minorHAnsi" w:hAnsiTheme="minorHAnsi" w:cstheme="minorHAnsi"/>
        </w:rPr>
        <w:t xml:space="preserve"> nga r</w:t>
      </w:r>
      <w:r>
        <w:rPr>
          <w:rFonts w:asciiTheme="minorHAnsi" w:hAnsiTheme="minorHAnsi" w:cstheme="minorHAnsi"/>
        </w:rPr>
        <w:t>ë</w:t>
      </w:r>
      <w:r w:rsidRPr="004213BC">
        <w:rPr>
          <w:rFonts w:asciiTheme="minorHAnsi" w:hAnsiTheme="minorHAnsi" w:cstheme="minorHAnsi"/>
        </w:rPr>
        <w:t>nia e sasis</w:t>
      </w:r>
      <w:r>
        <w:rPr>
          <w:rFonts w:asciiTheme="minorHAnsi" w:hAnsiTheme="minorHAnsi" w:cstheme="minorHAnsi"/>
        </w:rPr>
        <w:t>ë</w:t>
      </w:r>
      <w:r w:rsidRPr="004213BC">
        <w:rPr>
          <w:rFonts w:asciiTheme="minorHAnsi" w:hAnsiTheme="minorHAnsi" w:cstheme="minorHAnsi"/>
        </w:rPr>
        <w:t xml:space="preserve"> s</w:t>
      </w:r>
      <w:r>
        <w:rPr>
          <w:rFonts w:asciiTheme="minorHAnsi" w:hAnsiTheme="minorHAnsi" w:cstheme="minorHAnsi"/>
        </w:rPr>
        <w:t>ë</w:t>
      </w:r>
      <w:r w:rsidRPr="004213BC">
        <w:rPr>
          <w:rFonts w:asciiTheme="minorHAnsi" w:hAnsiTheme="minorHAnsi" w:cstheme="minorHAnsi"/>
        </w:rPr>
        <w:t xml:space="preserve"> eksportuar me 81 ton ose 9.8% m</w:t>
      </w:r>
      <w:r>
        <w:rPr>
          <w:rFonts w:asciiTheme="minorHAnsi" w:hAnsiTheme="minorHAnsi" w:cstheme="minorHAnsi"/>
        </w:rPr>
        <w:t>ë</w:t>
      </w:r>
      <w:r w:rsidRPr="004213BC">
        <w:rPr>
          <w:rFonts w:asciiTheme="minorHAnsi" w:hAnsiTheme="minorHAnsi" w:cstheme="minorHAnsi"/>
        </w:rPr>
        <w:t xml:space="preserve"> pak se viti 2021</w:t>
      </w:r>
      <w:r w:rsidR="0034657E" w:rsidRPr="001A789B">
        <w:rPr>
          <w:rFonts w:asciiTheme="minorHAnsi" w:hAnsiTheme="minorHAnsi" w:cstheme="minorHAnsi"/>
          <w:color w:val="000000" w:themeColor="text1"/>
        </w:rPr>
        <w:t>.</w:t>
      </w:r>
    </w:p>
    <w:p w:rsidR="0034657E" w:rsidRPr="00900B3D" w:rsidRDefault="001D7392" w:rsidP="001D7392">
      <w:pPr>
        <w:pStyle w:val="Caption"/>
        <w:rPr>
          <w:rFonts w:asciiTheme="minorHAnsi" w:hAnsiTheme="minorHAnsi"/>
          <w:b w:val="0"/>
          <w:bCs w:val="0"/>
          <w:i/>
          <w:color w:val="auto"/>
          <w:sz w:val="22"/>
          <w:szCs w:val="24"/>
          <w:lang w:val="sq-AL"/>
        </w:rPr>
      </w:pPr>
      <w:bookmarkStart w:id="25" w:name="_Toc12449193"/>
      <w:bookmarkStart w:id="26" w:name="_Toc107496742"/>
      <w:r w:rsidRPr="001D7392">
        <w:rPr>
          <w:rFonts w:asciiTheme="minorHAnsi" w:hAnsiTheme="minorHAnsi"/>
          <w:b w:val="0"/>
          <w:bCs w:val="0"/>
          <w:i/>
          <w:color w:val="auto"/>
          <w:sz w:val="22"/>
          <w:szCs w:val="24"/>
          <w:lang w:val="sq-AL"/>
        </w:rPr>
        <w:lastRenderedPageBreak/>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xml:space="preserve">  : Të dhëna për Rentën Minerare, naftë bruto dhe minerale të tjera (në milionë lekë)</w:t>
      </w:r>
      <w:bookmarkEnd w:id="25"/>
      <w:bookmarkEnd w:id="26"/>
    </w:p>
    <w:tbl>
      <w:tblPr>
        <w:tblStyle w:val="GridTable4-Accent52"/>
        <w:tblW w:w="4921" w:type="pct"/>
        <w:jc w:val="center"/>
        <w:tblLayout w:type="fixed"/>
        <w:tblLook w:val="0600" w:firstRow="0" w:lastRow="0" w:firstColumn="0" w:lastColumn="0" w:noHBand="1" w:noVBand="1"/>
      </w:tblPr>
      <w:tblGrid>
        <w:gridCol w:w="1652"/>
        <w:gridCol w:w="632"/>
        <w:gridCol w:w="631"/>
        <w:gridCol w:w="631"/>
        <w:gridCol w:w="754"/>
        <w:gridCol w:w="632"/>
        <w:gridCol w:w="634"/>
        <w:gridCol w:w="634"/>
        <w:gridCol w:w="873"/>
        <w:gridCol w:w="757"/>
        <w:gridCol w:w="244"/>
        <w:gridCol w:w="515"/>
        <w:gridCol w:w="879"/>
      </w:tblGrid>
      <w:tr w:rsidR="00E14853" w:rsidRPr="004E355C" w:rsidTr="00FA2630">
        <w:trPr>
          <w:trHeight w:val="52"/>
          <w:jc w:val="center"/>
        </w:trPr>
        <w:tc>
          <w:tcPr>
            <w:tcW w:w="872" w:type="pct"/>
            <w:vMerge w:val="restar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8"/>
                <w:szCs w:val="18"/>
              </w:rPr>
            </w:pPr>
          </w:p>
        </w:tc>
        <w:tc>
          <w:tcPr>
            <w:tcW w:w="1398" w:type="pct"/>
            <w:gridSpan w:val="4"/>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8"/>
                <w:szCs w:val="18"/>
              </w:rPr>
            </w:pPr>
            <w:r w:rsidRPr="004E355C">
              <w:rPr>
                <w:rFonts w:cstheme="minorHAnsi"/>
                <w:b/>
                <w:bCs/>
                <w:iCs/>
                <w:sz w:val="18"/>
                <w:szCs w:val="18"/>
              </w:rPr>
              <w:t>Sasia në mijë ton</w:t>
            </w:r>
          </w:p>
        </w:tc>
        <w:tc>
          <w:tcPr>
            <w:tcW w:w="1464" w:type="pct"/>
            <w:gridSpan w:val="4"/>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8"/>
                <w:szCs w:val="18"/>
              </w:rPr>
            </w:pPr>
            <w:r w:rsidRPr="004E355C">
              <w:rPr>
                <w:rFonts w:cstheme="minorHAnsi"/>
                <w:b/>
                <w:bCs/>
                <w:iCs/>
                <w:sz w:val="18"/>
                <w:szCs w:val="18"/>
              </w:rPr>
              <w:t>Të ardhura nga Renta në mijë lekë</w:t>
            </w:r>
          </w:p>
        </w:tc>
        <w:tc>
          <w:tcPr>
            <w:tcW w:w="1265" w:type="pct"/>
            <w:gridSpan w:val="4"/>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8"/>
                <w:szCs w:val="18"/>
              </w:rPr>
            </w:pPr>
            <w:r w:rsidRPr="004E355C">
              <w:rPr>
                <w:rFonts w:cstheme="minorHAnsi"/>
                <w:b/>
                <w:bCs/>
                <w:iCs/>
                <w:sz w:val="18"/>
                <w:szCs w:val="18"/>
              </w:rPr>
              <w:t>Efektet</w:t>
            </w:r>
          </w:p>
        </w:tc>
      </w:tr>
      <w:tr w:rsidR="00E14853" w:rsidRPr="004E355C" w:rsidTr="00FA2630">
        <w:trPr>
          <w:trHeight w:val="358"/>
          <w:jc w:val="center"/>
        </w:trPr>
        <w:tc>
          <w:tcPr>
            <w:tcW w:w="872" w:type="pct"/>
            <w:vMerge/>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8"/>
                <w:szCs w:val="18"/>
              </w:rPr>
            </w:pPr>
          </w:p>
        </w:tc>
        <w:tc>
          <w:tcPr>
            <w:tcW w:w="334"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Pr>
                <w:rFonts w:cstheme="minorHAnsi"/>
                <w:b/>
                <w:bCs/>
                <w:iCs/>
                <w:sz w:val="16"/>
                <w:szCs w:val="16"/>
              </w:rPr>
              <w:t>2021</w:t>
            </w:r>
          </w:p>
        </w:tc>
        <w:tc>
          <w:tcPr>
            <w:tcW w:w="333"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Pr>
                <w:rFonts w:cstheme="minorHAnsi"/>
                <w:b/>
                <w:bCs/>
                <w:iCs/>
                <w:sz w:val="16"/>
                <w:szCs w:val="16"/>
              </w:rPr>
              <w:t>2022</w:t>
            </w:r>
          </w:p>
        </w:tc>
        <w:tc>
          <w:tcPr>
            <w:tcW w:w="333" w:type="pct"/>
            <w:shd w:val="clear" w:color="auto" w:fill="92CDDC" w:themeFill="accent5" w:themeFillTint="99"/>
            <w:hideMark/>
          </w:tcPr>
          <w:p w:rsidR="00E14853" w:rsidRPr="004E355C" w:rsidRDefault="00E14853" w:rsidP="00E14853">
            <w:pPr>
              <w:tabs>
                <w:tab w:val="left" w:pos="2511"/>
                <w:tab w:val="center" w:pos="4680"/>
              </w:tabs>
              <w:rPr>
                <w:rFonts w:cstheme="minorHAnsi"/>
                <w:b/>
                <w:bCs/>
                <w:iCs/>
                <w:sz w:val="16"/>
                <w:szCs w:val="16"/>
              </w:rPr>
            </w:pPr>
            <w:r w:rsidRPr="004E355C">
              <w:rPr>
                <w:rFonts w:cstheme="minorHAnsi"/>
                <w:b/>
                <w:bCs/>
                <w:iCs/>
                <w:sz w:val="16"/>
                <w:szCs w:val="16"/>
              </w:rPr>
              <w:t xml:space="preserve"> </w:t>
            </w:r>
            <w:r>
              <w:rPr>
                <w:rFonts w:cstheme="minorHAnsi"/>
                <w:b/>
                <w:bCs/>
                <w:iCs/>
                <w:sz w:val="16"/>
                <w:szCs w:val="16"/>
              </w:rPr>
              <w:t>2022</w:t>
            </w:r>
            <w:r w:rsidRPr="004E355C">
              <w:rPr>
                <w:rFonts w:cstheme="minorHAnsi"/>
                <w:b/>
                <w:bCs/>
                <w:iCs/>
                <w:sz w:val="16"/>
                <w:szCs w:val="16"/>
              </w:rPr>
              <w:t>/</w:t>
            </w:r>
          </w:p>
          <w:p w:rsidR="00E14853" w:rsidRPr="004E355C" w:rsidRDefault="00E14853" w:rsidP="00E14853">
            <w:pPr>
              <w:tabs>
                <w:tab w:val="left" w:pos="2511"/>
                <w:tab w:val="center" w:pos="4680"/>
              </w:tabs>
              <w:jc w:val="center"/>
              <w:rPr>
                <w:rFonts w:cstheme="minorHAnsi"/>
                <w:b/>
                <w:sz w:val="16"/>
                <w:szCs w:val="16"/>
              </w:rPr>
            </w:pPr>
            <w:r>
              <w:rPr>
                <w:rFonts w:cstheme="minorHAnsi"/>
                <w:b/>
                <w:bCs/>
                <w:iCs/>
                <w:sz w:val="16"/>
                <w:szCs w:val="16"/>
              </w:rPr>
              <w:t>2021</w:t>
            </w:r>
          </w:p>
        </w:tc>
        <w:tc>
          <w:tcPr>
            <w:tcW w:w="398"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bCs/>
                <w:iCs/>
                <w:sz w:val="16"/>
                <w:szCs w:val="16"/>
              </w:rPr>
              <w:t>në %</w:t>
            </w:r>
          </w:p>
        </w:tc>
        <w:tc>
          <w:tcPr>
            <w:tcW w:w="334"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Pr>
                <w:rFonts w:cstheme="minorHAnsi"/>
                <w:b/>
                <w:bCs/>
                <w:iCs/>
                <w:sz w:val="16"/>
                <w:szCs w:val="16"/>
              </w:rPr>
              <w:t>2021</w:t>
            </w:r>
          </w:p>
        </w:tc>
        <w:tc>
          <w:tcPr>
            <w:tcW w:w="335"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Pr>
                <w:rFonts w:cstheme="minorHAnsi"/>
                <w:b/>
                <w:bCs/>
                <w:iCs/>
                <w:sz w:val="16"/>
                <w:szCs w:val="16"/>
              </w:rPr>
              <w:t>2022</w:t>
            </w:r>
          </w:p>
        </w:tc>
        <w:tc>
          <w:tcPr>
            <w:tcW w:w="335" w:type="pct"/>
            <w:shd w:val="clear" w:color="auto" w:fill="92CDDC" w:themeFill="accent5" w:themeFillTint="99"/>
            <w:hideMark/>
          </w:tcPr>
          <w:p w:rsidR="00E14853" w:rsidRPr="00B53FB9" w:rsidRDefault="00E14853" w:rsidP="00E14853">
            <w:pPr>
              <w:tabs>
                <w:tab w:val="left" w:pos="2511"/>
                <w:tab w:val="center" w:pos="4680"/>
              </w:tabs>
              <w:jc w:val="center"/>
              <w:rPr>
                <w:rFonts w:cstheme="minorHAnsi"/>
                <w:b/>
                <w:bCs/>
                <w:iCs/>
                <w:sz w:val="16"/>
                <w:szCs w:val="16"/>
              </w:rPr>
            </w:pPr>
            <w:r>
              <w:rPr>
                <w:rFonts w:cstheme="minorHAnsi"/>
                <w:b/>
                <w:bCs/>
                <w:iCs/>
                <w:sz w:val="16"/>
                <w:szCs w:val="16"/>
              </w:rPr>
              <w:t>2022/ 2021</w:t>
            </w:r>
          </w:p>
        </w:tc>
        <w:tc>
          <w:tcPr>
            <w:tcW w:w="461"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bCs/>
                <w:iCs/>
                <w:sz w:val="16"/>
                <w:szCs w:val="16"/>
              </w:rPr>
              <w:t>në %</w:t>
            </w:r>
          </w:p>
        </w:tc>
        <w:tc>
          <w:tcPr>
            <w:tcW w:w="400"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bCs/>
                <w:iCs/>
                <w:sz w:val="16"/>
                <w:szCs w:val="16"/>
              </w:rPr>
              <w:t xml:space="preserve"> Sasi</w:t>
            </w:r>
          </w:p>
        </w:tc>
        <w:tc>
          <w:tcPr>
            <w:tcW w:w="401" w:type="pct"/>
            <w:gridSpan w:val="2"/>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bCs/>
                <w:iCs/>
                <w:sz w:val="16"/>
                <w:szCs w:val="16"/>
              </w:rPr>
              <w:t>Çmim</w:t>
            </w:r>
          </w:p>
        </w:tc>
        <w:tc>
          <w:tcPr>
            <w:tcW w:w="464" w:type="pct"/>
            <w:shd w:val="clear" w:color="auto" w:fill="92CDDC" w:themeFill="accent5" w:themeFillTint="99"/>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bCs/>
                <w:iCs/>
                <w:sz w:val="16"/>
                <w:szCs w:val="16"/>
              </w:rPr>
              <w:t>Efekt Total</w:t>
            </w:r>
          </w:p>
        </w:tc>
      </w:tr>
      <w:tr w:rsidR="00E14853" w:rsidRPr="004E355C" w:rsidTr="00FA2630">
        <w:trPr>
          <w:trHeight w:val="104"/>
          <w:jc w:val="center"/>
        </w:trPr>
        <w:tc>
          <w:tcPr>
            <w:tcW w:w="872" w:type="pct"/>
            <w:vAlign w:val="center"/>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sz w:val="16"/>
                <w:szCs w:val="16"/>
              </w:rPr>
              <w:t>Rentë minerare           Naftë Bruto</w:t>
            </w:r>
          </w:p>
        </w:tc>
        <w:tc>
          <w:tcPr>
            <w:tcW w:w="334" w:type="pct"/>
            <w:vAlign w:val="center"/>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sz w:val="18"/>
                <w:szCs w:val="18"/>
              </w:rPr>
              <w:t>274</w:t>
            </w:r>
          </w:p>
        </w:tc>
        <w:tc>
          <w:tcPr>
            <w:tcW w:w="333" w:type="pct"/>
            <w:vAlign w:val="center"/>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sz w:val="18"/>
                <w:szCs w:val="18"/>
              </w:rPr>
              <w:t>248</w:t>
            </w:r>
          </w:p>
        </w:tc>
        <w:tc>
          <w:tcPr>
            <w:tcW w:w="333"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-26</w:t>
            </w:r>
          </w:p>
        </w:tc>
        <w:tc>
          <w:tcPr>
            <w:tcW w:w="398"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-9.5%</w:t>
            </w:r>
          </w:p>
        </w:tc>
        <w:tc>
          <w:tcPr>
            <w:tcW w:w="33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873</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1,342</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469</w:t>
            </w:r>
          </w:p>
        </w:tc>
        <w:tc>
          <w:tcPr>
            <w:tcW w:w="461"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53.7</w:t>
            </w:r>
            <w:r w:rsidRPr="004E355C">
              <w:rPr>
                <w:rFonts w:cstheme="minorHAnsi"/>
                <w:kern w:val="24"/>
                <w:sz w:val="18"/>
                <w:szCs w:val="18"/>
              </w:rPr>
              <w:t>%</w:t>
            </w:r>
          </w:p>
        </w:tc>
        <w:tc>
          <w:tcPr>
            <w:tcW w:w="529" w:type="pct"/>
            <w:gridSpan w:val="2"/>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-83,337</w:t>
            </w:r>
          </w:p>
        </w:tc>
        <w:tc>
          <w:tcPr>
            <w:tcW w:w="271"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552</w:t>
            </w:r>
          </w:p>
        </w:tc>
        <w:tc>
          <w:tcPr>
            <w:tcW w:w="46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469</w:t>
            </w:r>
          </w:p>
        </w:tc>
      </w:tr>
      <w:tr w:rsidR="00E14853" w:rsidRPr="004E355C" w:rsidTr="00FA2630">
        <w:trPr>
          <w:trHeight w:val="89"/>
          <w:jc w:val="center"/>
        </w:trPr>
        <w:tc>
          <w:tcPr>
            <w:tcW w:w="872" w:type="pct"/>
            <w:vAlign w:val="center"/>
            <w:hideMark/>
          </w:tcPr>
          <w:p w:rsidR="00E14853" w:rsidRPr="004E355C" w:rsidRDefault="00E14853" w:rsidP="00E14853">
            <w:pPr>
              <w:tabs>
                <w:tab w:val="left" w:pos="2511"/>
                <w:tab w:val="center" w:pos="4680"/>
              </w:tabs>
              <w:jc w:val="center"/>
              <w:rPr>
                <w:rFonts w:cstheme="minorHAnsi"/>
                <w:b/>
                <w:sz w:val="16"/>
                <w:szCs w:val="16"/>
              </w:rPr>
            </w:pPr>
            <w:r w:rsidRPr="004E355C">
              <w:rPr>
                <w:rFonts w:cstheme="minorHAnsi"/>
                <w:b/>
                <w:sz w:val="16"/>
                <w:szCs w:val="16"/>
              </w:rPr>
              <w:t>Rentë minerare Minerale të tjera</w:t>
            </w:r>
          </w:p>
        </w:tc>
        <w:tc>
          <w:tcPr>
            <w:tcW w:w="334" w:type="pct"/>
            <w:vAlign w:val="center"/>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sz w:val="18"/>
                <w:szCs w:val="18"/>
              </w:rPr>
              <w:t>827</w:t>
            </w:r>
          </w:p>
        </w:tc>
        <w:tc>
          <w:tcPr>
            <w:tcW w:w="333" w:type="pct"/>
            <w:vAlign w:val="center"/>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sz w:val="18"/>
                <w:szCs w:val="18"/>
              </w:rPr>
              <w:t>746</w:t>
            </w:r>
          </w:p>
        </w:tc>
        <w:tc>
          <w:tcPr>
            <w:tcW w:w="333"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-81</w:t>
            </w:r>
          </w:p>
        </w:tc>
        <w:tc>
          <w:tcPr>
            <w:tcW w:w="398"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-9.8</w:t>
            </w:r>
            <w:r w:rsidRPr="004E355C">
              <w:rPr>
                <w:rFonts w:cstheme="minorHAnsi"/>
                <w:kern w:val="24"/>
                <w:sz w:val="18"/>
                <w:szCs w:val="18"/>
              </w:rPr>
              <w:t>%</w:t>
            </w:r>
          </w:p>
        </w:tc>
        <w:tc>
          <w:tcPr>
            <w:tcW w:w="33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198</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544</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346</w:t>
            </w:r>
          </w:p>
        </w:tc>
        <w:tc>
          <w:tcPr>
            <w:tcW w:w="461"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174.8</w:t>
            </w:r>
            <w:r w:rsidRPr="004E355C">
              <w:rPr>
                <w:rFonts w:cstheme="minorHAnsi"/>
                <w:kern w:val="24"/>
                <w:sz w:val="18"/>
                <w:szCs w:val="18"/>
              </w:rPr>
              <w:t>%</w:t>
            </w:r>
          </w:p>
        </w:tc>
        <w:tc>
          <w:tcPr>
            <w:tcW w:w="529" w:type="pct"/>
            <w:gridSpan w:val="2"/>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-19,379</w:t>
            </w:r>
          </w:p>
        </w:tc>
        <w:tc>
          <w:tcPr>
            <w:tcW w:w="271"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365</w:t>
            </w:r>
          </w:p>
        </w:tc>
        <w:tc>
          <w:tcPr>
            <w:tcW w:w="46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sz w:val="18"/>
                <w:szCs w:val="18"/>
              </w:rPr>
            </w:pPr>
            <w:r>
              <w:rPr>
                <w:rFonts w:cstheme="minorHAnsi"/>
                <w:kern w:val="24"/>
                <w:sz w:val="18"/>
                <w:szCs w:val="18"/>
              </w:rPr>
              <w:t>346</w:t>
            </w:r>
          </w:p>
        </w:tc>
      </w:tr>
      <w:tr w:rsidR="00E14853" w:rsidRPr="004E355C" w:rsidTr="00FA2630">
        <w:trPr>
          <w:trHeight w:val="252"/>
          <w:jc w:val="center"/>
        </w:trPr>
        <w:tc>
          <w:tcPr>
            <w:tcW w:w="872" w:type="pct"/>
            <w:vAlign w:val="center"/>
            <w:hideMark/>
          </w:tcPr>
          <w:p w:rsidR="00E14853" w:rsidRPr="004E355C" w:rsidRDefault="00E14853" w:rsidP="00E14853">
            <w:pPr>
              <w:tabs>
                <w:tab w:val="left" w:pos="2511"/>
                <w:tab w:val="center" w:pos="4680"/>
              </w:tabs>
              <w:jc w:val="center"/>
              <w:rPr>
                <w:rFonts w:cstheme="minorHAnsi"/>
                <w:b/>
                <w:sz w:val="18"/>
                <w:szCs w:val="18"/>
              </w:rPr>
            </w:pPr>
            <w:r w:rsidRPr="004E355C">
              <w:rPr>
                <w:rFonts w:cstheme="minorHAnsi"/>
                <w:b/>
                <w:iCs/>
                <w:sz w:val="18"/>
                <w:szCs w:val="18"/>
              </w:rPr>
              <w:t>Totali</w:t>
            </w:r>
          </w:p>
        </w:tc>
        <w:tc>
          <w:tcPr>
            <w:tcW w:w="33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1,102</w:t>
            </w:r>
          </w:p>
        </w:tc>
        <w:tc>
          <w:tcPr>
            <w:tcW w:w="333"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996</w:t>
            </w:r>
          </w:p>
        </w:tc>
        <w:tc>
          <w:tcPr>
            <w:tcW w:w="333"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-107</w:t>
            </w:r>
          </w:p>
        </w:tc>
        <w:tc>
          <w:tcPr>
            <w:tcW w:w="398"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19.3</w:t>
            </w:r>
            <w:r w:rsidRPr="004E355C">
              <w:rPr>
                <w:rFonts w:cstheme="minorHAnsi"/>
                <w:b/>
                <w:kern w:val="24"/>
                <w:sz w:val="18"/>
                <w:szCs w:val="18"/>
              </w:rPr>
              <w:t>%</w:t>
            </w:r>
          </w:p>
        </w:tc>
        <w:tc>
          <w:tcPr>
            <w:tcW w:w="33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1,072</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1,887</w:t>
            </w:r>
          </w:p>
        </w:tc>
        <w:tc>
          <w:tcPr>
            <w:tcW w:w="335"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815</w:t>
            </w:r>
          </w:p>
        </w:tc>
        <w:tc>
          <w:tcPr>
            <w:tcW w:w="461" w:type="pct"/>
            <w:vAlign w:val="center"/>
            <w:hideMark/>
          </w:tcPr>
          <w:p w:rsidR="00E14853" w:rsidRPr="005D32C9" w:rsidRDefault="00E14853" w:rsidP="00E14853">
            <w:pPr>
              <w:pStyle w:val="NormalWeb"/>
              <w:spacing w:before="0" w:beforeAutospacing="0" w:after="0" w:afterAutospacing="0"/>
              <w:jc w:val="center"/>
              <w:textAlignment w:val="bottom"/>
              <w:rPr>
                <w:rFonts w:cstheme="minorHAnsi"/>
                <w:b/>
                <w:kern w:val="24"/>
                <w:sz w:val="18"/>
                <w:szCs w:val="18"/>
              </w:rPr>
            </w:pPr>
            <w:r>
              <w:rPr>
                <w:rFonts w:cstheme="minorHAnsi"/>
                <w:b/>
                <w:kern w:val="24"/>
                <w:sz w:val="18"/>
                <w:szCs w:val="18"/>
              </w:rPr>
              <w:t>229</w:t>
            </w:r>
            <w:r w:rsidRPr="004E355C">
              <w:rPr>
                <w:rFonts w:cstheme="minorHAnsi"/>
                <w:b/>
                <w:kern w:val="24"/>
                <w:sz w:val="18"/>
                <w:szCs w:val="18"/>
              </w:rPr>
              <w:t>%</w:t>
            </w:r>
          </w:p>
        </w:tc>
        <w:tc>
          <w:tcPr>
            <w:tcW w:w="529" w:type="pct"/>
            <w:gridSpan w:val="2"/>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-102,716</w:t>
            </w:r>
          </w:p>
        </w:tc>
        <w:tc>
          <w:tcPr>
            <w:tcW w:w="271"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917</w:t>
            </w:r>
          </w:p>
        </w:tc>
        <w:tc>
          <w:tcPr>
            <w:tcW w:w="464" w:type="pct"/>
            <w:vAlign w:val="center"/>
            <w:hideMark/>
          </w:tcPr>
          <w:p w:rsidR="00E14853" w:rsidRPr="004E355C" w:rsidRDefault="00E14853" w:rsidP="00E14853">
            <w:pPr>
              <w:pStyle w:val="NormalWeb"/>
              <w:spacing w:before="0" w:beforeAutospacing="0" w:after="0" w:afterAutospacing="0"/>
              <w:jc w:val="center"/>
              <w:textAlignment w:val="bottom"/>
              <w:rPr>
                <w:rFonts w:cstheme="minorHAnsi"/>
                <w:b/>
                <w:sz w:val="18"/>
                <w:szCs w:val="18"/>
              </w:rPr>
            </w:pPr>
            <w:r>
              <w:rPr>
                <w:rFonts w:cstheme="minorHAnsi"/>
                <w:b/>
                <w:kern w:val="24"/>
                <w:sz w:val="18"/>
                <w:szCs w:val="18"/>
              </w:rPr>
              <w:t>815</w:t>
            </w:r>
          </w:p>
        </w:tc>
      </w:tr>
    </w:tbl>
    <w:p w:rsidR="0034657E" w:rsidRPr="004E355C" w:rsidRDefault="00FD3343" w:rsidP="0034657E">
      <w:pPr>
        <w:tabs>
          <w:tab w:val="left" w:pos="2511"/>
          <w:tab w:val="center" w:pos="4680"/>
          <w:tab w:val="left" w:pos="9360"/>
        </w:tabs>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34657E" w:rsidRPr="004E355C" w:rsidRDefault="0034657E" w:rsidP="0034657E">
      <w:pPr>
        <w:spacing w:before="240" w:line="276" w:lineRule="auto"/>
        <w:jc w:val="both"/>
        <w:rPr>
          <w:rFonts w:asciiTheme="minorHAnsi" w:hAnsiTheme="minorHAnsi"/>
          <w:lang w:val="sq-AL"/>
        </w:rPr>
      </w:pPr>
      <w:r w:rsidRPr="004E355C">
        <w:rPr>
          <w:rFonts w:asciiTheme="minorHAnsi" w:hAnsiTheme="minorHAnsi"/>
          <w:b/>
          <w:bCs/>
          <w:lang w:val="sq-AL"/>
        </w:rPr>
        <w:t xml:space="preserve">Të Ardhurat nga Drejtoria e Përgjithshme e Tatimeve </w:t>
      </w:r>
      <w:r w:rsidRPr="004E355C">
        <w:rPr>
          <w:rFonts w:asciiTheme="minorHAnsi" w:hAnsiTheme="minorHAnsi"/>
          <w:bCs/>
          <w:lang w:val="sq-AL"/>
        </w:rPr>
        <w:t>–</w:t>
      </w:r>
      <w:r w:rsidRPr="004E355C">
        <w:rPr>
          <w:rFonts w:asciiTheme="minorHAnsi" w:hAnsiTheme="minorHAnsi"/>
          <w:lang w:val="sq-AL"/>
        </w:rPr>
        <w:t xml:space="preserve"> </w:t>
      </w:r>
      <w:r w:rsidR="00E14853" w:rsidRPr="004E355C">
        <w:rPr>
          <w:rFonts w:asciiTheme="minorHAnsi" w:hAnsiTheme="minorHAnsi" w:cstheme="minorHAnsi"/>
        </w:rPr>
        <w:t>Të ardhurat e mbledhura nga administrata tatimore (përfshirë kontributet) për 5 mujorin e vitit 20</w:t>
      </w:r>
      <w:r w:rsidR="00E14853">
        <w:rPr>
          <w:rFonts w:asciiTheme="minorHAnsi" w:hAnsiTheme="minorHAnsi" w:cstheme="minorHAnsi"/>
        </w:rPr>
        <w:t>22</w:t>
      </w:r>
      <w:r w:rsidR="00E14853" w:rsidRPr="004E355C">
        <w:rPr>
          <w:rFonts w:asciiTheme="minorHAnsi" w:hAnsiTheme="minorHAnsi" w:cstheme="minorHAnsi"/>
        </w:rPr>
        <w:t xml:space="preserve"> janë realizuar në vlerën </w:t>
      </w:r>
      <w:r w:rsidR="00E14853">
        <w:rPr>
          <w:rFonts w:asciiTheme="minorHAnsi" w:hAnsiTheme="minorHAnsi" w:cstheme="minorHAnsi"/>
        </w:rPr>
        <w:t>120.9</w:t>
      </w:r>
      <w:r w:rsidR="00E14853" w:rsidRPr="004E355C">
        <w:rPr>
          <w:rFonts w:asciiTheme="minorHAnsi" w:hAnsiTheme="minorHAnsi" w:cstheme="minorHAnsi"/>
        </w:rPr>
        <w:t xml:space="preserve"> miliardë lekë, </w:t>
      </w:r>
      <w:r w:rsidR="00E14853">
        <w:rPr>
          <w:rFonts w:asciiTheme="minorHAnsi" w:hAnsiTheme="minorHAnsi" w:cstheme="minorHAnsi"/>
        </w:rPr>
        <w:t>22.4</w:t>
      </w:r>
      <w:r w:rsidR="00E14853" w:rsidRPr="004E355C">
        <w:rPr>
          <w:rFonts w:asciiTheme="minorHAnsi" w:hAnsiTheme="minorHAnsi" w:cstheme="minorHAnsi"/>
        </w:rPr>
        <w:t xml:space="preserve">% ose </w:t>
      </w:r>
      <w:r w:rsidR="00E14853">
        <w:rPr>
          <w:rFonts w:asciiTheme="minorHAnsi" w:hAnsiTheme="minorHAnsi" w:cstheme="minorHAnsi"/>
        </w:rPr>
        <w:t>22.1</w:t>
      </w:r>
      <w:r w:rsidR="00E14853" w:rsidRPr="004E355C">
        <w:rPr>
          <w:rFonts w:asciiTheme="minorHAnsi" w:hAnsiTheme="minorHAnsi" w:cstheme="minorHAnsi"/>
        </w:rPr>
        <w:t xml:space="preserve"> miliardë lekë më </w:t>
      </w:r>
      <w:r w:rsidR="00E14853">
        <w:rPr>
          <w:rFonts w:asciiTheme="minorHAnsi" w:hAnsiTheme="minorHAnsi" w:cstheme="minorHAnsi"/>
        </w:rPr>
        <w:t>shumë</w:t>
      </w:r>
      <w:r w:rsidR="00E14853" w:rsidRPr="004E355C">
        <w:rPr>
          <w:rFonts w:asciiTheme="minorHAnsi" w:hAnsiTheme="minorHAnsi" w:cstheme="minorHAnsi"/>
        </w:rPr>
        <w:t xml:space="preserve"> se e njëjta periudhë e një viti më parë dhe </w:t>
      </w:r>
      <w:r w:rsidR="00E14853">
        <w:rPr>
          <w:rFonts w:asciiTheme="minorHAnsi" w:hAnsiTheme="minorHAnsi" w:cstheme="minorHAnsi"/>
        </w:rPr>
        <w:t>7.9</w:t>
      </w:r>
      <w:r w:rsidR="00E14853" w:rsidRPr="004E355C">
        <w:rPr>
          <w:rFonts w:asciiTheme="minorHAnsi" w:hAnsiTheme="minorHAnsi" w:cstheme="minorHAnsi"/>
        </w:rPr>
        <w:t xml:space="preserve">% ose </w:t>
      </w:r>
      <w:r w:rsidR="00E14853">
        <w:rPr>
          <w:rFonts w:asciiTheme="minorHAnsi" w:hAnsiTheme="minorHAnsi" w:cstheme="minorHAnsi"/>
        </w:rPr>
        <w:t>8.9</w:t>
      </w:r>
      <w:r w:rsidR="00E14853" w:rsidRPr="004E355C">
        <w:rPr>
          <w:rFonts w:asciiTheme="minorHAnsi" w:hAnsiTheme="minorHAnsi" w:cstheme="minorHAnsi"/>
        </w:rPr>
        <w:t xml:space="preserve"> </w:t>
      </w:r>
      <w:r w:rsidR="00E14853">
        <w:rPr>
          <w:rFonts w:asciiTheme="minorHAnsi" w:hAnsiTheme="minorHAnsi" w:cstheme="minorHAnsi"/>
        </w:rPr>
        <w:t>miliardë lekë më shumë</w:t>
      </w:r>
      <w:r w:rsidR="00E14853" w:rsidRPr="004E355C">
        <w:rPr>
          <w:rFonts w:asciiTheme="minorHAnsi" w:hAnsiTheme="minorHAnsi" w:cstheme="minorHAnsi"/>
        </w:rPr>
        <w:t xml:space="preserve"> se plani i vitit 20</w:t>
      </w:r>
      <w:r w:rsidR="00E14853">
        <w:rPr>
          <w:rFonts w:asciiTheme="minorHAnsi" w:hAnsiTheme="minorHAnsi" w:cstheme="minorHAnsi"/>
        </w:rPr>
        <w:t>22</w:t>
      </w:r>
      <w:r w:rsidRPr="004E355C">
        <w:rPr>
          <w:rFonts w:asciiTheme="minorHAnsi" w:hAnsiTheme="minorHAnsi"/>
          <w:lang w:val="sq-AL"/>
        </w:rPr>
        <w:t>.</w:t>
      </w:r>
    </w:p>
    <w:p w:rsidR="0034657E" w:rsidRDefault="0034657E" w:rsidP="00E14853">
      <w:pPr>
        <w:pStyle w:val="Caption"/>
        <w:keepNext/>
        <w:spacing w:after="0"/>
        <w:jc w:val="both"/>
        <w:rPr>
          <w:rFonts w:asciiTheme="minorHAnsi" w:hAnsiTheme="minorHAnsi"/>
          <w:b w:val="0"/>
          <w:bCs w:val="0"/>
          <w:i/>
          <w:color w:val="auto"/>
          <w:sz w:val="24"/>
          <w:szCs w:val="24"/>
          <w:lang w:val="sq-AL"/>
        </w:rPr>
      </w:pPr>
      <w:bookmarkStart w:id="27" w:name="_Toc12448431"/>
      <w:bookmarkStart w:id="28" w:name="_Toc107498096"/>
      <w:r w:rsidRPr="00A17731">
        <w:rPr>
          <w:rFonts w:asciiTheme="minorHAnsi" w:hAnsiTheme="minorHAnsi"/>
          <w:b w:val="0"/>
          <w:bCs w:val="0"/>
          <w:i/>
          <w:color w:val="auto"/>
          <w:sz w:val="22"/>
          <w:szCs w:val="24"/>
          <w:lang w:val="sq-AL"/>
        </w:rPr>
        <w:t xml:space="preserve">Grafiku </w:t>
      </w:r>
      <w:r w:rsidRPr="00A17731">
        <w:rPr>
          <w:rFonts w:asciiTheme="minorHAnsi" w:hAnsiTheme="minorHAnsi"/>
          <w:b w:val="0"/>
          <w:bCs w:val="0"/>
          <w:i/>
          <w:color w:val="auto"/>
          <w:sz w:val="22"/>
          <w:szCs w:val="24"/>
          <w:lang w:val="sq-AL"/>
        </w:rPr>
        <w:fldChar w:fldCharType="begin"/>
      </w:r>
      <w:r w:rsidRPr="00A17731">
        <w:rPr>
          <w:rFonts w:asciiTheme="minorHAnsi" w:hAnsiTheme="minorHAnsi"/>
          <w:b w:val="0"/>
          <w:bCs w:val="0"/>
          <w:i/>
          <w:color w:val="auto"/>
          <w:sz w:val="22"/>
          <w:szCs w:val="24"/>
          <w:lang w:val="sq-AL"/>
        </w:rPr>
        <w:instrText xml:space="preserve"> SEQ Grafiku \* ARABIC </w:instrText>
      </w:r>
      <w:r w:rsidRPr="00A17731">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5</w:t>
      </w:r>
      <w:r w:rsidRPr="00A17731">
        <w:rPr>
          <w:rFonts w:asciiTheme="minorHAnsi" w:hAnsiTheme="minorHAnsi"/>
          <w:b w:val="0"/>
          <w:bCs w:val="0"/>
          <w:i/>
          <w:color w:val="auto"/>
          <w:sz w:val="22"/>
          <w:szCs w:val="24"/>
          <w:lang w:val="sq-AL"/>
        </w:rPr>
        <w:fldChar w:fldCharType="end"/>
      </w:r>
      <w:r w:rsidRPr="00A17731">
        <w:rPr>
          <w:rFonts w:asciiTheme="minorHAnsi" w:hAnsiTheme="minorHAnsi"/>
          <w:b w:val="0"/>
          <w:bCs w:val="0"/>
          <w:i/>
          <w:color w:val="auto"/>
          <w:sz w:val="22"/>
          <w:szCs w:val="24"/>
          <w:lang w:val="sq-AL"/>
        </w:rPr>
        <w:t>: Të ardhurat nga Tatimet Janar- Maj 202</w:t>
      </w:r>
      <w:r w:rsidR="00E14853">
        <w:rPr>
          <w:rFonts w:asciiTheme="minorHAnsi" w:hAnsiTheme="minorHAnsi"/>
          <w:b w:val="0"/>
          <w:bCs w:val="0"/>
          <w:i/>
          <w:color w:val="auto"/>
          <w:sz w:val="22"/>
          <w:szCs w:val="24"/>
          <w:lang w:val="sq-AL"/>
        </w:rPr>
        <w:t>2</w:t>
      </w:r>
      <w:r w:rsidRPr="00A17731">
        <w:rPr>
          <w:rFonts w:asciiTheme="minorHAnsi" w:hAnsiTheme="minorHAnsi"/>
          <w:b w:val="0"/>
          <w:bCs w:val="0"/>
          <w:i/>
          <w:color w:val="auto"/>
          <w:sz w:val="22"/>
          <w:szCs w:val="24"/>
          <w:lang w:val="sq-AL"/>
        </w:rPr>
        <w:t>, Mujore dhe Progresive (në milionë lekë</w:t>
      </w:r>
      <w:r w:rsidRPr="004E355C">
        <w:rPr>
          <w:rFonts w:asciiTheme="minorHAnsi" w:hAnsiTheme="minorHAnsi"/>
          <w:b w:val="0"/>
          <w:bCs w:val="0"/>
          <w:i/>
          <w:color w:val="auto"/>
          <w:sz w:val="24"/>
          <w:szCs w:val="24"/>
          <w:lang w:val="sq-AL"/>
        </w:rPr>
        <w:t>)</w:t>
      </w:r>
      <w:bookmarkEnd w:id="27"/>
      <w:bookmarkEnd w:id="28"/>
    </w:p>
    <w:p w:rsidR="0034657E" w:rsidRPr="000C2A10" w:rsidRDefault="00762C72" w:rsidP="0034657E">
      <w:pPr>
        <w:rPr>
          <w:lang w:val="sq-AL"/>
        </w:rPr>
      </w:pPr>
      <w:r>
        <w:rPr>
          <w:noProof/>
        </w:rPr>
        <w:drawing>
          <wp:anchor distT="0" distB="0" distL="114300" distR="114300" simplePos="0" relativeHeight="251667968" behindDoc="0" locked="0" layoutInCell="1" allowOverlap="1" wp14:anchorId="37BC69FA" wp14:editId="523A5EE1">
            <wp:simplePos x="0" y="0"/>
            <wp:positionH relativeFrom="column">
              <wp:posOffset>3810</wp:posOffset>
            </wp:positionH>
            <wp:positionV relativeFrom="paragraph">
              <wp:posOffset>50165</wp:posOffset>
            </wp:positionV>
            <wp:extent cx="2990850" cy="1539240"/>
            <wp:effectExtent l="0" t="0" r="0" b="3810"/>
            <wp:wrapSquare wrapText="bothSides"/>
            <wp:docPr id="7" name="Chart 7">
              <a:extLst xmlns:a="http://schemas.openxmlformats.org/drawingml/2006/main">
                <a:ext uri="{FF2B5EF4-FFF2-40B4-BE49-F238E27FC236}">
                  <a16:creationId xmlns:a16="http://schemas.microsoft.com/office/drawing/2014/main" id="{CB3E3C4D-B430-463C-8936-18B7F94B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r w:rsidR="00E14853">
        <w:rPr>
          <w:noProof/>
        </w:rPr>
        <w:drawing>
          <wp:inline distT="0" distB="0" distL="0" distR="0" wp14:anchorId="2456CD62" wp14:editId="3111F4CE">
            <wp:extent cx="2943225" cy="1546860"/>
            <wp:effectExtent l="0" t="0" r="9525" b="15240"/>
            <wp:docPr id="16" name="Chart 16">
              <a:extLst xmlns:a="http://schemas.openxmlformats.org/drawingml/2006/main">
                <a:ext uri="{FF2B5EF4-FFF2-40B4-BE49-F238E27FC236}">
                  <a16:creationId xmlns:a16="http://schemas.microsoft.com/office/drawing/2014/main" id="{3D1D79C6-A7B2-4A0A-B786-BE39F3B7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34657E">
        <w:rPr>
          <w:noProof/>
        </w:rPr>
        <w:t xml:space="preserve"> </w:t>
      </w:r>
      <w:r w:rsidR="0034657E">
        <w:rPr>
          <w:lang w:val="sq-AL"/>
        </w:rPr>
        <w:br w:type="textWrapping" w:clear="all"/>
      </w:r>
      <w:r w:rsidR="00FD3343">
        <w:rPr>
          <w:rFonts w:asciiTheme="minorHAnsi" w:hAnsiTheme="minorHAnsi"/>
          <w:sz w:val="20"/>
          <w:szCs w:val="20"/>
          <w:lang w:val="sq-AL"/>
        </w:rPr>
        <w:t>Burimi: Ministria e Financave dhe Ekonomisë (2022)</w:t>
      </w:r>
    </w:p>
    <w:p w:rsidR="0034657E" w:rsidRDefault="0034657E" w:rsidP="0034657E">
      <w:pPr>
        <w:spacing w:before="240" w:line="276" w:lineRule="auto"/>
        <w:jc w:val="both"/>
        <w:rPr>
          <w:rFonts w:asciiTheme="minorHAnsi" w:hAnsiTheme="minorHAnsi" w:cstheme="minorHAnsi"/>
        </w:rPr>
      </w:pPr>
      <w:r w:rsidRPr="004E355C">
        <w:rPr>
          <w:rFonts w:asciiTheme="minorHAnsi" w:hAnsiTheme="minorHAnsi" w:cstheme="minorHAnsi"/>
          <w:i/>
        </w:rPr>
        <w:t>Të ardhurat nga TVSH-ja neto brenda vendit</w:t>
      </w:r>
      <w:r w:rsidRPr="004E355C">
        <w:rPr>
          <w:rFonts w:asciiTheme="minorHAnsi" w:hAnsiTheme="minorHAnsi" w:cstheme="minorHAnsi"/>
        </w:rPr>
        <w:t xml:space="preserve"> </w:t>
      </w:r>
      <w:r w:rsidR="006A5571" w:rsidRPr="004E355C">
        <w:rPr>
          <w:rFonts w:asciiTheme="minorHAnsi" w:hAnsiTheme="minorHAnsi" w:cstheme="minorHAnsi"/>
        </w:rPr>
        <w:t xml:space="preserve">janë realizuar në vlerën </w:t>
      </w:r>
      <w:r w:rsidR="006A5571">
        <w:rPr>
          <w:rFonts w:asciiTheme="minorHAnsi" w:hAnsiTheme="minorHAnsi" w:cstheme="minorHAnsi"/>
        </w:rPr>
        <w:t>16.6</w:t>
      </w:r>
      <w:r w:rsidR="006A5571" w:rsidRPr="004E355C">
        <w:rPr>
          <w:rFonts w:asciiTheme="minorHAnsi" w:hAnsiTheme="minorHAnsi" w:cstheme="minorHAnsi"/>
        </w:rPr>
        <w:t xml:space="preserve"> miliardë lekë, </w:t>
      </w:r>
      <w:r w:rsidR="006A5571">
        <w:rPr>
          <w:rFonts w:asciiTheme="minorHAnsi" w:hAnsiTheme="minorHAnsi" w:cstheme="minorHAnsi"/>
        </w:rPr>
        <w:t>76.1</w:t>
      </w:r>
      <w:r w:rsidR="006A5571" w:rsidRPr="004E355C">
        <w:rPr>
          <w:rFonts w:asciiTheme="minorHAnsi" w:hAnsiTheme="minorHAnsi" w:cstheme="minorHAnsi"/>
        </w:rPr>
        <w:t xml:space="preserve">% ose </w:t>
      </w:r>
      <w:r w:rsidR="006A5571">
        <w:rPr>
          <w:rFonts w:asciiTheme="minorHAnsi" w:hAnsiTheme="minorHAnsi" w:cstheme="minorHAnsi"/>
        </w:rPr>
        <w:t>7.2</w:t>
      </w:r>
      <w:r w:rsidR="006A5571" w:rsidRPr="004E355C">
        <w:rPr>
          <w:rFonts w:asciiTheme="minorHAnsi" w:hAnsiTheme="minorHAnsi" w:cstheme="minorHAnsi"/>
        </w:rPr>
        <w:t xml:space="preserve"> mili</w:t>
      </w:r>
      <w:r w:rsidR="006A5571">
        <w:rPr>
          <w:rFonts w:asciiTheme="minorHAnsi" w:hAnsiTheme="minorHAnsi" w:cstheme="minorHAnsi"/>
        </w:rPr>
        <w:t>ard</w:t>
      </w:r>
      <w:r w:rsidR="006A5571" w:rsidRPr="004E355C">
        <w:rPr>
          <w:rFonts w:asciiTheme="minorHAnsi" w:hAnsiTheme="minorHAnsi" w:cstheme="minorHAnsi"/>
        </w:rPr>
        <w:t xml:space="preserve">ë lekë më </w:t>
      </w:r>
      <w:r w:rsidR="006A5571">
        <w:rPr>
          <w:rFonts w:asciiTheme="minorHAnsi" w:hAnsiTheme="minorHAnsi" w:cstheme="minorHAnsi"/>
        </w:rPr>
        <w:t>shumë</w:t>
      </w:r>
      <w:r w:rsidR="006A5571" w:rsidRPr="004E355C">
        <w:rPr>
          <w:rFonts w:asciiTheme="minorHAnsi" w:hAnsiTheme="minorHAnsi" w:cstheme="minorHAnsi"/>
        </w:rPr>
        <w:t xml:space="preserve"> se 5 mujori i vitit 20</w:t>
      </w:r>
      <w:r w:rsidR="006A5571">
        <w:rPr>
          <w:rFonts w:asciiTheme="minorHAnsi" w:hAnsiTheme="minorHAnsi" w:cstheme="minorHAnsi"/>
        </w:rPr>
        <w:t>21</w:t>
      </w:r>
      <w:r w:rsidR="006A5571" w:rsidRPr="004E355C">
        <w:rPr>
          <w:rFonts w:asciiTheme="minorHAnsi" w:hAnsiTheme="minorHAnsi" w:cstheme="minorHAnsi"/>
        </w:rPr>
        <w:t xml:space="preserve"> dhe me një realizim të planit të periudhës në masën </w:t>
      </w:r>
      <w:r w:rsidR="006A5571">
        <w:rPr>
          <w:rFonts w:asciiTheme="minorHAnsi" w:hAnsiTheme="minorHAnsi" w:cstheme="minorHAnsi"/>
        </w:rPr>
        <w:t>102</w:t>
      </w:r>
      <w:r w:rsidR="006A5571" w:rsidRPr="004E355C">
        <w:rPr>
          <w:rFonts w:asciiTheme="minorHAnsi" w:hAnsiTheme="minorHAnsi" w:cstheme="minorHAnsi"/>
        </w:rPr>
        <w:t xml:space="preserve">% ose </w:t>
      </w:r>
      <w:r w:rsidR="006A5571">
        <w:rPr>
          <w:rFonts w:asciiTheme="minorHAnsi" w:hAnsiTheme="minorHAnsi" w:cstheme="minorHAnsi"/>
        </w:rPr>
        <w:t>320</w:t>
      </w:r>
      <w:r w:rsidR="006A5571" w:rsidRPr="004E355C">
        <w:rPr>
          <w:rFonts w:asciiTheme="minorHAnsi" w:hAnsiTheme="minorHAnsi" w:cstheme="minorHAnsi"/>
        </w:rPr>
        <w:t xml:space="preserve"> mili</w:t>
      </w:r>
      <w:r w:rsidR="006A5571">
        <w:rPr>
          <w:rFonts w:asciiTheme="minorHAnsi" w:hAnsiTheme="minorHAnsi" w:cstheme="minorHAnsi"/>
        </w:rPr>
        <w:t>onë</w:t>
      </w:r>
      <w:r w:rsidR="006A5571" w:rsidRPr="004E355C">
        <w:rPr>
          <w:rFonts w:asciiTheme="minorHAnsi" w:hAnsiTheme="minorHAnsi" w:cstheme="minorHAnsi"/>
        </w:rPr>
        <w:t xml:space="preserve"> lekë më </w:t>
      </w:r>
      <w:r w:rsidR="006A5571">
        <w:rPr>
          <w:rFonts w:asciiTheme="minorHAnsi" w:hAnsiTheme="minorHAnsi" w:cstheme="minorHAnsi"/>
        </w:rPr>
        <w:t>shumë</w:t>
      </w:r>
      <w:r w:rsidR="006A5571" w:rsidRPr="004E355C">
        <w:rPr>
          <w:rFonts w:asciiTheme="minorHAnsi" w:hAnsiTheme="minorHAnsi" w:cstheme="minorHAnsi"/>
        </w:rPr>
        <w:t xml:space="preserve">. </w:t>
      </w:r>
      <w:r w:rsidR="006A5571" w:rsidRPr="00113514">
        <w:rPr>
          <w:rFonts w:asciiTheme="minorHAnsi" w:hAnsiTheme="minorHAnsi" w:cstheme="minorHAnsi"/>
        </w:rPr>
        <w:t xml:space="preserve">Rimbursimi i TVSH-së krahasuar me 5 mujorin e vitit të kaluar është </w:t>
      </w:r>
      <w:r w:rsidR="006A5571">
        <w:rPr>
          <w:rFonts w:asciiTheme="minorHAnsi" w:hAnsiTheme="minorHAnsi" w:cstheme="minorHAnsi"/>
        </w:rPr>
        <w:t>54</w:t>
      </w:r>
      <w:r w:rsidR="006A5571" w:rsidRPr="00113514">
        <w:rPr>
          <w:rFonts w:asciiTheme="minorHAnsi" w:hAnsiTheme="minorHAnsi" w:cstheme="minorHAnsi"/>
        </w:rPr>
        <w:t>.</w:t>
      </w:r>
      <w:r w:rsidR="006A5571">
        <w:rPr>
          <w:rFonts w:asciiTheme="minorHAnsi" w:hAnsiTheme="minorHAnsi" w:cstheme="minorHAnsi"/>
        </w:rPr>
        <w:t>8</w:t>
      </w:r>
      <w:r w:rsidR="006A5571" w:rsidRPr="00113514">
        <w:rPr>
          <w:rFonts w:asciiTheme="minorHAnsi" w:hAnsiTheme="minorHAnsi" w:cstheme="minorHAnsi"/>
        </w:rPr>
        <w:t>%, ose 6.</w:t>
      </w:r>
      <w:r w:rsidR="006A5571">
        <w:rPr>
          <w:rFonts w:asciiTheme="minorHAnsi" w:hAnsiTheme="minorHAnsi" w:cstheme="minorHAnsi"/>
        </w:rPr>
        <w:t>8</w:t>
      </w:r>
      <w:r w:rsidR="006A5571" w:rsidRPr="00113514">
        <w:rPr>
          <w:rFonts w:asciiTheme="minorHAnsi" w:hAnsiTheme="minorHAnsi" w:cstheme="minorHAnsi"/>
        </w:rPr>
        <w:t xml:space="preserve"> miliardë lekë më </w:t>
      </w:r>
      <w:r w:rsidR="006A5571">
        <w:rPr>
          <w:rFonts w:asciiTheme="minorHAnsi" w:hAnsiTheme="minorHAnsi" w:cstheme="minorHAnsi"/>
        </w:rPr>
        <w:t>pak</w:t>
      </w:r>
      <w:r w:rsidR="006A5571" w:rsidRPr="00113514">
        <w:rPr>
          <w:rFonts w:asciiTheme="minorHAnsi" w:hAnsiTheme="minorHAnsi" w:cstheme="minorHAnsi"/>
        </w:rPr>
        <w:t xml:space="preserve"> dhe </w:t>
      </w:r>
      <w:r w:rsidR="006A5571">
        <w:rPr>
          <w:rFonts w:asciiTheme="minorHAnsi" w:hAnsiTheme="minorHAnsi" w:cstheme="minorHAnsi"/>
        </w:rPr>
        <w:t>20</w:t>
      </w:r>
      <w:r w:rsidR="006A5571" w:rsidRPr="00113514">
        <w:rPr>
          <w:rFonts w:asciiTheme="minorHAnsi" w:hAnsiTheme="minorHAnsi" w:cstheme="minorHAnsi"/>
        </w:rPr>
        <w:t>.</w:t>
      </w:r>
      <w:r w:rsidR="006A5571">
        <w:rPr>
          <w:rFonts w:asciiTheme="minorHAnsi" w:hAnsiTheme="minorHAnsi" w:cstheme="minorHAnsi"/>
        </w:rPr>
        <w:t>8</w:t>
      </w:r>
      <w:r w:rsidR="006A5571" w:rsidRPr="00113514">
        <w:rPr>
          <w:rFonts w:asciiTheme="minorHAnsi" w:hAnsiTheme="minorHAnsi" w:cstheme="minorHAnsi"/>
        </w:rPr>
        <w:t xml:space="preserve">% ose </w:t>
      </w:r>
      <w:r w:rsidR="006A5571">
        <w:rPr>
          <w:rFonts w:asciiTheme="minorHAnsi" w:hAnsiTheme="minorHAnsi" w:cstheme="minorHAnsi"/>
        </w:rPr>
        <w:t>1</w:t>
      </w:r>
      <w:r w:rsidR="006A5571" w:rsidRPr="00113514">
        <w:rPr>
          <w:rFonts w:asciiTheme="minorHAnsi" w:hAnsiTheme="minorHAnsi" w:cstheme="minorHAnsi"/>
        </w:rPr>
        <w:t>.</w:t>
      </w:r>
      <w:r w:rsidR="006A5571">
        <w:rPr>
          <w:rFonts w:asciiTheme="minorHAnsi" w:hAnsiTheme="minorHAnsi" w:cstheme="minorHAnsi"/>
        </w:rPr>
        <w:t>5</w:t>
      </w:r>
      <w:r w:rsidR="006A5571" w:rsidRPr="00113514">
        <w:rPr>
          <w:rFonts w:asciiTheme="minorHAnsi" w:hAnsiTheme="minorHAnsi" w:cstheme="minorHAnsi"/>
        </w:rPr>
        <w:t xml:space="preserve"> miliardë lekë më </w:t>
      </w:r>
      <w:r w:rsidR="006A5571">
        <w:rPr>
          <w:rFonts w:asciiTheme="minorHAnsi" w:hAnsiTheme="minorHAnsi" w:cstheme="minorHAnsi"/>
        </w:rPr>
        <w:t>pak</w:t>
      </w:r>
      <w:r w:rsidR="006A5571" w:rsidRPr="00113514">
        <w:rPr>
          <w:rFonts w:asciiTheme="minorHAnsi" w:hAnsiTheme="minorHAnsi" w:cstheme="minorHAnsi"/>
        </w:rPr>
        <w:t xml:space="preserve"> krahasuar me planin e vitit 202</w:t>
      </w:r>
      <w:r w:rsidR="006A5571">
        <w:rPr>
          <w:rFonts w:asciiTheme="minorHAnsi" w:hAnsiTheme="minorHAnsi" w:cstheme="minorHAnsi"/>
        </w:rPr>
        <w:t>2</w:t>
      </w:r>
      <w:r w:rsidRPr="00113514">
        <w:rPr>
          <w:rFonts w:asciiTheme="minorHAnsi" w:hAnsiTheme="minorHAnsi" w:cstheme="minorHAnsi"/>
        </w:rPr>
        <w:t>.</w:t>
      </w:r>
    </w:p>
    <w:p w:rsidR="0034657E" w:rsidRPr="004E355C" w:rsidRDefault="0034657E" w:rsidP="006A5571">
      <w:pPr>
        <w:spacing w:line="276" w:lineRule="auto"/>
        <w:jc w:val="both"/>
        <w:rPr>
          <w:rFonts w:asciiTheme="minorHAnsi" w:eastAsia="SimSun" w:hAnsiTheme="minorHAnsi"/>
          <w:sz w:val="8"/>
          <w:szCs w:val="8"/>
          <w:lang w:val="sq-AL"/>
        </w:rPr>
      </w:pPr>
    </w:p>
    <w:p w:rsidR="0034657E" w:rsidRPr="00A17731" w:rsidRDefault="001D7392" w:rsidP="001D7392">
      <w:pPr>
        <w:pStyle w:val="Caption"/>
        <w:rPr>
          <w:rFonts w:asciiTheme="minorHAnsi" w:hAnsiTheme="minorHAnsi"/>
          <w:b w:val="0"/>
          <w:bCs w:val="0"/>
          <w:i/>
          <w:color w:val="auto"/>
          <w:sz w:val="22"/>
          <w:szCs w:val="24"/>
          <w:lang w:val="sq-AL"/>
        </w:rPr>
      </w:pPr>
      <w:bookmarkStart w:id="29" w:name="_Toc12448432"/>
      <w:bookmarkStart w:id="30" w:name="_Toc107498097"/>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 nga TVSH dhe rimbursimi i TVSH, 5 mujori në vite (në miliardë lekë)</w:t>
      </w:r>
      <w:bookmarkEnd w:id="29"/>
      <w:bookmarkEnd w:id="30"/>
    </w:p>
    <w:p w:rsidR="0034657E" w:rsidRPr="0053764B" w:rsidRDefault="006A5571" w:rsidP="00A17731">
      <w:pPr>
        <w:jc w:val="center"/>
        <w:rPr>
          <w:lang w:val="sq-AL"/>
        </w:rPr>
      </w:pPr>
      <w:r>
        <w:rPr>
          <w:noProof/>
        </w:rPr>
        <w:drawing>
          <wp:inline distT="0" distB="0" distL="0" distR="0" wp14:anchorId="18E95243" wp14:editId="4A059C7F">
            <wp:extent cx="6038850" cy="1600200"/>
            <wp:effectExtent l="0" t="0" r="0" b="0"/>
            <wp:docPr id="9" name="Chart 9">
              <a:extLst xmlns:a="http://schemas.openxmlformats.org/drawingml/2006/main">
                <a:ext uri="{FF2B5EF4-FFF2-40B4-BE49-F238E27FC236}">
                  <a16:creationId xmlns:a16="http://schemas.microsoft.com/office/drawing/2014/main" id="{FAC828DE-335E-47CB-9342-E404C94E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4657E" w:rsidRPr="0053764B" w:rsidRDefault="00FD3343" w:rsidP="0034657E">
      <w:pPr>
        <w:tabs>
          <w:tab w:val="left" w:pos="540"/>
          <w:tab w:val="center" w:pos="4680"/>
          <w:tab w:val="left" w:pos="936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34657E" w:rsidRPr="004E355C" w:rsidRDefault="0034657E" w:rsidP="0034657E">
      <w:pPr>
        <w:spacing w:line="276" w:lineRule="auto"/>
        <w:jc w:val="both"/>
        <w:rPr>
          <w:rFonts w:asciiTheme="minorHAnsi" w:hAnsiTheme="minorHAnsi"/>
          <w:b/>
          <w:i/>
          <w:sz w:val="16"/>
          <w:lang w:val="sq-AL"/>
        </w:rPr>
      </w:pPr>
    </w:p>
    <w:p w:rsidR="0034657E" w:rsidRPr="00DD6D17" w:rsidRDefault="0034657E" w:rsidP="0034657E">
      <w:pPr>
        <w:spacing w:before="80" w:line="276" w:lineRule="auto"/>
        <w:jc w:val="both"/>
        <w:rPr>
          <w:rFonts w:asciiTheme="minorHAnsi" w:hAnsiTheme="minorHAnsi"/>
          <w:lang w:val="sq-AL"/>
        </w:rPr>
      </w:pPr>
      <w:r w:rsidRPr="00C21C2C">
        <w:rPr>
          <w:rFonts w:asciiTheme="minorHAnsi" w:hAnsiTheme="minorHAnsi" w:cstheme="minorHAnsi"/>
          <w:b/>
          <w:bCs/>
          <w:i/>
        </w:rPr>
        <w:t>Të ardhurat nga tatimi mbi fitimin</w:t>
      </w:r>
      <w:r w:rsidRPr="004E355C">
        <w:rPr>
          <w:rFonts w:asciiTheme="minorHAnsi" w:hAnsiTheme="minorHAnsi" w:cstheme="minorHAnsi"/>
        </w:rPr>
        <w:t xml:space="preserve"> </w:t>
      </w:r>
      <w:r w:rsidR="00762C72" w:rsidRPr="004E355C">
        <w:rPr>
          <w:rFonts w:asciiTheme="minorHAnsi" w:hAnsiTheme="minorHAnsi" w:cstheme="minorHAnsi"/>
        </w:rPr>
        <w:t>janë realizuar në vler</w:t>
      </w:r>
      <w:bookmarkStart w:id="31" w:name="_Hlk43285693"/>
      <w:r w:rsidR="00762C72" w:rsidRPr="004E355C">
        <w:rPr>
          <w:rFonts w:asciiTheme="minorHAnsi" w:hAnsiTheme="minorHAnsi" w:cstheme="minorHAnsi"/>
        </w:rPr>
        <w:t>ë</w:t>
      </w:r>
      <w:bookmarkEnd w:id="31"/>
      <w:r w:rsidR="00762C72" w:rsidRPr="004E355C">
        <w:rPr>
          <w:rFonts w:asciiTheme="minorHAnsi" w:hAnsiTheme="minorHAnsi" w:cstheme="minorHAnsi"/>
        </w:rPr>
        <w:t xml:space="preserve">n </w:t>
      </w:r>
      <w:r w:rsidR="00762C72">
        <w:rPr>
          <w:rFonts w:asciiTheme="minorHAnsi" w:hAnsiTheme="minorHAnsi" w:cstheme="minorHAnsi"/>
        </w:rPr>
        <w:t>20.8</w:t>
      </w:r>
      <w:r w:rsidR="00762C72" w:rsidRPr="004E355C">
        <w:rPr>
          <w:rFonts w:asciiTheme="minorHAnsi" w:hAnsiTheme="minorHAnsi" w:cstheme="minorHAnsi"/>
        </w:rPr>
        <w:t xml:space="preserve"> miliardë lekë, </w:t>
      </w:r>
      <w:r w:rsidR="00762C72">
        <w:rPr>
          <w:rFonts w:asciiTheme="minorHAnsi" w:hAnsiTheme="minorHAnsi" w:cstheme="minorHAnsi"/>
        </w:rPr>
        <w:t>37.2%</w:t>
      </w:r>
      <w:r w:rsidR="00762C72" w:rsidRPr="004E355C">
        <w:rPr>
          <w:rFonts w:asciiTheme="minorHAnsi" w:hAnsiTheme="minorHAnsi" w:cstheme="minorHAnsi"/>
        </w:rPr>
        <w:t xml:space="preserve"> </w:t>
      </w:r>
      <w:r w:rsidR="00762C72">
        <w:rPr>
          <w:rFonts w:asciiTheme="minorHAnsi" w:hAnsiTheme="minorHAnsi" w:cstheme="minorHAnsi"/>
        </w:rPr>
        <w:t>ose 5.6 miliard</w:t>
      </w:r>
      <w:r w:rsidR="00762C72" w:rsidRPr="00113514">
        <w:t>ë</w:t>
      </w:r>
      <w:r w:rsidR="00762C72">
        <w:t xml:space="preserve"> </w:t>
      </w:r>
      <w:r w:rsidR="00762C72" w:rsidRPr="004E355C">
        <w:rPr>
          <w:rFonts w:asciiTheme="minorHAnsi" w:hAnsiTheme="minorHAnsi" w:cstheme="minorHAnsi"/>
        </w:rPr>
        <w:t xml:space="preserve">më </w:t>
      </w:r>
      <w:r w:rsidR="00762C72">
        <w:rPr>
          <w:rFonts w:asciiTheme="minorHAnsi" w:hAnsiTheme="minorHAnsi" w:cstheme="minorHAnsi"/>
        </w:rPr>
        <w:t>shumë se 5 mujori 2021 si dhe 5.8 miliard</w:t>
      </w:r>
      <w:r w:rsidR="00762C72" w:rsidRPr="00113514">
        <w:t>ë</w:t>
      </w:r>
      <w:r w:rsidR="00762C72">
        <w:rPr>
          <w:rFonts w:asciiTheme="minorHAnsi" w:hAnsiTheme="minorHAnsi" w:cstheme="minorHAnsi"/>
        </w:rPr>
        <w:t xml:space="preserve"> </w:t>
      </w:r>
      <w:r w:rsidR="00762C72" w:rsidRPr="004E355C">
        <w:rPr>
          <w:rFonts w:asciiTheme="minorHAnsi" w:hAnsiTheme="minorHAnsi" w:cstheme="minorHAnsi"/>
        </w:rPr>
        <w:t>lek</w:t>
      </w:r>
      <w:bookmarkStart w:id="32" w:name="_Hlk43285754"/>
      <w:r w:rsidR="00762C72" w:rsidRPr="004E355C">
        <w:rPr>
          <w:rFonts w:asciiTheme="minorHAnsi" w:hAnsiTheme="minorHAnsi" w:cstheme="minorHAnsi"/>
        </w:rPr>
        <w:t>ë</w:t>
      </w:r>
      <w:bookmarkEnd w:id="32"/>
      <w:r w:rsidR="00762C72" w:rsidRPr="004E355C">
        <w:rPr>
          <w:rFonts w:asciiTheme="minorHAnsi" w:hAnsiTheme="minorHAnsi" w:cstheme="minorHAnsi"/>
        </w:rPr>
        <w:t xml:space="preserve"> </w:t>
      </w:r>
      <w:r w:rsidR="00762C72">
        <w:rPr>
          <w:rFonts w:asciiTheme="minorHAnsi" w:hAnsiTheme="minorHAnsi" w:cstheme="minorHAnsi"/>
        </w:rPr>
        <w:t xml:space="preserve">ose 38.7% </w:t>
      </w:r>
      <w:r w:rsidR="00762C72" w:rsidRPr="004E355C">
        <w:rPr>
          <w:rFonts w:asciiTheme="minorHAnsi" w:hAnsiTheme="minorHAnsi" w:cstheme="minorHAnsi"/>
        </w:rPr>
        <w:t>më</w:t>
      </w:r>
      <w:r w:rsidR="00762C72">
        <w:rPr>
          <w:rFonts w:asciiTheme="minorHAnsi" w:hAnsiTheme="minorHAnsi" w:cstheme="minorHAnsi"/>
        </w:rPr>
        <w:t xml:space="preserve"> shumë</w:t>
      </w:r>
      <w:r w:rsidR="00762C72" w:rsidRPr="004E355C">
        <w:rPr>
          <w:rFonts w:asciiTheme="minorHAnsi" w:hAnsiTheme="minorHAnsi" w:cstheme="minorHAnsi"/>
        </w:rPr>
        <w:t xml:space="preserve"> </w:t>
      </w:r>
      <w:r w:rsidR="00762C72">
        <w:rPr>
          <w:rFonts w:asciiTheme="minorHAnsi" w:hAnsiTheme="minorHAnsi" w:cstheme="minorHAnsi"/>
        </w:rPr>
        <w:t>krahasuar me planin e vitit 2022 për Tatimin mbi Fitimin</w:t>
      </w:r>
      <w:r w:rsidRPr="004E355C">
        <w:rPr>
          <w:rFonts w:asciiTheme="minorHAnsi" w:hAnsiTheme="minorHAnsi" w:cstheme="minorHAnsi"/>
        </w:rPr>
        <w:t xml:space="preserve">. </w:t>
      </w:r>
    </w:p>
    <w:p w:rsidR="0034657E" w:rsidRPr="00762C72" w:rsidRDefault="0034657E" w:rsidP="00762C72">
      <w:pPr>
        <w:pStyle w:val="Caption"/>
        <w:keepNext/>
        <w:spacing w:after="0"/>
        <w:jc w:val="both"/>
        <w:rPr>
          <w:rFonts w:asciiTheme="minorHAnsi" w:hAnsiTheme="minorHAnsi"/>
          <w:b w:val="0"/>
          <w:bCs w:val="0"/>
          <w:i/>
          <w:color w:val="000000" w:themeColor="text1"/>
          <w:sz w:val="22"/>
          <w:szCs w:val="24"/>
          <w:lang w:val="sq-AL"/>
        </w:rPr>
      </w:pPr>
      <w:bookmarkStart w:id="33" w:name="_Toc12448433"/>
      <w:bookmarkStart w:id="34" w:name="_Toc107498098"/>
      <w:r w:rsidRPr="00762C72">
        <w:rPr>
          <w:rFonts w:asciiTheme="minorHAnsi" w:hAnsiTheme="minorHAnsi"/>
          <w:b w:val="0"/>
          <w:bCs w:val="0"/>
          <w:i/>
          <w:color w:val="000000" w:themeColor="text1"/>
          <w:sz w:val="22"/>
          <w:szCs w:val="24"/>
          <w:lang w:val="sq-AL"/>
        </w:rPr>
        <w:lastRenderedPageBreak/>
        <w:t xml:space="preserve">Grafiku </w:t>
      </w:r>
      <w:r w:rsidRPr="00762C72">
        <w:rPr>
          <w:rFonts w:asciiTheme="minorHAnsi" w:hAnsiTheme="minorHAnsi"/>
          <w:b w:val="0"/>
          <w:bCs w:val="0"/>
          <w:i/>
          <w:color w:val="000000" w:themeColor="text1"/>
          <w:sz w:val="22"/>
          <w:szCs w:val="24"/>
          <w:lang w:val="sq-AL"/>
        </w:rPr>
        <w:fldChar w:fldCharType="begin"/>
      </w:r>
      <w:r w:rsidRPr="00762C72">
        <w:rPr>
          <w:rFonts w:asciiTheme="minorHAnsi" w:hAnsiTheme="minorHAnsi"/>
          <w:b w:val="0"/>
          <w:bCs w:val="0"/>
          <w:i/>
          <w:color w:val="000000" w:themeColor="text1"/>
          <w:sz w:val="22"/>
          <w:szCs w:val="24"/>
          <w:lang w:val="sq-AL"/>
        </w:rPr>
        <w:instrText xml:space="preserve"> SEQ Grafiku \* ARABIC </w:instrText>
      </w:r>
      <w:r w:rsidRPr="00762C72">
        <w:rPr>
          <w:rFonts w:asciiTheme="minorHAnsi" w:hAnsiTheme="minorHAnsi"/>
          <w:b w:val="0"/>
          <w:bCs w:val="0"/>
          <w:i/>
          <w:color w:val="000000" w:themeColor="text1"/>
          <w:sz w:val="22"/>
          <w:szCs w:val="24"/>
          <w:lang w:val="sq-AL"/>
        </w:rPr>
        <w:fldChar w:fldCharType="separate"/>
      </w:r>
      <w:r w:rsidR="003B2B9B">
        <w:rPr>
          <w:rFonts w:asciiTheme="minorHAnsi" w:hAnsiTheme="minorHAnsi"/>
          <w:b w:val="0"/>
          <w:bCs w:val="0"/>
          <w:i/>
          <w:noProof/>
          <w:color w:val="000000" w:themeColor="text1"/>
          <w:sz w:val="22"/>
          <w:szCs w:val="24"/>
          <w:lang w:val="sq-AL"/>
        </w:rPr>
        <w:t>7</w:t>
      </w:r>
      <w:r w:rsidRPr="00762C72">
        <w:rPr>
          <w:rFonts w:asciiTheme="minorHAnsi" w:hAnsiTheme="minorHAnsi"/>
          <w:b w:val="0"/>
          <w:bCs w:val="0"/>
          <w:i/>
          <w:color w:val="000000" w:themeColor="text1"/>
          <w:sz w:val="22"/>
          <w:szCs w:val="24"/>
          <w:lang w:val="sq-AL"/>
        </w:rPr>
        <w:fldChar w:fldCharType="end"/>
      </w:r>
      <w:r w:rsidRPr="00762C72">
        <w:rPr>
          <w:rFonts w:asciiTheme="minorHAnsi" w:hAnsiTheme="minorHAnsi"/>
          <w:b w:val="0"/>
          <w:bCs w:val="0"/>
          <w:i/>
          <w:color w:val="000000" w:themeColor="text1"/>
          <w:sz w:val="22"/>
          <w:szCs w:val="24"/>
          <w:lang w:val="sq-AL"/>
        </w:rPr>
        <w:t>: Të ardhurat nga Tatim Fitimi, 5 mujori në vite (në miliardë lekë)</w:t>
      </w:r>
      <w:bookmarkEnd w:id="33"/>
      <w:bookmarkEnd w:id="34"/>
    </w:p>
    <w:p w:rsidR="0034657E" w:rsidRDefault="00762C72" w:rsidP="00A17731">
      <w:pPr>
        <w:jc w:val="center"/>
        <w:rPr>
          <w:lang w:val="sq-AL"/>
        </w:rPr>
      </w:pPr>
      <w:r>
        <w:rPr>
          <w:noProof/>
        </w:rPr>
        <w:drawing>
          <wp:inline distT="0" distB="0" distL="0" distR="0" wp14:anchorId="54518AE7" wp14:editId="574AA6CB">
            <wp:extent cx="6115050" cy="1828800"/>
            <wp:effectExtent l="0" t="0" r="0" b="0"/>
            <wp:docPr id="27" name="Chart 27">
              <a:extLst xmlns:a="http://schemas.openxmlformats.org/drawingml/2006/main">
                <a:ext uri="{FF2B5EF4-FFF2-40B4-BE49-F238E27FC236}">
                  <a16:creationId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657E" w:rsidRDefault="00FD3343" w:rsidP="0034657E">
      <w:pPr>
        <w:tabs>
          <w:tab w:val="left" w:pos="540"/>
          <w:tab w:val="center" w:pos="468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7120EB" w:rsidRPr="007120EB" w:rsidRDefault="007120EB" w:rsidP="0034657E">
      <w:pPr>
        <w:tabs>
          <w:tab w:val="left" w:pos="540"/>
          <w:tab w:val="center" w:pos="4680"/>
        </w:tabs>
        <w:spacing w:line="276" w:lineRule="auto"/>
        <w:rPr>
          <w:rFonts w:asciiTheme="minorHAnsi" w:hAnsiTheme="minorHAnsi"/>
          <w:sz w:val="12"/>
          <w:szCs w:val="20"/>
          <w:lang w:val="sq-AL"/>
        </w:rPr>
      </w:pPr>
    </w:p>
    <w:p w:rsidR="0034657E" w:rsidRDefault="0034657E" w:rsidP="0034657E">
      <w:pPr>
        <w:jc w:val="both"/>
        <w:rPr>
          <w:rFonts w:asciiTheme="minorHAnsi" w:hAnsiTheme="minorHAnsi" w:cstheme="minorHAnsi"/>
        </w:rPr>
      </w:pPr>
      <w:r w:rsidRPr="004E355C">
        <w:rPr>
          <w:rFonts w:asciiTheme="minorHAnsi" w:hAnsiTheme="minorHAnsi"/>
          <w:b/>
          <w:i/>
          <w:lang w:val="sq-AL"/>
        </w:rPr>
        <w:t>Nga tatimi mbi të ardhurat personale</w:t>
      </w:r>
      <w:r w:rsidRPr="004E355C">
        <w:rPr>
          <w:rFonts w:asciiTheme="minorHAnsi" w:hAnsiTheme="minorHAnsi"/>
          <w:lang w:val="sq-AL"/>
        </w:rPr>
        <w:t xml:space="preserve"> </w:t>
      </w:r>
      <w:r w:rsidR="00762C72" w:rsidRPr="004E355C">
        <w:rPr>
          <w:rFonts w:asciiTheme="minorHAnsi" w:hAnsiTheme="minorHAnsi" w:cstheme="minorHAnsi"/>
          <w:lang w:val="it-IT"/>
        </w:rPr>
        <w:t xml:space="preserve">janë realizuar </w:t>
      </w:r>
      <w:r w:rsidR="00762C72">
        <w:rPr>
          <w:rFonts w:asciiTheme="minorHAnsi" w:hAnsiTheme="minorHAnsi" w:cstheme="minorHAnsi"/>
          <w:lang w:val="it-IT"/>
        </w:rPr>
        <w:t>18.3</w:t>
      </w:r>
      <w:r w:rsidR="00762C72" w:rsidRPr="004E355C">
        <w:rPr>
          <w:rFonts w:asciiTheme="minorHAnsi" w:hAnsiTheme="minorHAnsi" w:cstheme="minorHAnsi"/>
          <w:lang w:val="it-IT"/>
        </w:rPr>
        <w:t xml:space="preserve"> miliardë lekë</w:t>
      </w:r>
      <w:r w:rsidR="00762C72">
        <w:rPr>
          <w:rFonts w:asciiTheme="minorHAnsi" w:hAnsiTheme="minorHAnsi" w:cstheme="minorHAnsi"/>
          <w:lang w:val="it-IT"/>
        </w:rPr>
        <w:t>,</w:t>
      </w:r>
      <w:r w:rsidR="00762C72" w:rsidRPr="004E355C">
        <w:rPr>
          <w:rFonts w:asciiTheme="minorHAnsi" w:hAnsiTheme="minorHAnsi" w:cstheme="minorHAnsi"/>
          <w:lang w:val="it-IT"/>
        </w:rPr>
        <w:t xml:space="preserve"> </w:t>
      </w:r>
      <w:r w:rsidR="00762C72">
        <w:rPr>
          <w:rFonts w:asciiTheme="minorHAnsi" w:hAnsiTheme="minorHAnsi" w:cstheme="minorHAnsi"/>
        </w:rPr>
        <w:t>14.1</w:t>
      </w:r>
      <w:r w:rsidR="00762C72" w:rsidRPr="004E355C">
        <w:rPr>
          <w:rFonts w:asciiTheme="minorHAnsi" w:hAnsiTheme="minorHAnsi" w:cstheme="minorHAnsi"/>
        </w:rPr>
        <w:t xml:space="preserve">% ose </w:t>
      </w:r>
      <w:r w:rsidR="00762C72">
        <w:rPr>
          <w:rFonts w:asciiTheme="minorHAnsi" w:hAnsiTheme="minorHAnsi" w:cstheme="minorHAnsi"/>
        </w:rPr>
        <w:t>2.3</w:t>
      </w:r>
      <w:r w:rsidR="00762C72" w:rsidRPr="004E355C">
        <w:rPr>
          <w:rFonts w:asciiTheme="minorHAnsi" w:hAnsiTheme="minorHAnsi" w:cstheme="minorHAnsi"/>
        </w:rPr>
        <w:t xml:space="preserve"> miliardë lekë më </w:t>
      </w:r>
      <w:r w:rsidR="00762C72">
        <w:rPr>
          <w:rFonts w:asciiTheme="minorHAnsi" w:hAnsiTheme="minorHAnsi" w:cstheme="minorHAnsi"/>
        </w:rPr>
        <w:t>shumë</w:t>
      </w:r>
      <w:r w:rsidR="00762C72" w:rsidRPr="004E355C">
        <w:rPr>
          <w:rFonts w:asciiTheme="minorHAnsi" w:hAnsiTheme="minorHAnsi" w:cstheme="minorHAnsi"/>
        </w:rPr>
        <w:t xml:space="preserve"> se e njëjta periudhë </w:t>
      </w:r>
      <w:r w:rsidR="00762C72">
        <w:rPr>
          <w:rFonts w:asciiTheme="minorHAnsi" w:hAnsiTheme="minorHAnsi" w:cstheme="minorHAnsi"/>
        </w:rPr>
        <w:t>2021</w:t>
      </w:r>
      <w:r w:rsidR="00762C72" w:rsidRPr="004E355C">
        <w:rPr>
          <w:rFonts w:asciiTheme="minorHAnsi" w:hAnsiTheme="minorHAnsi" w:cstheme="minorHAnsi"/>
        </w:rPr>
        <w:t xml:space="preserve"> dhe </w:t>
      </w:r>
      <w:r w:rsidR="00762C72">
        <w:rPr>
          <w:rFonts w:asciiTheme="minorHAnsi" w:hAnsiTheme="minorHAnsi" w:cstheme="minorHAnsi"/>
        </w:rPr>
        <w:t>0.8</w:t>
      </w:r>
      <w:r w:rsidR="00762C72" w:rsidRPr="004E355C">
        <w:rPr>
          <w:rFonts w:asciiTheme="minorHAnsi" w:hAnsiTheme="minorHAnsi" w:cstheme="minorHAnsi"/>
        </w:rPr>
        <w:t xml:space="preserve">% ose </w:t>
      </w:r>
      <w:r w:rsidR="00762C72">
        <w:rPr>
          <w:rFonts w:asciiTheme="minorHAnsi" w:hAnsiTheme="minorHAnsi" w:cstheme="minorHAnsi"/>
        </w:rPr>
        <w:t>137 milion</w:t>
      </w:r>
      <w:r w:rsidR="00762C72" w:rsidRPr="004E355C">
        <w:rPr>
          <w:rFonts w:asciiTheme="minorHAnsi" w:hAnsiTheme="minorHAnsi" w:cstheme="minorHAnsi"/>
        </w:rPr>
        <w:t xml:space="preserve"> lekë më </w:t>
      </w:r>
      <w:r w:rsidR="00762C72">
        <w:rPr>
          <w:rFonts w:asciiTheme="minorHAnsi" w:hAnsiTheme="minorHAnsi" w:cstheme="minorHAnsi"/>
        </w:rPr>
        <w:t>shumë</w:t>
      </w:r>
      <w:r w:rsidR="00762C72" w:rsidRPr="004E355C">
        <w:rPr>
          <w:rFonts w:asciiTheme="minorHAnsi" w:hAnsiTheme="minorHAnsi" w:cstheme="minorHAnsi"/>
        </w:rPr>
        <w:t xml:space="preserve"> se plani i periudhës</w:t>
      </w:r>
      <w:r w:rsidR="00762C72" w:rsidRPr="00F6395B">
        <w:rPr>
          <w:rFonts w:asciiTheme="minorHAnsi" w:hAnsiTheme="minorHAnsi" w:cstheme="minorHAnsi"/>
        </w:rPr>
        <w:t>.</w:t>
      </w:r>
      <w:r w:rsidR="00762C72" w:rsidRPr="00AB79FD">
        <w:rPr>
          <w:rFonts w:asciiTheme="minorHAnsi" w:hAnsiTheme="minorHAnsi" w:cstheme="minorHAnsi"/>
        </w:rPr>
        <w:t xml:space="preserve"> </w:t>
      </w:r>
      <w:r w:rsidR="00762C72" w:rsidRPr="002B18E1">
        <w:rPr>
          <w:rFonts w:asciiTheme="minorHAnsi" w:hAnsiTheme="minorHAnsi" w:cstheme="minorHAnsi"/>
        </w:rPr>
        <w:t xml:space="preserve">Rritja më e madhe ka ardhur për shkak të rritjes </w:t>
      </w:r>
      <w:r w:rsidR="00762C72">
        <w:rPr>
          <w:rFonts w:asciiTheme="minorHAnsi" w:hAnsiTheme="minorHAnsi" w:cstheme="minorHAnsi"/>
        </w:rPr>
        <w:t>nga</w:t>
      </w:r>
      <w:r w:rsidR="00762C72" w:rsidRPr="002B18E1">
        <w:rPr>
          <w:rFonts w:asciiTheme="minorHAnsi" w:hAnsiTheme="minorHAnsi" w:cstheme="minorHAnsi"/>
        </w:rPr>
        <w:t xml:space="preserve"> të </w:t>
      </w:r>
      <w:r w:rsidR="00762C72" w:rsidRPr="0007389B">
        <w:rPr>
          <w:rFonts w:asciiTheme="minorHAnsi" w:hAnsiTheme="minorHAnsi" w:cstheme="minorHAnsi"/>
        </w:rPr>
        <w:t xml:space="preserve">ardhurat nga tatimi mbi deklaratën individuale vjetore të të ardhurave me rritje 34% krahasuar me 5 mujorin 2021, tatimi nga shitja e pasurisë së paluajtshme me rritje 124.7% krahasuar me 5 mujorin 2021 </w:t>
      </w:r>
      <w:r w:rsidR="00762C72" w:rsidRPr="00CB0025">
        <w:rPr>
          <w:rFonts w:asciiTheme="minorHAnsi" w:hAnsiTheme="minorHAnsi" w:cstheme="minorHAnsi"/>
        </w:rPr>
        <w:t>si dhe të ardhurat nga tatimi mbi dividentin dhe aksionet me rritje 12.8% më shumë krahasuar me 5 mujorin 2021</w:t>
      </w:r>
      <w:r w:rsidR="00762C72">
        <w:rPr>
          <w:rFonts w:asciiTheme="minorHAnsi" w:hAnsiTheme="minorHAnsi" w:cstheme="minorHAnsi"/>
        </w:rPr>
        <w:t>.</w:t>
      </w:r>
    </w:p>
    <w:p w:rsidR="001D7392" w:rsidRPr="00AB79FD" w:rsidRDefault="001D7392" w:rsidP="0034657E">
      <w:pPr>
        <w:jc w:val="both"/>
        <w:rPr>
          <w:rFonts w:asciiTheme="minorHAnsi" w:hAnsiTheme="minorHAnsi" w:cstheme="minorHAnsi"/>
        </w:rPr>
      </w:pPr>
    </w:p>
    <w:p w:rsidR="0034657E" w:rsidRPr="00762C72" w:rsidRDefault="001D7392" w:rsidP="001D7392">
      <w:pPr>
        <w:pStyle w:val="Caption"/>
        <w:rPr>
          <w:rFonts w:asciiTheme="minorHAnsi" w:hAnsiTheme="minorHAnsi"/>
          <w:b w:val="0"/>
          <w:bCs w:val="0"/>
          <w:i/>
          <w:color w:val="000000" w:themeColor="text1"/>
          <w:sz w:val="22"/>
          <w:szCs w:val="24"/>
          <w:lang w:val="sq-AL"/>
        </w:rPr>
      </w:pPr>
      <w:bookmarkStart w:id="35" w:name="_Toc12448434"/>
      <w:bookmarkStart w:id="36" w:name="_Toc107498099"/>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3B2B9B">
        <w:rPr>
          <w:rFonts w:asciiTheme="minorHAnsi" w:hAnsiTheme="minorHAnsi"/>
          <w:b w:val="0"/>
          <w:bCs w:val="0"/>
          <w:i/>
          <w:noProof/>
          <w:color w:val="000000" w:themeColor="text1"/>
          <w:sz w:val="22"/>
          <w:szCs w:val="24"/>
          <w:lang w:val="sq-AL"/>
        </w:rPr>
        <w:t>8</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Tatimi mbi të Ardhurat Personale, në vite (në milion lekë)</w:t>
      </w:r>
      <w:bookmarkEnd w:id="35"/>
      <w:bookmarkEnd w:id="36"/>
    </w:p>
    <w:p w:rsidR="0034657E" w:rsidRDefault="00762C72" w:rsidP="00762C72">
      <w:pPr>
        <w:jc w:val="center"/>
        <w:rPr>
          <w:lang w:val="sq-AL"/>
        </w:rPr>
      </w:pPr>
      <w:r>
        <w:rPr>
          <w:noProof/>
        </w:rPr>
        <w:drawing>
          <wp:inline distT="0" distB="0" distL="0" distR="0" wp14:anchorId="65EDA2A5" wp14:editId="6885792B">
            <wp:extent cx="6115050" cy="1607820"/>
            <wp:effectExtent l="0" t="0" r="0" b="11430"/>
            <wp:docPr id="42" name="Chart 42">
              <a:extLst xmlns:a="http://schemas.openxmlformats.org/drawingml/2006/main">
                <a:ext uri="{FF2B5EF4-FFF2-40B4-BE49-F238E27FC236}">
                  <a16:creationId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4657E" w:rsidRPr="004E355C" w:rsidRDefault="00FD3343" w:rsidP="0034657E">
      <w:pPr>
        <w:spacing w:line="276" w:lineRule="auto"/>
        <w:jc w:val="both"/>
        <w:rPr>
          <w:rFonts w:asciiTheme="minorHAnsi" w:eastAsia="SimSun" w:hAnsiTheme="minorHAnsi"/>
          <w:i/>
          <w:lang w:val="sq-AL"/>
        </w:rPr>
      </w:pPr>
      <w:r>
        <w:rPr>
          <w:rFonts w:asciiTheme="minorHAnsi" w:hAnsiTheme="minorHAnsi"/>
          <w:sz w:val="20"/>
          <w:szCs w:val="20"/>
          <w:lang w:val="sq-AL"/>
        </w:rPr>
        <w:t>Burimi: Ministria e Financave dhe Ekonomisë (2022)</w:t>
      </w:r>
      <w:r w:rsidR="0034657E" w:rsidRPr="004E355C">
        <w:rPr>
          <w:rFonts w:asciiTheme="minorHAnsi" w:eastAsia="SimSun" w:hAnsiTheme="minorHAnsi"/>
          <w:i/>
          <w:lang w:val="sq-AL"/>
        </w:rPr>
        <w:tab/>
      </w:r>
    </w:p>
    <w:p w:rsidR="0034657E" w:rsidRPr="004E355C" w:rsidRDefault="0034657E" w:rsidP="0034657E">
      <w:pPr>
        <w:spacing w:line="276" w:lineRule="auto"/>
        <w:jc w:val="both"/>
        <w:rPr>
          <w:rFonts w:asciiTheme="minorHAnsi" w:hAnsiTheme="minorHAnsi" w:cstheme="minorHAnsi"/>
          <w:sz w:val="8"/>
          <w:szCs w:val="8"/>
          <w:lang w:val="it-IT"/>
        </w:rPr>
      </w:pPr>
    </w:p>
    <w:p w:rsidR="00AE2134" w:rsidRPr="00EB3EBD" w:rsidRDefault="00AE2134" w:rsidP="0034657E">
      <w:pPr>
        <w:spacing w:line="276" w:lineRule="auto"/>
        <w:jc w:val="both"/>
        <w:rPr>
          <w:rFonts w:asciiTheme="minorHAnsi" w:hAnsiTheme="minorHAnsi" w:cstheme="minorHAnsi"/>
          <w:b/>
          <w:bCs/>
          <w:i/>
          <w:iCs/>
          <w:sz w:val="8"/>
          <w:lang w:val="it-IT"/>
        </w:rPr>
      </w:pPr>
    </w:p>
    <w:p w:rsidR="0034657E" w:rsidRDefault="0034657E" w:rsidP="0034657E">
      <w:pPr>
        <w:spacing w:line="276" w:lineRule="auto"/>
        <w:jc w:val="both"/>
        <w:rPr>
          <w:rFonts w:asciiTheme="minorHAnsi" w:hAnsiTheme="minorHAnsi"/>
          <w:lang w:val="sq-AL"/>
        </w:rPr>
      </w:pPr>
      <w:r w:rsidRPr="00C21C2C">
        <w:rPr>
          <w:rFonts w:asciiTheme="minorHAnsi" w:hAnsiTheme="minorHAnsi" w:cstheme="minorHAnsi"/>
          <w:b/>
          <w:bCs/>
          <w:i/>
          <w:iCs/>
          <w:lang w:val="it-IT"/>
        </w:rPr>
        <w:t>Nga “Taksat Kombëtare”</w:t>
      </w:r>
      <w:r w:rsidRPr="004E355C">
        <w:rPr>
          <w:rFonts w:asciiTheme="minorHAnsi" w:hAnsiTheme="minorHAnsi" w:cstheme="minorHAnsi"/>
          <w:lang w:val="it-IT"/>
        </w:rPr>
        <w:t xml:space="preserve"> </w:t>
      </w:r>
      <w:r w:rsidR="00762C72" w:rsidRPr="004E355C">
        <w:rPr>
          <w:rFonts w:asciiTheme="minorHAnsi" w:hAnsiTheme="minorHAnsi" w:cstheme="minorHAnsi"/>
          <w:lang w:val="it-IT"/>
        </w:rPr>
        <w:t xml:space="preserve">janë realizuar </w:t>
      </w:r>
      <w:r w:rsidR="00762C72">
        <w:rPr>
          <w:rFonts w:asciiTheme="minorHAnsi" w:hAnsiTheme="minorHAnsi" w:cstheme="minorHAnsi"/>
          <w:lang w:val="it-IT"/>
        </w:rPr>
        <w:t>17.4</w:t>
      </w:r>
      <w:r w:rsidR="00762C72" w:rsidRPr="004E355C">
        <w:rPr>
          <w:rFonts w:asciiTheme="minorHAnsi" w:hAnsiTheme="minorHAnsi" w:cstheme="minorHAnsi"/>
          <w:lang w:val="it-IT"/>
        </w:rPr>
        <w:t xml:space="preserve"> miliardë lekë,</w:t>
      </w:r>
      <w:r w:rsidR="00762C72">
        <w:rPr>
          <w:rFonts w:asciiTheme="minorHAnsi" w:hAnsiTheme="minorHAnsi" w:cstheme="minorHAnsi"/>
          <w:lang w:val="it-IT"/>
        </w:rPr>
        <w:t xml:space="preserve"> 17.5% ose 2.6</w:t>
      </w:r>
      <w:r w:rsidR="00762C72" w:rsidRPr="004E355C">
        <w:rPr>
          <w:rFonts w:asciiTheme="minorHAnsi" w:hAnsiTheme="minorHAnsi" w:cstheme="minorHAnsi"/>
          <w:lang w:val="it-IT"/>
        </w:rPr>
        <w:t xml:space="preserve"> mili</w:t>
      </w:r>
      <w:r w:rsidR="00762C72">
        <w:rPr>
          <w:rFonts w:asciiTheme="minorHAnsi" w:hAnsiTheme="minorHAnsi" w:cstheme="minorHAnsi"/>
          <w:lang w:val="it-IT"/>
        </w:rPr>
        <w:t>ard</w:t>
      </w:r>
      <w:r w:rsidR="00762C72" w:rsidRPr="004E355C">
        <w:rPr>
          <w:rFonts w:asciiTheme="minorHAnsi" w:hAnsiTheme="minorHAnsi" w:cstheme="minorHAnsi"/>
          <w:lang w:val="it-IT"/>
        </w:rPr>
        <w:t xml:space="preserve"> lekë më </w:t>
      </w:r>
      <w:r w:rsidR="00762C72">
        <w:rPr>
          <w:rFonts w:asciiTheme="minorHAnsi" w:hAnsiTheme="minorHAnsi" w:cstheme="minorHAnsi"/>
          <w:lang w:val="it-IT"/>
        </w:rPr>
        <w:t>shumë</w:t>
      </w:r>
      <w:r w:rsidR="00762C72" w:rsidRPr="004E355C">
        <w:rPr>
          <w:rFonts w:asciiTheme="minorHAnsi" w:hAnsiTheme="minorHAnsi" w:cstheme="minorHAnsi"/>
          <w:lang w:val="it-IT"/>
        </w:rPr>
        <w:t xml:space="preserve"> se 5</w:t>
      </w:r>
      <w:r w:rsidR="00762C72">
        <w:rPr>
          <w:rFonts w:asciiTheme="minorHAnsi" w:hAnsiTheme="minorHAnsi" w:cstheme="minorHAnsi"/>
          <w:lang w:val="it-IT"/>
        </w:rPr>
        <w:t xml:space="preserve"> </w:t>
      </w:r>
      <w:r w:rsidR="00762C72" w:rsidRPr="004E355C">
        <w:rPr>
          <w:rFonts w:asciiTheme="minorHAnsi" w:hAnsiTheme="minorHAnsi" w:cstheme="minorHAnsi"/>
          <w:lang w:val="it-IT"/>
        </w:rPr>
        <w:t>mujori 20</w:t>
      </w:r>
      <w:r w:rsidR="00762C72">
        <w:rPr>
          <w:rFonts w:asciiTheme="minorHAnsi" w:hAnsiTheme="minorHAnsi" w:cstheme="minorHAnsi"/>
          <w:lang w:val="it-IT"/>
        </w:rPr>
        <w:t>21</w:t>
      </w:r>
      <w:r w:rsidR="00762C72" w:rsidRPr="004E355C">
        <w:rPr>
          <w:rFonts w:asciiTheme="minorHAnsi" w:hAnsiTheme="minorHAnsi" w:cstheme="minorHAnsi"/>
          <w:lang w:val="it-IT"/>
        </w:rPr>
        <w:t xml:space="preserve"> dhe </w:t>
      </w:r>
      <w:r w:rsidR="00762C72">
        <w:rPr>
          <w:rFonts w:asciiTheme="minorHAnsi" w:hAnsiTheme="minorHAnsi" w:cstheme="minorHAnsi"/>
          <w:lang w:val="it-IT"/>
        </w:rPr>
        <w:t>7.7% ose 1.2</w:t>
      </w:r>
      <w:r w:rsidR="00762C72" w:rsidRPr="004E355C">
        <w:rPr>
          <w:rFonts w:asciiTheme="minorHAnsi" w:hAnsiTheme="minorHAnsi" w:cstheme="minorHAnsi"/>
          <w:lang w:val="it-IT"/>
        </w:rPr>
        <w:t xml:space="preserve"> mili</w:t>
      </w:r>
      <w:r w:rsidR="00762C72">
        <w:rPr>
          <w:rFonts w:asciiTheme="minorHAnsi" w:hAnsiTheme="minorHAnsi" w:cstheme="minorHAnsi"/>
          <w:lang w:val="it-IT"/>
        </w:rPr>
        <w:t>ardë</w:t>
      </w:r>
      <w:r w:rsidR="00762C72" w:rsidRPr="004E355C">
        <w:rPr>
          <w:rFonts w:asciiTheme="minorHAnsi" w:hAnsiTheme="minorHAnsi" w:cstheme="minorHAnsi"/>
          <w:lang w:val="it-IT"/>
        </w:rPr>
        <w:t xml:space="preserve"> lekë më </w:t>
      </w:r>
      <w:r w:rsidR="00762C72">
        <w:rPr>
          <w:rFonts w:asciiTheme="minorHAnsi" w:hAnsiTheme="minorHAnsi" w:cstheme="minorHAnsi"/>
          <w:lang w:val="it-IT"/>
        </w:rPr>
        <w:t>shumë</w:t>
      </w:r>
      <w:r w:rsidR="00762C72" w:rsidRPr="004E355C">
        <w:rPr>
          <w:rFonts w:asciiTheme="minorHAnsi" w:hAnsiTheme="minorHAnsi" w:cstheme="minorHAnsi"/>
          <w:lang w:val="it-IT"/>
        </w:rPr>
        <w:t xml:space="preserve"> s</w:t>
      </w:r>
      <w:r w:rsidR="00762C72" w:rsidRPr="004E355C">
        <w:rPr>
          <w:rFonts w:asciiTheme="minorHAnsi" w:eastAsia="Calibri" w:hAnsiTheme="minorHAnsi" w:cstheme="minorHAnsi"/>
          <w:lang w:val="it-IT"/>
        </w:rPr>
        <w:t>e plani</w:t>
      </w:r>
      <w:r w:rsidR="00762C72" w:rsidRPr="004E355C">
        <w:rPr>
          <w:rFonts w:asciiTheme="minorHAnsi" w:hAnsiTheme="minorHAnsi"/>
          <w:lang w:val="sq-AL"/>
        </w:rPr>
        <w:t xml:space="preserve">. </w:t>
      </w:r>
      <w:r w:rsidR="00762C72">
        <w:rPr>
          <w:rFonts w:asciiTheme="minorHAnsi" w:hAnsiTheme="minorHAnsi"/>
          <w:lang w:val="sq-AL"/>
        </w:rPr>
        <w:t>Rritja kryesore vjen si rezultat i rritjes në të ardhurat që mblidhen për mjetet e përdorura të transportit me rritje 52% më shumë se 5 mujori 2021 si dhe të ardhurat që mblidhen nga taksat për amballazhet plastike me rritje 75%  më shumë se 5 mujori 2021</w:t>
      </w:r>
      <w:r>
        <w:rPr>
          <w:rFonts w:asciiTheme="minorHAnsi" w:hAnsiTheme="minorHAnsi"/>
          <w:lang w:val="sq-AL"/>
        </w:rPr>
        <w:t>.</w:t>
      </w:r>
    </w:p>
    <w:p w:rsidR="0034657E" w:rsidRPr="00A17731" w:rsidRDefault="001D7392" w:rsidP="001D7392">
      <w:pPr>
        <w:pStyle w:val="Caption"/>
        <w:rPr>
          <w:rFonts w:asciiTheme="minorHAnsi" w:hAnsiTheme="minorHAnsi"/>
          <w:b w:val="0"/>
          <w:bCs w:val="0"/>
          <w:i/>
          <w:color w:val="auto"/>
          <w:sz w:val="22"/>
          <w:szCs w:val="24"/>
          <w:lang w:val="sq-AL"/>
        </w:rPr>
      </w:pPr>
      <w:bookmarkStart w:id="37" w:name="_Toc12448435"/>
      <w:bookmarkStart w:id="38" w:name="_Toc107498100"/>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9</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ardhurat 5 mujore nga Taksat nacionale, në vite (në miliardë lekë)</w:t>
      </w:r>
      <w:bookmarkEnd w:id="37"/>
      <w:bookmarkEnd w:id="38"/>
    </w:p>
    <w:p w:rsidR="0034657E" w:rsidRPr="001629AE" w:rsidRDefault="00FA2630" w:rsidP="00FA2630">
      <w:pPr>
        <w:jc w:val="center"/>
        <w:rPr>
          <w:lang w:val="sq-AL"/>
        </w:rPr>
      </w:pPr>
      <w:r>
        <w:rPr>
          <w:noProof/>
        </w:rPr>
        <w:drawing>
          <wp:inline distT="0" distB="0" distL="0" distR="0" wp14:anchorId="63864FAB" wp14:editId="32AB4649">
            <wp:extent cx="6062345" cy="1897380"/>
            <wp:effectExtent l="0" t="0" r="14605" b="7620"/>
            <wp:docPr id="43" name="Chart 43">
              <a:extLst xmlns:a="http://schemas.openxmlformats.org/drawingml/2006/main">
                <a:ext uri="{FF2B5EF4-FFF2-40B4-BE49-F238E27FC236}">
                  <a16:creationId xmlns:a16="http://schemas.microsoft.com/office/drawing/2014/main" id="{4229EC19-03CA-492A-B1F7-3846A8237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4657E" w:rsidRPr="004E355C" w:rsidRDefault="00FD3343"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34657E" w:rsidRDefault="0034657E" w:rsidP="0034657E">
      <w:pPr>
        <w:spacing w:line="276" w:lineRule="auto"/>
        <w:jc w:val="both"/>
        <w:rPr>
          <w:rFonts w:asciiTheme="minorHAnsi" w:hAnsiTheme="minorHAnsi"/>
          <w:lang w:val="sq-AL"/>
        </w:rPr>
      </w:pPr>
      <w:r w:rsidRPr="004E355C">
        <w:rPr>
          <w:rFonts w:asciiTheme="minorHAnsi" w:eastAsia="Calibri" w:hAnsiTheme="minorHAnsi" w:cstheme="minorHAnsi"/>
          <w:i/>
          <w:lang w:val="it-IT"/>
        </w:rPr>
        <w:lastRenderedPageBreak/>
        <w:t>Të ardhurat nga “Kontributet e D.P.T-së”</w:t>
      </w:r>
      <w:r w:rsidRPr="004E355C">
        <w:rPr>
          <w:rFonts w:asciiTheme="minorHAnsi" w:eastAsia="Calibri" w:hAnsiTheme="minorHAnsi" w:cstheme="minorHAnsi"/>
          <w:lang w:val="it-IT"/>
        </w:rPr>
        <w:t xml:space="preserve"> </w:t>
      </w:r>
      <w:r w:rsidR="00FA2630" w:rsidRPr="00B45962">
        <w:rPr>
          <w:rFonts w:asciiTheme="minorHAnsi" w:hAnsiTheme="minorHAnsi" w:cstheme="minorHAnsi"/>
          <w:lang w:val="it-IT"/>
        </w:rPr>
        <w:t>janë realizuar në vlerën 47.8 miliardë lekë, 4.4 miliardë lekë ose 10.2% më shumë krahasuar me 5 mujorin 2021 dhe 3% ose 1.4 miliardë lekë më shumë se plani.</w:t>
      </w:r>
      <w:r w:rsidR="00FA2630" w:rsidRPr="00B45962">
        <w:rPr>
          <w:rFonts w:asciiTheme="minorHAnsi" w:hAnsiTheme="minorHAnsi" w:cstheme="minorHAnsi"/>
        </w:rPr>
        <w:t xml:space="preserve"> Rritja me</w:t>
      </w:r>
      <w:r w:rsidR="00FA2630" w:rsidRPr="00B45962">
        <w:rPr>
          <w:rFonts w:asciiTheme="minorHAnsi" w:hAnsiTheme="minorHAnsi" w:cstheme="minorHAnsi"/>
          <w:noProof/>
          <w:lang w:val="sq-AL"/>
        </w:rPr>
        <w:t xml:space="preserve"> vitin e kaluar në të ardhurat vjen si rezultat i rritjes së numrit të të punësuarve në sektorin privat, lufra kunder informalitetit me fokus </w:t>
      </w:r>
      <w:r w:rsidR="00FA2630" w:rsidRPr="00B45962">
        <w:rPr>
          <w:rFonts w:asciiTheme="minorHAnsi" w:hAnsiTheme="minorHAnsi" w:cstheme="minorHAnsi"/>
        </w:rPr>
        <w:t xml:space="preserve">deklarimi i punonjësve në skemën e sigurimeve shoqërore dhe deklarimi i pagës reale të tyre </w:t>
      </w:r>
      <w:r w:rsidR="00FA2630" w:rsidRPr="00B45962">
        <w:rPr>
          <w:rFonts w:asciiTheme="minorHAnsi" w:hAnsiTheme="minorHAnsi" w:cstheme="minorHAnsi"/>
          <w:noProof/>
          <w:lang w:val="sq-AL"/>
        </w:rPr>
        <w:t>si dhe rritja e pagës minimale në shkallë vendi</w:t>
      </w:r>
      <w:r>
        <w:rPr>
          <w:rFonts w:asciiTheme="minorHAnsi" w:hAnsiTheme="minorHAnsi"/>
          <w:lang w:val="sq-AL"/>
        </w:rPr>
        <w:t>.</w:t>
      </w:r>
    </w:p>
    <w:p w:rsidR="0034657E" w:rsidRPr="00C54453" w:rsidRDefault="0034657E" w:rsidP="0034657E">
      <w:pPr>
        <w:spacing w:line="276" w:lineRule="auto"/>
        <w:jc w:val="both"/>
        <w:rPr>
          <w:rFonts w:asciiTheme="minorHAnsi" w:hAnsiTheme="minorHAnsi"/>
          <w:b/>
          <w:bCs/>
          <w:i/>
          <w:color w:val="000000" w:themeColor="text1"/>
          <w:sz w:val="8"/>
          <w:szCs w:val="8"/>
          <w:lang w:val="sq-AL"/>
        </w:rPr>
      </w:pPr>
    </w:p>
    <w:p w:rsidR="0034657E" w:rsidRPr="00A17731" w:rsidRDefault="001D7392" w:rsidP="001D7392">
      <w:pPr>
        <w:pStyle w:val="Caption"/>
        <w:rPr>
          <w:rFonts w:asciiTheme="minorHAnsi" w:hAnsiTheme="minorHAnsi"/>
          <w:b w:val="0"/>
          <w:bCs w:val="0"/>
          <w:i/>
          <w:color w:val="000000" w:themeColor="text1"/>
          <w:sz w:val="22"/>
          <w:szCs w:val="24"/>
          <w:lang w:val="sq-AL"/>
        </w:rPr>
      </w:pPr>
      <w:bookmarkStart w:id="39" w:name="_Toc12448436"/>
      <w:bookmarkStart w:id="40" w:name="_Toc107498101"/>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3B2B9B">
        <w:rPr>
          <w:rFonts w:asciiTheme="minorHAnsi" w:hAnsiTheme="minorHAnsi"/>
          <w:b w:val="0"/>
          <w:bCs w:val="0"/>
          <w:i/>
          <w:noProof/>
          <w:color w:val="000000" w:themeColor="text1"/>
          <w:sz w:val="22"/>
          <w:szCs w:val="24"/>
          <w:lang w:val="sq-AL"/>
        </w:rPr>
        <w:t>10</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kontributet e mbledhura nga DPT, në vite (në miliardë lekë)</w:t>
      </w:r>
      <w:bookmarkEnd w:id="39"/>
      <w:bookmarkEnd w:id="40"/>
    </w:p>
    <w:p w:rsidR="0034657E" w:rsidRPr="00F21483" w:rsidRDefault="00FA2630" w:rsidP="00FA2630">
      <w:pPr>
        <w:jc w:val="center"/>
        <w:rPr>
          <w:lang w:val="sq-AL"/>
        </w:rPr>
      </w:pPr>
      <w:r>
        <w:rPr>
          <w:noProof/>
        </w:rPr>
        <w:drawing>
          <wp:inline distT="0" distB="0" distL="0" distR="0" wp14:anchorId="6FB43F53" wp14:editId="70EE4710">
            <wp:extent cx="6090285" cy="2407920"/>
            <wp:effectExtent l="0" t="0" r="5715" b="11430"/>
            <wp:docPr id="49" name="Chart 49">
              <a:extLst xmlns:a="http://schemas.openxmlformats.org/drawingml/2006/main">
                <a:ext uri="{FF2B5EF4-FFF2-40B4-BE49-F238E27FC236}">
                  <a16:creationId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4657E" w:rsidRPr="004E355C" w:rsidRDefault="00FD3343" w:rsidP="0034657E">
      <w:pPr>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(2022)</w:t>
      </w:r>
    </w:p>
    <w:p w:rsidR="007F224E" w:rsidRPr="00E74AAC" w:rsidRDefault="007F224E" w:rsidP="00C154C8">
      <w:pPr>
        <w:spacing w:line="276" w:lineRule="auto"/>
        <w:ind w:firstLine="720"/>
        <w:rPr>
          <w:rFonts w:asciiTheme="minorHAnsi" w:hAnsiTheme="minorHAnsi"/>
          <w:sz w:val="28"/>
          <w:szCs w:val="20"/>
          <w:lang w:val="sq-AL"/>
        </w:rPr>
      </w:pPr>
    </w:p>
    <w:p w:rsidR="003A1589" w:rsidRPr="0065598A" w:rsidRDefault="003A1589" w:rsidP="002334F6">
      <w:pPr>
        <w:pStyle w:val="Heading2"/>
      </w:pPr>
      <w:bookmarkStart w:id="41" w:name="_Toc107496985"/>
      <w:r w:rsidRPr="0065598A">
        <w:t>II.2</w:t>
      </w:r>
      <w:r w:rsidRPr="0065598A">
        <w:tab/>
        <w:t>Pritshmëritë fiskale deri në fund të vitit 20</w:t>
      </w:r>
      <w:r w:rsidR="00F720EE">
        <w:t>2</w:t>
      </w:r>
      <w:r w:rsidR="00565BEB">
        <w:t>2</w:t>
      </w:r>
      <w:bookmarkEnd w:id="41"/>
    </w:p>
    <w:p w:rsidR="00886D9A" w:rsidRPr="0065598A" w:rsidRDefault="00886D9A" w:rsidP="00886D9A">
      <w:pPr>
        <w:spacing w:line="276" w:lineRule="auto"/>
        <w:jc w:val="both"/>
        <w:rPr>
          <w:rFonts w:asciiTheme="minorHAnsi" w:hAnsiTheme="minorHAnsi"/>
          <w:b/>
          <w:sz w:val="12"/>
          <w:lang w:val="sq-AL"/>
        </w:rPr>
      </w:pPr>
    </w:p>
    <w:p w:rsidR="00703199" w:rsidRPr="00B45962" w:rsidRDefault="00703199" w:rsidP="00703199">
      <w:pPr>
        <w:spacing w:line="276" w:lineRule="auto"/>
        <w:jc w:val="both"/>
        <w:rPr>
          <w:rFonts w:asciiTheme="minorHAnsi" w:hAnsiTheme="minorHAnsi" w:cstheme="minorHAnsi"/>
          <w:noProof/>
          <w:lang w:val="sq-AL"/>
        </w:rPr>
      </w:pPr>
      <w:r w:rsidRPr="00FF064D">
        <w:rPr>
          <w:rFonts w:asciiTheme="minorHAnsi" w:hAnsiTheme="minorHAnsi" w:cstheme="minorHAnsi"/>
          <w:color w:val="000000" w:themeColor="text1"/>
          <w:lang w:val="sq-AL"/>
        </w:rPr>
        <w:t>Bazuar në performancën e 5 mujorit Janar</w:t>
      </w:r>
      <w:r>
        <w:rPr>
          <w:rFonts w:asciiTheme="minorHAnsi" w:hAnsiTheme="minorHAnsi" w:cstheme="minorHAnsi"/>
          <w:color w:val="000000" w:themeColor="text1"/>
          <w:lang w:val="sq-AL"/>
        </w:rPr>
        <w:t>-</w:t>
      </w:r>
      <w:r w:rsidRPr="00FF064D">
        <w:rPr>
          <w:rFonts w:asciiTheme="minorHAnsi" w:hAnsiTheme="minorHAnsi" w:cstheme="minorHAnsi"/>
          <w:color w:val="000000" w:themeColor="text1"/>
          <w:lang w:val="sq-AL"/>
        </w:rPr>
        <w:t>Maj</w:t>
      </w:r>
      <w:r>
        <w:rPr>
          <w:rFonts w:asciiTheme="minorHAnsi" w:hAnsiTheme="minorHAnsi" w:cstheme="minorHAnsi"/>
          <w:color w:val="000000" w:themeColor="text1"/>
          <w:lang w:val="sq-AL"/>
        </w:rPr>
        <w:t xml:space="preserve"> 2022</w:t>
      </w:r>
      <w:r w:rsidRPr="00FF064D">
        <w:rPr>
          <w:rFonts w:asciiTheme="minorHAnsi" w:hAnsiTheme="minorHAnsi" w:cstheme="minorHAnsi"/>
          <w:color w:val="000000" w:themeColor="text1"/>
          <w:lang w:val="sq-AL"/>
        </w:rPr>
        <w:t xml:space="preserve">, si dhe në analizën e faktorëve që mund të impaktojnë realizimin e të ardhurave tatimore dhe doganore </w:t>
      </w:r>
      <w:r>
        <w:rPr>
          <w:rFonts w:asciiTheme="minorHAnsi" w:hAnsiTheme="minorHAnsi" w:cstheme="minorHAnsi"/>
          <w:color w:val="000000" w:themeColor="text1"/>
          <w:lang w:val="sq-AL"/>
        </w:rPr>
        <w:t>p</w:t>
      </w:r>
      <w:r w:rsidRPr="00FF064D">
        <w:rPr>
          <w:rFonts w:asciiTheme="minorHAnsi" w:hAnsiTheme="minorHAnsi" w:cstheme="minorHAnsi"/>
          <w:color w:val="000000" w:themeColor="text1"/>
          <w:lang w:val="sq-AL"/>
        </w:rPr>
        <w:t>ë</w:t>
      </w:r>
      <w:r>
        <w:rPr>
          <w:rFonts w:asciiTheme="minorHAnsi" w:hAnsiTheme="minorHAnsi" w:cstheme="minorHAnsi"/>
          <w:color w:val="000000" w:themeColor="text1"/>
          <w:lang w:val="sq-AL"/>
        </w:rPr>
        <w:t>r</w:t>
      </w:r>
      <w:r w:rsidRPr="00FF064D">
        <w:rPr>
          <w:rFonts w:asciiTheme="minorHAnsi" w:hAnsiTheme="minorHAnsi" w:cstheme="minorHAnsi"/>
          <w:color w:val="000000" w:themeColor="text1"/>
          <w:lang w:val="sq-AL"/>
        </w:rPr>
        <w:t xml:space="preserve"> 7 mujorin në vijim të vitit 202</w:t>
      </w:r>
      <w:r>
        <w:rPr>
          <w:rFonts w:asciiTheme="minorHAnsi" w:hAnsiTheme="minorHAnsi" w:cstheme="minorHAnsi"/>
          <w:color w:val="000000" w:themeColor="text1"/>
          <w:lang w:val="sq-AL"/>
        </w:rPr>
        <w:t>2</w:t>
      </w:r>
      <w:r w:rsidRPr="00FF064D">
        <w:rPr>
          <w:rFonts w:asciiTheme="minorHAnsi" w:hAnsiTheme="minorHAnsi" w:cstheme="minorHAnsi"/>
          <w:color w:val="000000" w:themeColor="text1"/>
          <w:lang w:val="sq-AL"/>
        </w:rPr>
        <w:t xml:space="preserve">, vlerësojmë se të ardhurat që administrohen nga Drejtoria e Përgjithshme e Tatimeve (DPT) dhe Drejtoria e Përgjithshme e Doganave (DPD), </w:t>
      </w:r>
      <w:r w:rsidRPr="00B45962">
        <w:rPr>
          <w:rFonts w:asciiTheme="minorHAnsi" w:hAnsiTheme="minorHAnsi" w:cstheme="minorHAnsi"/>
          <w:lang w:val="sq-AL"/>
        </w:rPr>
        <w:t>p</w:t>
      </w:r>
      <w:r w:rsidRPr="00B45962">
        <w:rPr>
          <w:rFonts w:asciiTheme="minorHAnsi" w:hAnsiTheme="minorHAnsi" w:cstheme="minorHAnsi"/>
          <w:noProof/>
          <w:lang w:val="sq-AL"/>
        </w:rPr>
        <w:t xml:space="preserve">ërfshirë kontributet e sigurimeve shoqërore dhe shëndetësore, pritet të realizohen mbi 100%.  </w:t>
      </w:r>
    </w:p>
    <w:p w:rsidR="00703199" w:rsidRPr="00CB0025" w:rsidRDefault="00703199" w:rsidP="00703199">
      <w:pPr>
        <w:spacing w:before="240" w:line="276" w:lineRule="auto"/>
        <w:jc w:val="both"/>
        <w:rPr>
          <w:rFonts w:asciiTheme="minorHAnsi" w:hAnsiTheme="minorHAnsi" w:cstheme="minorHAnsi"/>
          <w:color w:val="000000" w:themeColor="text1"/>
          <w:lang w:val="sq-AL"/>
        </w:rPr>
      </w:pPr>
      <w:r w:rsidRPr="00B45962">
        <w:rPr>
          <w:rFonts w:asciiTheme="minorHAnsi" w:hAnsiTheme="minorHAnsi" w:cstheme="minorHAnsi"/>
          <w:lang w:val="sq-AL"/>
        </w:rPr>
        <w:t xml:space="preserve">Ndër faktorët kryesorë të cilët do të ndikojnë në realizimin </w:t>
      </w:r>
      <w:r w:rsidRPr="00CB0025">
        <w:rPr>
          <w:rFonts w:asciiTheme="minorHAnsi" w:hAnsiTheme="minorHAnsi" w:cstheme="minorHAnsi"/>
          <w:color w:val="000000" w:themeColor="text1"/>
          <w:lang w:val="sq-AL"/>
        </w:rPr>
        <w:t xml:space="preserve">e  pritshëm të të ardhurave deri në fund të vitit 2022 janë: </w:t>
      </w:r>
    </w:p>
    <w:p w:rsidR="00703199" w:rsidRPr="00CB0025" w:rsidRDefault="00703199" w:rsidP="003F6B21">
      <w:pPr>
        <w:pStyle w:val="ListParagraph"/>
        <w:widowControl w:val="0"/>
        <w:numPr>
          <w:ilvl w:val="0"/>
          <w:numId w:val="8"/>
        </w:numPr>
        <w:spacing w:line="276" w:lineRule="auto"/>
        <w:ind w:left="540"/>
        <w:jc w:val="both"/>
        <w:rPr>
          <w:rFonts w:asciiTheme="minorHAnsi" w:hAnsiTheme="minorHAnsi" w:cstheme="minorHAnsi"/>
          <w:i/>
          <w:lang w:val="sq-AL"/>
        </w:rPr>
      </w:pPr>
      <w:r w:rsidRPr="00CB0025">
        <w:rPr>
          <w:rFonts w:asciiTheme="minorHAnsi" w:hAnsiTheme="minorHAnsi" w:cstheme="minorHAnsi"/>
          <w:i/>
          <w:lang w:val="sq-AL"/>
        </w:rPr>
        <w:t>Thellimi i luftës kundër informalitetit, duke përmirësuar administrimin tatimor dhe atë doganor.</w:t>
      </w:r>
    </w:p>
    <w:p w:rsidR="00703199" w:rsidRDefault="00703199" w:rsidP="003F6B21">
      <w:pPr>
        <w:pStyle w:val="ListParagraph"/>
        <w:widowControl w:val="0"/>
        <w:numPr>
          <w:ilvl w:val="0"/>
          <w:numId w:val="8"/>
        </w:numPr>
        <w:spacing w:line="276" w:lineRule="auto"/>
        <w:ind w:left="540"/>
        <w:jc w:val="both"/>
        <w:rPr>
          <w:rFonts w:asciiTheme="minorHAnsi" w:hAnsiTheme="minorHAnsi" w:cstheme="minorHAnsi"/>
          <w:i/>
          <w:lang w:val="sq-AL"/>
        </w:rPr>
      </w:pPr>
      <w:r w:rsidRPr="00CB0025">
        <w:rPr>
          <w:rFonts w:asciiTheme="minorHAnsi" w:hAnsiTheme="minorHAnsi" w:cstheme="minorHAnsi"/>
          <w:i/>
          <w:lang w:val="sq-AL"/>
        </w:rPr>
        <w:t>Rritja e çmimimeve dhe ne veçanti e karburantit dhe energjisë elektrike në tregjet globale.</w:t>
      </w:r>
    </w:p>
    <w:p w:rsidR="00703199" w:rsidRPr="00CB0025" w:rsidRDefault="00703199" w:rsidP="003F6B21">
      <w:pPr>
        <w:pStyle w:val="ListParagraph"/>
        <w:widowControl w:val="0"/>
        <w:numPr>
          <w:ilvl w:val="0"/>
          <w:numId w:val="8"/>
        </w:numPr>
        <w:spacing w:line="276" w:lineRule="auto"/>
        <w:ind w:left="540"/>
        <w:jc w:val="both"/>
        <w:rPr>
          <w:rFonts w:asciiTheme="minorHAnsi" w:hAnsiTheme="minorHAnsi" w:cstheme="minorHAnsi"/>
          <w:i/>
          <w:lang w:val="sq-AL"/>
        </w:rPr>
      </w:pPr>
      <w:r>
        <w:rPr>
          <w:rFonts w:asciiTheme="minorHAnsi" w:hAnsiTheme="minorHAnsi" w:cstheme="minorHAnsi"/>
          <w:i/>
          <w:lang w:val="sq-AL"/>
        </w:rPr>
        <w:t>Rimëkëmbja e ekonomisë pas situatës Covid 19 në vazhdimësi të vitit të kaluar.</w:t>
      </w:r>
    </w:p>
    <w:p w:rsidR="00703199" w:rsidRPr="00CB0025" w:rsidRDefault="00703199" w:rsidP="003F6B21">
      <w:pPr>
        <w:pStyle w:val="ListParagraph"/>
        <w:widowControl w:val="0"/>
        <w:numPr>
          <w:ilvl w:val="0"/>
          <w:numId w:val="8"/>
        </w:numPr>
        <w:spacing w:line="276" w:lineRule="auto"/>
        <w:ind w:left="540"/>
        <w:jc w:val="both"/>
        <w:rPr>
          <w:rFonts w:asciiTheme="minorHAnsi" w:hAnsiTheme="minorHAnsi" w:cstheme="minorHAnsi"/>
          <w:i/>
          <w:lang w:val="sq-AL"/>
        </w:rPr>
      </w:pPr>
      <w:r w:rsidRPr="00CB0025">
        <w:rPr>
          <w:rFonts w:asciiTheme="minorHAnsi" w:hAnsiTheme="minorHAnsi" w:cstheme="minorHAnsi"/>
          <w:i/>
          <w:lang w:val="sq-AL"/>
        </w:rPr>
        <w:t>Përmirësimi i performancës së administratës tatimore në administrimin e TVSH-së së brendshme, duke nxitur vetëdeklarimin dhe kontrolluar mbi bazë risku sektorët dhe industritë që gjenerojnë këtë tatim.</w:t>
      </w:r>
    </w:p>
    <w:p w:rsidR="00703199" w:rsidRDefault="00703199" w:rsidP="003F6B21">
      <w:pPr>
        <w:pStyle w:val="ListParagraph"/>
        <w:widowControl w:val="0"/>
        <w:numPr>
          <w:ilvl w:val="0"/>
          <w:numId w:val="8"/>
        </w:numPr>
        <w:spacing w:line="276" w:lineRule="auto"/>
        <w:ind w:left="540"/>
        <w:jc w:val="both"/>
        <w:rPr>
          <w:rFonts w:asciiTheme="minorHAnsi" w:hAnsiTheme="minorHAnsi" w:cstheme="minorHAnsi"/>
          <w:i/>
          <w:lang w:val="sq-AL"/>
        </w:rPr>
      </w:pPr>
      <w:r w:rsidRPr="00CB0025">
        <w:rPr>
          <w:rFonts w:asciiTheme="minorHAnsi" w:hAnsiTheme="minorHAnsi" w:cstheme="minorHAnsi"/>
          <w:i/>
          <w:lang w:val="sq-AL"/>
        </w:rPr>
        <w:t>Ecuria pozitive e proçesit të fiskalizimit nga administrata tatimore.</w:t>
      </w:r>
    </w:p>
    <w:p w:rsidR="004F04D3" w:rsidRDefault="004F04D3" w:rsidP="004F04D3">
      <w:pPr>
        <w:pStyle w:val="ListParagraph"/>
        <w:widowControl w:val="0"/>
        <w:spacing w:line="276" w:lineRule="auto"/>
        <w:ind w:left="540"/>
        <w:jc w:val="both"/>
        <w:rPr>
          <w:rFonts w:asciiTheme="minorHAnsi" w:hAnsiTheme="minorHAnsi" w:cstheme="minorHAnsi"/>
          <w:i/>
          <w:lang w:val="sq-AL"/>
        </w:rPr>
      </w:pPr>
    </w:p>
    <w:p w:rsidR="004F04D3" w:rsidRDefault="004F04D3" w:rsidP="004F04D3">
      <w:pPr>
        <w:pStyle w:val="ListParagraph"/>
        <w:widowControl w:val="0"/>
        <w:spacing w:line="276" w:lineRule="auto"/>
        <w:ind w:left="540"/>
        <w:jc w:val="both"/>
        <w:rPr>
          <w:rFonts w:asciiTheme="minorHAnsi" w:hAnsiTheme="minorHAnsi" w:cstheme="minorHAnsi"/>
          <w:i/>
          <w:lang w:val="sq-AL"/>
        </w:rPr>
      </w:pPr>
    </w:p>
    <w:p w:rsidR="004F04D3" w:rsidRDefault="004F04D3" w:rsidP="004F04D3">
      <w:pPr>
        <w:pStyle w:val="ListParagraph"/>
        <w:widowControl w:val="0"/>
        <w:spacing w:line="276" w:lineRule="auto"/>
        <w:ind w:left="540"/>
        <w:jc w:val="both"/>
        <w:rPr>
          <w:rFonts w:asciiTheme="minorHAnsi" w:hAnsiTheme="minorHAnsi" w:cstheme="minorHAnsi"/>
          <w:i/>
          <w:lang w:val="sq-AL"/>
        </w:rPr>
      </w:pPr>
    </w:p>
    <w:p w:rsidR="004F04D3" w:rsidRDefault="004F04D3" w:rsidP="004F04D3">
      <w:pPr>
        <w:pStyle w:val="ListParagraph"/>
        <w:widowControl w:val="0"/>
        <w:spacing w:line="276" w:lineRule="auto"/>
        <w:ind w:left="540"/>
        <w:jc w:val="both"/>
        <w:rPr>
          <w:rFonts w:asciiTheme="minorHAnsi" w:hAnsiTheme="minorHAnsi" w:cstheme="minorHAnsi"/>
          <w:i/>
          <w:lang w:val="sq-AL"/>
        </w:rPr>
      </w:pPr>
    </w:p>
    <w:p w:rsidR="004F04D3" w:rsidRDefault="004F04D3" w:rsidP="004F04D3">
      <w:pPr>
        <w:pStyle w:val="ListParagraph"/>
        <w:widowControl w:val="0"/>
        <w:spacing w:line="276" w:lineRule="auto"/>
        <w:ind w:left="540"/>
        <w:jc w:val="both"/>
        <w:rPr>
          <w:rFonts w:asciiTheme="minorHAnsi" w:hAnsiTheme="minorHAnsi" w:cstheme="minorHAnsi"/>
          <w:i/>
          <w:lang w:val="sq-AL"/>
        </w:rPr>
      </w:pPr>
    </w:p>
    <w:p w:rsidR="003575E0" w:rsidRPr="00C154C8" w:rsidRDefault="003575E0" w:rsidP="00C154C8">
      <w:pPr>
        <w:widowControl w:val="0"/>
        <w:spacing w:line="276" w:lineRule="auto"/>
        <w:jc w:val="both"/>
        <w:rPr>
          <w:rFonts w:asciiTheme="minorHAnsi" w:hAnsiTheme="minorHAnsi"/>
          <w:sz w:val="2"/>
          <w:lang w:val="sq-AL"/>
        </w:rPr>
      </w:pPr>
    </w:p>
    <w:p w:rsidR="00AE3C1B" w:rsidRPr="00BE627C" w:rsidRDefault="00AE3C1B" w:rsidP="00B95810">
      <w:pPr>
        <w:pStyle w:val="Heading1"/>
        <w:numPr>
          <w:ilvl w:val="0"/>
          <w:numId w:val="1"/>
        </w:numPr>
        <w:spacing w:after="240" w:line="276" w:lineRule="auto"/>
        <w:ind w:left="720"/>
        <w:rPr>
          <w:sz w:val="32"/>
          <w:u w:val="none"/>
        </w:rPr>
      </w:pPr>
      <w:bookmarkStart w:id="42" w:name="_Toc107496986"/>
      <w:r w:rsidRPr="00BE627C">
        <w:rPr>
          <w:sz w:val="32"/>
          <w:u w:val="none"/>
        </w:rPr>
        <w:lastRenderedPageBreak/>
        <w:t>BUXHETI I VITIT 20</w:t>
      </w:r>
      <w:r w:rsidR="00C23C7E" w:rsidRPr="00BE627C">
        <w:rPr>
          <w:sz w:val="32"/>
          <w:u w:val="none"/>
        </w:rPr>
        <w:t>2</w:t>
      </w:r>
      <w:r w:rsidR="00565BEB" w:rsidRPr="00BE627C">
        <w:rPr>
          <w:sz w:val="32"/>
          <w:u w:val="none"/>
        </w:rPr>
        <w:t>2</w:t>
      </w:r>
      <w:bookmarkEnd w:id="42"/>
      <w:r w:rsidR="00FD3DF0" w:rsidRPr="00BE627C">
        <w:rPr>
          <w:sz w:val="32"/>
          <w:u w:val="none"/>
        </w:rPr>
        <w:t xml:space="preserve"> </w:t>
      </w:r>
    </w:p>
    <w:p w:rsidR="00CE3733" w:rsidRPr="0065598A" w:rsidRDefault="009E4504" w:rsidP="002334F6">
      <w:pPr>
        <w:pStyle w:val="Heading2"/>
      </w:pPr>
      <w:bookmarkStart w:id="43" w:name="_Toc107496987"/>
      <w:r w:rsidRPr="0065598A">
        <w:t>I</w:t>
      </w:r>
      <w:r w:rsidR="00CB4875" w:rsidRPr="0065598A">
        <w:t>II</w:t>
      </w:r>
      <w:r w:rsidRPr="0065598A">
        <w:t>.</w:t>
      </w:r>
      <w:r w:rsidR="002C13CF" w:rsidRPr="0065598A">
        <w:t>1</w:t>
      </w:r>
      <w:r w:rsidRPr="0065598A">
        <w:tab/>
      </w:r>
      <w:r w:rsidR="002570C3" w:rsidRPr="0065598A">
        <w:t xml:space="preserve">Shpenzimet e </w:t>
      </w:r>
      <w:r w:rsidR="002570C3" w:rsidRPr="002334F6">
        <w:t>P</w:t>
      </w:r>
      <w:r w:rsidR="00F268DF" w:rsidRPr="002334F6">
        <w:t>ë</w:t>
      </w:r>
      <w:r w:rsidR="002570C3" w:rsidRPr="002334F6">
        <w:t>rgjithshme</w:t>
      </w:r>
      <w:r w:rsidR="005D6734" w:rsidRPr="0065598A">
        <w:t xml:space="preserve"> </w:t>
      </w:r>
      <w:r w:rsidR="00CB4875" w:rsidRPr="0065598A">
        <w:t xml:space="preserve">Buxhetore </w:t>
      </w:r>
      <w:r w:rsidR="005D6734" w:rsidRPr="0065598A">
        <w:t>gjat</w:t>
      </w:r>
      <w:r w:rsidR="006B2026" w:rsidRPr="0065598A">
        <w:t>ë</w:t>
      </w:r>
      <w:r w:rsidR="005D6734" w:rsidRPr="0065598A">
        <w:t xml:space="preserve"> periudh</w:t>
      </w:r>
      <w:r w:rsidR="006B2026" w:rsidRPr="0065598A">
        <w:t>ë</w:t>
      </w:r>
      <w:r w:rsidR="00BE627C">
        <w:t>s J</w:t>
      </w:r>
      <w:r w:rsidR="005D6734" w:rsidRPr="0065598A">
        <w:t>anar-</w:t>
      </w:r>
      <w:r w:rsidR="00BE627C">
        <w:t>M</w:t>
      </w:r>
      <w:r w:rsidR="005D6734" w:rsidRPr="0065598A">
        <w:t>aj 20</w:t>
      </w:r>
      <w:r w:rsidR="00C23C7E">
        <w:t>2</w:t>
      </w:r>
      <w:r w:rsidR="00565BEB">
        <w:t>2</w:t>
      </w:r>
      <w:bookmarkEnd w:id="43"/>
      <w:r w:rsidR="00FD3DF0">
        <w:t xml:space="preserve"> </w:t>
      </w:r>
    </w:p>
    <w:p w:rsidR="0099331E" w:rsidRPr="0065598A" w:rsidRDefault="0099331E" w:rsidP="0099331E">
      <w:pPr>
        <w:spacing w:line="360" w:lineRule="auto"/>
        <w:jc w:val="both"/>
        <w:rPr>
          <w:rFonts w:asciiTheme="minorHAnsi" w:eastAsia="SimSun" w:hAnsiTheme="minorHAnsi"/>
          <w:b/>
          <w:bCs/>
          <w:sz w:val="8"/>
          <w:szCs w:val="8"/>
          <w:lang w:val="sq-AL"/>
        </w:rPr>
      </w:pPr>
    </w:p>
    <w:p w:rsidR="001B65FA" w:rsidRDefault="001B65FA" w:rsidP="001B65FA">
      <w:pPr>
        <w:spacing w:line="276" w:lineRule="auto"/>
        <w:ind w:firstLine="720"/>
        <w:jc w:val="both"/>
        <w:rPr>
          <w:rFonts w:asciiTheme="minorHAnsi" w:eastAsia="SimSun" w:hAnsiTheme="minorHAnsi"/>
          <w:lang w:val="sq-AL"/>
        </w:rPr>
      </w:pPr>
      <w:r w:rsidRPr="0079565A">
        <w:rPr>
          <w:rFonts w:asciiTheme="minorHAnsi" w:eastAsia="SimSun" w:hAnsiTheme="minorHAnsi"/>
          <w:b/>
          <w:bCs/>
          <w:lang w:val="sq-AL"/>
        </w:rPr>
        <w:t>Shpenzimet e përgjithshme publike</w:t>
      </w:r>
      <w:r w:rsidRPr="0079565A">
        <w:rPr>
          <w:rFonts w:asciiTheme="minorHAnsi" w:eastAsia="SimSun" w:hAnsiTheme="minorHAnsi"/>
          <w:lang w:val="sq-AL"/>
        </w:rPr>
        <w:t xml:space="preserve"> </w:t>
      </w:r>
      <w:r w:rsidR="00BE627C" w:rsidRPr="00DC54C2">
        <w:rPr>
          <w:rFonts w:asciiTheme="minorHAnsi" w:eastAsia="SimSun" w:hAnsiTheme="minorHAnsi"/>
          <w:lang w:val="sq-AL"/>
        </w:rPr>
        <w:t>për periudhën 5 mujore të vitit 2022, arritën në rreth 213.4 miliard LEK me një realizim në masën 90.5 përqind të planit të periudhës ndërkohë që, krahasuar me të njëjtën periudhë të vitit 2021 ky zë ka rezultuar</w:t>
      </w:r>
      <w:r w:rsidR="00BE627C">
        <w:rPr>
          <w:rFonts w:asciiTheme="minorHAnsi" w:eastAsia="SimSun" w:hAnsiTheme="minorHAnsi"/>
          <w:lang w:val="sq-AL"/>
        </w:rPr>
        <w:t xml:space="preserve"> 0.6 përqind më i lartë ose</w:t>
      </w:r>
      <w:r w:rsidR="00BE627C" w:rsidRPr="00DC54C2">
        <w:rPr>
          <w:rFonts w:asciiTheme="minorHAnsi" w:eastAsia="SimSun" w:hAnsiTheme="minorHAnsi"/>
          <w:lang w:val="sq-AL"/>
        </w:rPr>
        <w:t xml:space="preserve"> </w:t>
      </w:r>
      <w:r w:rsidR="00BE627C">
        <w:rPr>
          <w:rFonts w:asciiTheme="minorHAnsi" w:eastAsia="SimSun" w:hAnsiTheme="minorHAnsi"/>
          <w:lang w:val="sq-AL"/>
        </w:rPr>
        <w:t xml:space="preserve">1.28 miliard LEK </w:t>
      </w:r>
      <w:r w:rsidR="00BE627C" w:rsidRPr="00DC54C2">
        <w:rPr>
          <w:rFonts w:asciiTheme="minorHAnsi" w:eastAsia="SimSun" w:hAnsiTheme="minorHAnsi"/>
          <w:lang w:val="sq-AL"/>
        </w:rPr>
        <w:t xml:space="preserve">më </w:t>
      </w:r>
      <w:r w:rsidR="00BE627C">
        <w:rPr>
          <w:rFonts w:asciiTheme="minorHAnsi" w:eastAsia="SimSun" w:hAnsiTheme="minorHAnsi"/>
          <w:lang w:val="sq-AL"/>
        </w:rPr>
        <w:t>shum</w:t>
      </w:r>
      <w:r w:rsidR="00BE627C" w:rsidRPr="00DC54C2">
        <w:rPr>
          <w:rFonts w:asciiTheme="minorHAnsi" w:eastAsia="SimSun" w:hAnsiTheme="minorHAnsi"/>
          <w:lang w:val="sq-AL"/>
        </w:rPr>
        <w:t>ë. Në terma vjetor, shpenzimet e përgjithshme për 5 mujorin 2022 u realizuan në masën 33.5 përqind të planit vjetor sipas Buxhetit Fillestar dhe 33 përqind të planit vjetor</w:t>
      </w:r>
      <w:r w:rsidR="00BE627C">
        <w:rPr>
          <w:rFonts w:asciiTheme="minorHAnsi" w:eastAsia="SimSun" w:hAnsiTheme="minorHAnsi"/>
          <w:lang w:val="sq-AL"/>
        </w:rPr>
        <w:t xml:space="preserve"> të ndryshuar</w:t>
      </w:r>
      <w:r w:rsidR="00BE627C" w:rsidRPr="00DC54C2">
        <w:rPr>
          <w:rFonts w:asciiTheme="minorHAnsi" w:eastAsia="SimSun" w:hAnsiTheme="minorHAnsi"/>
          <w:lang w:val="sq-AL"/>
        </w:rPr>
        <w:t xml:space="preserve"> </w:t>
      </w:r>
      <w:r w:rsidR="00BE627C">
        <w:rPr>
          <w:rFonts w:asciiTheme="minorHAnsi" w:eastAsia="SimSun" w:hAnsiTheme="minorHAnsi"/>
          <w:lang w:val="sq-AL"/>
        </w:rPr>
        <w:t xml:space="preserve">sipas </w:t>
      </w:r>
      <w:r w:rsidR="00BE627C" w:rsidRPr="00DC54C2">
        <w:rPr>
          <w:rFonts w:asciiTheme="minorHAnsi" w:eastAsia="SimSun" w:hAnsiTheme="minorHAnsi"/>
          <w:lang w:val="sq-AL"/>
        </w:rPr>
        <w:t>Akti</w:t>
      </w:r>
      <w:r w:rsidR="00BE627C">
        <w:rPr>
          <w:rFonts w:asciiTheme="minorHAnsi" w:eastAsia="SimSun" w:hAnsiTheme="minorHAnsi"/>
          <w:lang w:val="sq-AL"/>
        </w:rPr>
        <w:t>n</w:t>
      </w:r>
      <w:r w:rsidR="00BE627C" w:rsidRPr="00DC54C2">
        <w:rPr>
          <w:rFonts w:asciiTheme="minorHAnsi" w:eastAsia="SimSun" w:hAnsiTheme="minorHAnsi"/>
          <w:lang w:val="sq-AL"/>
        </w:rPr>
        <w:t xml:space="preserve"> Normativ nr.3 datë 12.03.2022 (AN nr.3</w:t>
      </w:r>
      <w:r w:rsidR="00BE627C">
        <w:rPr>
          <w:rFonts w:asciiTheme="minorHAnsi" w:eastAsia="SimSun" w:hAnsiTheme="minorHAnsi"/>
          <w:lang w:val="sq-AL"/>
        </w:rPr>
        <w:t>/2022</w:t>
      </w:r>
      <w:r w:rsidR="00BE627C" w:rsidRPr="00DC54C2">
        <w:rPr>
          <w:rFonts w:asciiTheme="minorHAnsi" w:eastAsia="SimSun" w:hAnsiTheme="minorHAnsi"/>
          <w:lang w:val="sq-AL"/>
        </w:rPr>
        <w:t>)</w:t>
      </w:r>
      <w:r w:rsidRPr="0079565A">
        <w:rPr>
          <w:rFonts w:asciiTheme="minorHAnsi" w:eastAsia="SimSun" w:hAnsiTheme="minorHAnsi"/>
          <w:lang w:val="sq-AL"/>
        </w:rPr>
        <w:t>.</w:t>
      </w:r>
    </w:p>
    <w:p w:rsidR="001B65FA" w:rsidRPr="00F01315" w:rsidRDefault="001B65FA" w:rsidP="001B65FA">
      <w:pPr>
        <w:spacing w:line="276" w:lineRule="auto"/>
        <w:ind w:firstLine="720"/>
        <w:jc w:val="both"/>
        <w:rPr>
          <w:rFonts w:asciiTheme="minorHAnsi" w:eastAsia="SimSun" w:hAnsiTheme="minorHAnsi"/>
          <w:sz w:val="12"/>
          <w:lang w:val="sq-AL"/>
        </w:rPr>
      </w:pPr>
    </w:p>
    <w:p w:rsidR="001B65FA" w:rsidRPr="000B77A5" w:rsidRDefault="001D7392" w:rsidP="001D7392">
      <w:pPr>
        <w:pStyle w:val="Caption"/>
        <w:rPr>
          <w:rFonts w:asciiTheme="minorHAnsi" w:hAnsiTheme="minorHAnsi"/>
          <w:b w:val="0"/>
          <w:bCs w:val="0"/>
          <w:i/>
          <w:color w:val="auto"/>
          <w:sz w:val="22"/>
          <w:szCs w:val="24"/>
          <w:lang w:val="sq-AL"/>
        </w:rPr>
      </w:pPr>
      <w:bookmarkStart w:id="44" w:name="_Toc107496743"/>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7</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BE627C">
        <w:rPr>
          <w:rFonts w:asciiTheme="minorHAnsi" w:hAnsiTheme="minorHAnsi"/>
          <w:b w:val="0"/>
          <w:bCs w:val="0"/>
          <w:i/>
          <w:color w:val="auto"/>
          <w:sz w:val="22"/>
          <w:szCs w:val="24"/>
          <w:lang w:val="sq-AL"/>
        </w:rPr>
        <w:t>2</w:t>
      </w:r>
      <w:r w:rsidR="001B65FA" w:rsidRPr="000B77A5">
        <w:rPr>
          <w:rFonts w:asciiTheme="minorHAnsi" w:hAnsiTheme="minorHAnsi"/>
          <w:b w:val="0"/>
          <w:bCs w:val="0"/>
          <w:i/>
          <w:color w:val="auto"/>
          <w:sz w:val="22"/>
          <w:szCs w:val="24"/>
          <w:lang w:val="sq-AL"/>
        </w:rPr>
        <w:t xml:space="preserve"> (në milion LEK)</w:t>
      </w:r>
      <w:bookmarkEnd w:id="44"/>
    </w:p>
    <w:p w:rsidR="001B65FA" w:rsidRPr="0065598A" w:rsidRDefault="00BE627C" w:rsidP="00BE627C">
      <w:pPr>
        <w:spacing w:line="276" w:lineRule="auto"/>
        <w:jc w:val="center"/>
        <w:rPr>
          <w:rFonts w:asciiTheme="minorHAnsi" w:eastAsia="SimSun" w:hAnsiTheme="minorHAnsi"/>
          <w:i/>
          <w:lang w:val="sq-AL"/>
        </w:rPr>
      </w:pPr>
      <w:r w:rsidRPr="00ED173A">
        <w:rPr>
          <w:rFonts w:eastAsia="SimSun"/>
          <w:noProof/>
        </w:rPr>
        <w:drawing>
          <wp:inline distT="0" distB="0" distL="0" distR="0" wp14:anchorId="00293105" wp14:editId="474A3833">
            <wp:extent cx="6114993" cy="1480782"/>
            <wp:effectExtent l="0" t="0" r="635"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5420" cy="1488150"/>
                    </a:xfrm>
                    <a:prstGeom prst="rect">
                      <a:avLst/>
                    </a:prstGeom>
                    <a:noFill/>
                    <a:ln>
                      <a:noFill/>
                    </a:ln>
                  </pic:spPr>
                </pic:pic>
              </a:graphicData>
            </a:graphic>
          </wp:inline>
        </w:drawing>
      </w:r>
    </w:p>
    <w:p w:rsidR="001B65FA" w:rsidRDefault="00FD3343"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p>
    <w:p w:rsidR="001B65FA" w:rsidRPr="0065598A" w:rsidRDefault="001B65FA" w:rsidP="001B65FA">
      <w:pPr>
        <w:spacing w:line="276" w:lineRule="auto"/>
        <w:ind w:firstLine="450"/>
        <w:rPr>
          <w:rFonts w:asciiTheme="minorHAnsi" w:eastAsia="SimSun" w:hAnsiTheme="minorHAnsi"/>
          <w:i/>
          <w:sz w:val="20"/>
          <w:lang w:val="sq-AL"/>
        </w:rPr>
      </w:pPr>
    </w:p>
    <w:p w:rsidR="001B65FA" w:rsidRPr="000B77A5" w:rsidRDefault="001D7392" w:rsidP="001D7392">
      <w:pPr>
        <w:pStyle w:val="Caption"/>
        <w:rPr>
          <w:rFonts w:asciiTheme="minorHAnsi" w:hAnsiTheme="minorHAnsi"/>
          <w:b w:val="0"/>
          <w:bCs w:val="0"/>
          <w:i/>
          <w:color w:val="auto"/>
          <w:sz w:val="22"/>
          <w:szCs w:val="24"/>
          <w:lang w:val="sq-AL"/>
        </w:rPr>
      </w:pPr>
      <w:bookmarkStart w:id="45" w:name="_Toc107496744"/>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8</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BE627C">
        <w:rPr>
          <w:rFonts w:asciiTheme="minorHAnsi" w:hAnsiTheme="minorHAnsi"/>
          <w:b w:val="0"/>
          <w:bCs w:val="0"/>
          <w:i/>
          <w:color w:val="auto"/>
          <w:sz w:val="22"/>
          <w:szCs w:val="24"/>
          <w:lang w:val="sq-AL"/>
        </w:rPr>
        <w:t>1</w:t>
      </w:r>
      <w:r w:rsidR="001B65FA" w:rsidRPr="000B77A5">
        <w:rPr>
          <w:rFonts w:asciiTheme="minorHAnsi" w:hAnsiTheme="minorHAnsi"/>
          <w:b w:val="0"/>
          <w:bCs w:val="0"/>
          <w:i/>
          <w:color w:val="auto"/>
          <w:sz w:val="22"/>
          <w:szCs w:val="24"/>
          <w:lang w:val="sq-AL"/>
        </w:rPr>
        <w:t xml:space="preserve"> dhe 202</w:t>
      </w:r>
      <w:r w:rsidR="00BE627C">
        <w:rPr>
          <w:rFonts w:asciiTheme="minorHAnsi" w:hAnsiTheme="minorHAnsi"/>
          <w:b w:val="0"/>
          <w:bCs w:val="0"/>
          <w:i/>
          <w:color w:val="auto"/>
          <w:sz w:val="22"/>
          <w:szCs w:val="24"/>
          <w:lang w:val="sq-AL"/>
        </w:rPr>
        <w:t>2</w:t>
      </w:r>
      <w:r w:rsidR="001B65FA" w:rsidRPr="000B77A5">
        <w:rPr>
          <w:rFonts w:asciiTheme="minorHAnsi" w:hAnsiTheme="minorHAnsi"/>
          <w:b w:val="0"/>
          <w:bCs w:val="0"/>
          <w:i/>
          <w:color w:val="auto"/>
          <w:sz w:val="22"/>
          <w:szCs w:val="24"/>
          <w:lang w:val="sq-AL"/>
        </w:rPr>
        <w:t xml:space="preserve"> (në milion LEK)</w:t>
      </w:r>
      <w:bookmarkEnd w:id="45"/>
    </w:p>
    <w:p w:rsidR="001B65FA" w:rsidRPr="0065598A" w:rsidRDefault="00BE627C" w:rsidP="001B65FA">
      <w:pPr>
        <w:spacing w:line="276" w:lineRule="auto"/>
        <w:ind w:right="360"/>
        <w:jc w:val="center"/>
        <w:rPr>
          <w:rFonts w:asciiTheme="minorHAnsi" w:eastAsia="SimSun" w:hAnsiTheme="minorHAnsi"/>
          <w:i/>
          <w:lang w:val="sq-AL"/>
        </w:rPr>
      </w:pPr>
      <w:r w:rsidRPr="00E6635B">
        <w:rPr>
          <w:rFonts w:eastAsia="SimSun"/>
          <w:noProof/>
        </w:rPr>
        <w:drawing>
          <wp:inline distT="0" distB="0" distL="0" distR="0" wp14:anchorId="055ADCE4" wp14:editId="09D8C8F5">
            <wp:extent cx="6115050" cy="126185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1261855"/>
                    </a:xfrm>
                    <a:prstGeom prst="rect">
                      <a:avLst/>
                    </a:prstGeom>
                    <a:noFill/>
                    <a:ln>
                      <a:noFill/>
                    </a:ln>
                  </pic:spPr>
                </pic:pic>
              </a:graphicData>
            </a:graphic>
          </wp:inline>
        </w:drawing>
      </w:r>
    </w:p>
    <w:p w:rsidR="001B65FA" w:rsidRDefault="00FD3343"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p>
    <w:p w:rsidR="001B65FA" w:rsidRPr="00F720EE" w:rsidRDefault="001B65FA" w:rsidP="001B65FA">
      <w:pPr>
        <w:spacing w:line="276" w:lineRule="auto"/>
        <w:jc w:val="both"/>
        <w:rPr>
          <w:rFonts w:asciiTheme="minorHAnsi" w:hAnsiTheme="minorHAnsi"/>
          <w:sz w:val="8"/>
          <w:szCs w:val="8"/>
          <w:lang w:val="sq-AL"/>
        </w:rPr>
      </w:pPr>
    </w:p>
    <w:p w:rsidR="001D7392" w:rsidRDefault="001D7392" w:rsidP="001D7392">
      <w:pPr>
        <w:pStyle w:val="Caption"/>
        <w:keepNext/>
        <w:spacing w:after="0"/>
        <w:jc w:val="both"/>
      </w:pPr>
    </w:p>
    <w:p w:rsidR="001B65FA" w:rsidRPr="001D7392" w:rsidRDefault="001D7392" w:rsidP="001D7392">
      <w:pPr>
        <w:pStyle w:val="Caption"/>
        <w:jc w:val="both"/>
      </w:pPr>
      <w:bookmarkStart w:id="46" w:name="_Toc107498102"/>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11</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Shpenzimet e përgjithshme dhe ritmi i rritjes së tyre (në miliardë LEK)</w:t>
      </w:r>
      <w:bookmarkEnd w:id="46"/>
      <w:r w:rsidR="001B65FA" w:rsidRPr="000B77A5">
        <w:rPr>
          <w:rFonts w:asciiTheme="minorHAnsi" w:hAnsiTheme="minorHAnsi"/>
          <w:b w:val="0"/>
          <w:bCs w:val="0"/>
          <w:i/>
          <w:color w:val="auto"/>
          <w:sz w:val="22"/>
          <w:szCs w:val="24"/>
          <w:lang w:val="sq-AL"/>
        </w:rPr>
        <w:t xml:space="preserve"> </w:t>
      </w:r>
    </w:p>
    <w:p w:rsidR="001B65FA" w:rsidRPr="0065598A" w:rsidRDefault="00BE627C" w:rsidP="001B65FA">
      <w:pPr>
        <w:jc w:val="center"/>
        <w:rPr>
          <w:rFonts w:asciiTheme="minorHAnsi" w:eastAsia="SimSun" w:hAnsiTheme="minorHAnsi"/>
          <w:i/>
          <w:lang w:val="sq-AL"/>
        </w:rPr>
      </w:pPr>
      <w:r w:rsidRPr="0003422C">
        <w:rPr>
          <w:rFonts w:asciiTheme="minorHAnsi" w:eastAsia="SimSun" w:hAnsiTheme="minorHAnsi"/>
          <w:i/>
          <w:noProof/>
        </w:rPr>
        <w:drawing>
          <wp:inline distT="0" distB="0" distL="0" distR="0" wp14:anchorId="5CA22656" wp14:editId="53A58815">
            <wp:extent cx="5391150" cy="25222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728" cy="2526701"/>
                    </a:xfrm>
                    <a:prstGeom prst="rect">
                      <a:avLst/>
                    </a:prstGeom>
                    <a:noFill/>
                  </pic:spPr>
                </pic:pic>
              </a:graphicData>
            </a:graphic>
          </wp:inline>
        </w:drawing>
      </w:r>
    </w:p>
    <w:p w:rsidR="00BE627C" w:rsidRPr="001D7392" w:rsidRDefault="00FD3343" w:rsidP="001D7392">
      <w:pPr>
        <w:spacing w:line="276" w:lineRule="auto"/>
        <w:ind w:firstLine="540"/>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r w:rsidR="001B65FA" w:rsidRPr="0065598A">
        <w:rPr>
          <w:rFonts w:asciiTheme="minorHAnsi" w:eastAsia="SimSun" w:hAnsiTheme="minorHAnsi"/>
          <w:i/>
          <w:sz w:val="20"/>
          <w:lang w:val="sq-AL"/>
        </w:rPr>
        <w:t xml:space="preserve"> </w:t>
      </w:r>
    </w:p>
    <w:p w:rsidR="00BE627C" w:rsidRPr="002918B1" w:rsidRDefault="001B65FA" w:rsidP="00BE627C">
      <w:pPr>
        <w:spacing w:line="276" w:lineRule="auto"/>
        <w:jc w:val="both"/>
        <w:rPr>
          <w:rFonts w:asciiTheme="minorHAnsi" w:hAnsiTheme="minorHAnsi"/>
          <w:lang w:val="sq-AL"/>
        </w:rPr>
      </w:pPr>
      <w:r w:rsidRPr="000C5F93">
        <w:rPr>
          <w:rFonts w:asciiTheme="minorHAnsi" w:hAnsiTheme="minorHAnsi"/>
          <w:i/>
          <w:lang w:val="sq-AL"/>
        </w:rPr>
        <w:lastRenderedPageBreak/>
        <w:t>Shpenzimet korente dhe ato kapitale</w:t>
      </w:r>
      <w:r w:rsidRPr="000C5F93">
        <w:rPr>
          <w:rFonts w:asciiTheme="minorHAnsi" w:eastAsia="SimSun" w:hAnsiTheme="minorHAnsi"/>
          <w:lang w:val="sq-AL"/>
        </w:rPr>
        <w:t xml:space="preserve"> </w:t>
      </w:r>
      <w:r w:rsidR="00BE627C" w:rsidRPr="002918B1">
        <w:rPr>
          <w:rFonts w:asciiTheme="minorHAnsi" w:hAnsiTheme="minorHAnsi"/>
          <w:lang w:val="sq-AL"/>
        </w:rPr>
        <w:t>për periudhën 5 mujore, kanë shënuar një realizim respektivisht në masën 96.7 përqind dhe 79.4 përqind të planit të periudhës. Ndërkohë që, në terma vjetorë ato janë realizuar përkatësisht në: 36.1 përqind dhe 18.6 përqind të planit vjetor sipas Buxhetit fillestar dhe 36.5 përqind dhe 20.3 përqind të planit vjetor të ndryshuar me AN nr.3</w:t>
      </w:r>
      <w:r w:rsidR="00BE627C">
        <w:rPr>
          <w:rFonts w:asciiTheme="minorHAnsi" w:hAnsiTheme="minorHAnsi"/>
          <w:lang w:val="sq-AL"/>
        </w:rPr>
        <w:t>/2022</w:t>
      </w:r>
      <w:r w:rsidR="00BE627C" w:rsidRPr="002918B1">
        <w:rPr>
          <w:rFonts w:asciiTheme="minorHAnsi" w:hAnsiTheme="minorHAnsi"/>
          <w:lang w:val="sq-AL"/>
        </w:rPr>
        <w:t>.</w:t>
      </w:r>
    </w:p>
    <w:p w:rsidR="00BE627C" w:rsidRPr="00BE627C" w:rsidRDefault="00BE627C" w:rsidP="00BE627C">
      <w:pPr>
        <w:spacing w:line="276" w:lineRule="auto"/>
        <w:jc w:val="both"/>
        <w:rPr>
          <w:rFonts w:asciiTheme="minorHAnsi" w:eastAsia="SimSun" w:hAnsiTheme="minorHAnsi"/>
          <w:i/>
          <w:sz w:val="8"/>
          <w:szCs w:val="8"/>
          <w:lang w:val="sq-AL"/>
        </w:rPr>
      </w:pPr>
    </w:p>
    <w:p w:rsidR="00BE627C" w:rsidRPr="00DA4B1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korente</w:t>
      </w:r>
      <w:r w:rsidRPr="00DA4B1A">
        <w:rPr>
          <w:rFonts w:asciiTheme="minorHAnsi" w:eastAsia="SimSun" w:hAnsiTheme="minorHAnsi"/>
          <w:lang w:val="sq-AL"/>
        </w:rPr>
        <w:t xml:space="preserve"> për periudhën 5 mujore të vitit 2022 rezultuan në rreth 183.3 miliard LEK, ndërsa krahasuar me të njëjtën periudhë të një viti më parë ky zë ka rezultuar 4.6 përqind më i lartë ose rreth 8 miliard LEK më shumë. </w:t>
      </w:r>
    </w:p>
    <w:p w:rsidR="00BE627C" w:rsidRPr="00BE627C" w:rsidRDefault="00BE627C" w:rsidP="00BE627C">
      <w:pPr>
        <w:spacing w:line="276" w:lineRule="auto"/>
        <w:jc w:val="both"/>
        <w:rPr>
          <w:rFonts w:asciiTheme="minorHAnsi" w:eastAsia="SimSun" w:hAnsiTheme="minorHAnsi"/>
          <w:i/>
          <w:sz w:val="8"/>
          <w:szCs w:val="8"/>
          <w:lang w:val="sq-AL"/>
        </w:rPr>
      </w:pPr>
    </w:p>
    <w:p w:rsidR="001B65F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kapitale</w:t>
      </w:r>
      <w:r w:rsidRPr="00DA4B1A">
        <w:rPr>
          <w:rFonts w:asciiTheme="minorHAnsi" w:eastAsia="SimSun" w:hAnsiTheme="minorHAnsi"/>
          <w:lang w:val="sq-AL"/>
        </w:rPr>
        <w:t xml:space="preserve"> për periudhën 5 mujore të vitit 2022 paraqesin një realizim në masën rreth 22.27 miliard LEK. Krahasuar me të njëjtën periudhë të vitit 2021, ky zë është 39.2 përqind më i ulët ose rreth 14.35 miliard LEK më pak</w:t>
      </w:r>
      <w:r w:rsidR="001B65FA" w:rsidRPr="000C5F93">
        <w:rPr>
          <w:rFonts w:asciiTheme="minorHAnsi" w:eastAsia="SimSun" w:hAnsiTheme="minorHAnsi"/>
          <w:lang w:val="sq-AL"/>
        </w:rPr>
        <w:t>.</w:t>
      </w:r>
    </w:p>
    <w:p w:rsidR="001B65FA" w:rsidRDefault="001B65FA" w:rsidP="001B65FA">
      <w:pPr>
        <w:spacing w:line="276" w:lineRule="auto"/>
        <w:jc w:val="both"/>
        <w:rPr>
          <w:rFonts w:asciiTheme="minorHAnsi" w:eastAsia="SimSun" w:hAnsiTheme="minorHAnsi"/>
          <w:sz w:val="8"/>
          <w:lang w:val="sq-AL"/>
        </w:rPr>
      </w:pPr>
    </w:p>
    <w:p w:rsidR="001B65FA" w:rsidRPr="000B77A5" w:rsidRDefault="001D7392" w:rsidP="001D7392">
      <w:pPr>
        <w:pStyle w:val="Caption"/>
        <w:rPr>
          <w:rFonts w:asciiTheme="minorHAnsi" w:eastAsia="SimSun" w:hAnsiTheme="minorHAnsi"/>
          <w:b w:val="0"/>
          <w:bCs w:val="0"/>
          <w:i/>
          <w:color w:val="auto"/>
          <w:sz w:val="22"/>
          <w:szCs w:val="24"/>
          <w:lang w:val="sq-AL"/>
        </w:rPr>
      </w:pPr>
      <w:bookmarkStart w:id="47" w:name="_Toc107498103"/>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3B2B9B">
        <w:rPr>
          <w:rFonts w:asciiTheme="minorHAnsi" w:eastAsia="SimSun" w:hAnsiTheme="minorHAnsi"/>
          <w:b w:val="0"/>
          <w:bCs w:val="0"/>
          <w:i/>
          <w:noProof/>
          <w:color w:val="auto"/>
          <w:sz w:val="22"/>
          <w:szCs w:val="24"/>
          <w:lang w:val="sq-AL"/>
        </w:rPr>
        <w:t>12</w:t>
      </w:r>
      <w:r w:rsidRPr="001D7392">
        <w:rPr>
          <w:rFonts w:asciiTheme="minorHAnsi" w:eastAsia="SimSun" w:hAnsiTheme="minorHAnsi"/>
          <w:b w:val="0"/>
          <w:bCs w:val="0"/>
          <w:i/>
          <w:color w:val="auto"/>
          <w:sz w:val="22"/>
          <w:szCs w:val="24"/>
          <w:lang w:val="sq-AL"/>
        </w:rPr>
        <w:fldChar w:fldCharType="end"/>
      </w:r>
      <w:r w:rsidR="001B65FA" w:rsidRPr="000B77A5">
        <w:rPr>
          <w:rFonts w:asciiTheme="minorHAnsi" w:eastAsia="SimSun" w:hAnsiTheme="minorHAnsi"/>
          <w:b w:val="0"/>
          <w:bCs w:val="0"/>
          <w:i/>
          <w:color w:val="auto"/>
          <w:sz w:val="22"/>
          <w:szCs w:val="24"/>
          <w:lang w:val="sq-AL"/>
        </w:rPr>
        <w:t>: Shpenzimet korente dhe kapitale Plan vs Fakt (në miliard LEK)</w:t>
      </w:r>
      <w:bookmarkEnd w:id="47"/>
    </w:p>
    <w:p w:rsidR="001B65FA" w:rsidRPr="003F7DB9" w:rsidRDefault="00BE627C" w:rsidP="001B65FA">
      <w:pPr>
        <w:jc w:val="center"/>
        <w:rPr>
          <w:rFonts w:asciiTheme="minorHAnsi" w:eastAsia="SimSun" w:hAnsiTheme="minorHAnsi"/>
          <w:lang w:val="sq-AL"/>
        </w:rPr>
      </w:pPr>
      <w:r w:rsidRPr="0003422C">
        <w:rPr>
          <w:rFonts w:asciiTheme="minorHAnsi" w:eastAsia="SimSun" w:hAnsiTheme="minorHAnsi"/>
          <w:noProof/>
        </w:rPr>
        <w:drawing>
          <wp:inline distT="0" distB="0" distL="0" distR="0" wp14:anchorId="10627B7A" wp14:editId="2D27B5BD">
            <wp:extent cx="5646299" cy="2529840"/>
            <wp:effectExtent l="38100" t="38100" r="88265" b="990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352" cy="2537033"/>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3F7DB9" w:rsidRDefault="000B77A5" w:rsidP="001B65FA">
      <w:pPr>
        <w:spacing w:line="276" w:lineRule="auto"/>
        <w:jc w:val="both"/>
        <w:rPr>
          <w:rFonts w:asciiTheme="minorHAnsi" w:eastAsia="SimSun" w:hAnsiTheme="minorHAnsi"/>
          <w:i/>
          <w:sz w:val="20"/>
          <w:lang w:val="sq-AL"/>
        </w:rPr>
      </w:pPr>
      <w:r>
        <w:rPr>
          <w:rFonts w:asciiTheme="minorHAnsi" w:eastAsia="SimSun" w:hAnsiTheme="minorHAnsi"/>
          <w:i/>
          <w:sz w:val="20"/>
          <w:lang w:val="sq-AL"/>
        </w:rPr>
        <w:t xml:space="preserve">        </w:t>
      </w:r>
      <w:r w:rsidR="00FD3343">
        <w:rPr>
          <w:rFonts w:asciiTheme="minorHAnsi" w:eastAsia="SimSun" w:hAnsiTheme="minorHAnsi"/>
          <w:i/>
          <w:sz w:val="20"/>
          <w:lang w:val="sq-AL"/>
        </w:rPr>
        <w:t>Burimi: Ministria e Financave dhe Ekonomisë (2022)</w:t>
      </w:r>
    </w:p>
    <w:p w:rsidR="000B77A5" w:rsidRDefault="000B77A5" w:rsidP="001B65FA">
      <w:pPr>
        <w:rPr>
          <w:rFonts w:asciiTheme="minorHAnsi" w:hAnsiTheme="minorHAnsi"/>
          <w:i/>
          <w:sz w:val="16"/>
          <w:lang w:val="sq-AL"/>
        </w:rPr>
      </w:pPr>
    </w:p>
    <w:p w:rsidR="000B77A5" w:rsidRPr="007F224E" w:rsidRDefault="000B77A5" w:rsidP="001B65FA">
      <w:pPr>
        <w:rPr>
          <w:rFonts w:asciiTheme="minorHAnsi" w:hAnsiTheme="minorHAnsi"/>
          <w:i/>
          <w:sz w:val="16"/>
          <w:lang w:val="sq-AL"/>
        </w:rPr>
      </w:pPr>
    </w:p>
    <w:p w:rsidR="001B65FA" w:rsidRPr="001D7392" w:rsidRDefault="001D7392" w:rsidP="001D7392">
      <w:pPr>
        <w:pStyle w:val="Caption"/>
        <w:rPr>
          <w:rFonts w:asciiTheme="minorHAnsi" w:eastAsia="SimSun" w:hAnsiTheme="minorHAnsi"/>
          <w:b w:val="0"/>
          <w:bCs w:val="0"/>
          <w:i/>
          <w:color w:val="auto"/>
          <w:sz w:val="22"/>
          <w:szCs w:val="24"/>
          <w:lang w:val="sq-AL"/>
        </w:rPr>
      </w:pPr>
      <w:bookmarkStart w:id="48" w:name="_Toc107498104"/>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3B2B9B">
        <w:rPr>
          <w:rFonts w:asciiTheme="minorHAnsi" w:eastAsia="SimSun" w:hAnsiTheme="minorHAnsi"/>
          <w:b w:val="0"/>
          <w:bCs w:val="0"/>
          <w:i/>
          <w:noProof/>
          <w:color w:val="auto"/>
          <w:sz w:val="22"/>
          <w:szCs w:val="24"/>
          <w:lang w:val="sq-AL"/>
        </w:rPr>
        <w:t>13</w:t>
      </w:r>
      <w:r w:rsidRPr="001D7392">
        <w:rPr>
          <w:rFonts w:asciiTheme="minorHAnsi" w:eastAsia="SimSun" w:hAnsiTheme="minorHAnsi"/>
          <w:b w:val="0"/>
          <w:bCs w:val="0"/>
          <w:i/>
          <w:color w:val="auto"/>
          <w:sz w:val="22"/>
          <w:szCs w:val="24"/>
          <w:lang w:val="sq-AL"/>
        </w:rPr>
        <w:fldChar w:fldCharType="end"/>
      </w:r>
      <w:r w:rsidR="001B65FA" w:rsidRPr="001D7392">
        <w:rPr>
          <w:rFonts w:asciiTheme="minorHAnsi" w:eastAsia="SimSun" w:hAnsiTheme="minorHAnsi"/>
          <w:b w:val="0"/>
          <w:bCs w:val="0"/>
          <w:i/>
          <w:color w:val="auto"/>
          <w:sz w:val="22"/>
          <w:szCs w:val="24"/>
          <w:lang w:val="sq-AL"/>
        </w:rPr>
        <w:t>: Struktura e shpenzimeve të përgjithshme, për periudhën 5 mujore 202</w:t>
      </w:r>
      <w:r w:rsidR="00BE627C" w:rsidRPr="001D7392">
        <w:rPr>
          <w:rFonts w:asciiTheme="minorHAnsi" w:eastAsia="SimSun" w:hAnsiTheme="minorHAnsi"/>
          <w:b w:val="0"/>
          <w:bCs w:val="0"/>
          <w:i/>
          <w:color w:val="auto"/>
          <w:sz w:val="22"/>
          <w:szCs w:val="24"/>
          <w:lang w:val="sq-AL"/>
        </w:rPr>
        <w:t>2</w:t>
      </w:r>
      <w:bookmarkEnd w:id="48"/>
    </w:p>
    <w:p w:rsidR="001B65FA" w:rsidRPr="0065598A" w:rsidRDefault="00BE627C" w:rsidP="001B65FA">
      <w:pPr>
        <w:jc w:val="center"/>
        <w:rPr>
          <w:rFonts w:asciiTheme="minorHAnsi" w:eastAsia="SimSun" w:hAnsiTheme="minorHAnsi"/>
          <w:b/>
          <w:lang w:val="sq-AL"/>
        </w:rPr>
      </w:pPr>
      <w:r w:rsidRPr="0094710E">
        <w:rPr>
          <w:rFonts w:asciiTheme="minorHAnsi" w:eastAsia="SimSun" w:hAnsiTheme="minorHAnsi"/>
          <w:b/>
          <w:noProof/>
        </w:rPr>
        <w:drawing>
          <wp:inline distT="0" distB="0" distL="0" distR="0" wp14:anchorId="6773D2E6" wp14:editId="616EA715">
            <wp:extent cx="5715544" cy="2811780"/>
            <wp:effectExtent l="38100" t="38100" r="95250" b="1028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27" cy="2826825"/>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 xml:space="preserve"> </w:t>
      </w:r>
      <w:r w:rsidR="00FD3343">
        <w:rPr>
          <w:rFonts w:asciiTheme="minorHAnsi" w:eastAsia="SimSun" w:hAnsiTheme="minorHAnsi"/>
          <w:i/>
          <w:sz w:val="20"/>
          <w:lang w:val="sq-AL"/>
        </w:rPr>
        <w:t>Burimi: Ministria e Financave dhe Ekonomisë (2022)</w:t>
      </w:r>
      <w:r w:rsidRPr="0065598A">
        <w:rPr>
          <w:rFonts w:asciiTheme="minorHAnsi" w:eastAsia="SimSun" w:hAnsiTheme="minorHAnsi"/>
          <w:i/>
          <w:sz w:val="20"/>
          <w:lang w:val="sq-AL"/>
        </w:rPr>
        <w:t xml:space="preserve"> </w:t>
      </w:r>
    </w:p>
    <w:p w:rsidR="00BE627C" w:rsidRPr="00F16E46" w:rsidRDefault="001B65FA" w:rsidP="00BE627C">
      <w:pPr>
        <w:spacing w:line="276" w:lineRule="auto"/>
        <w:jc w:val="both"/>
        <w:rPr>
          <w:rFonts w:asciiTheme="minorHAnsi" w:eastAsia="SimSun" w:hAnsiTheme="minorHAnsi"/>
          <w:lang w:val="sq-AL"/>
        </w:rPr>
      </w:pPr>
      <w:r w:rsidRPr="00E74AAC">
        <w:rPr>
          <w:rFonts w:asciiTheme="minorHAnsi" w:eastAsia="SimSun" w:hAnsiTheme="minorHAnsi"/>
          <w:b/>
          <w:lang w:val="sq-AL"/>
        </w:rPr>
        <w:lastRenderedPageBreak/>
        <w:t>Shpenzimet korente</w:t>
      </w:r>
      <w:r w:rsidRPr="00E74AAC">
        <w:rPr>
          <w:rFonts w:asciiTheme="minorHAnsi" w:eastAsia="SimSun" w:hAnsiTheme="minorHAnsi"/>
          <w:lang w:val="sq-AL"/>
        </w:rPr>
        <w:t xml:space="preserve"> </w:t>
      </w:r>
      <w:r w:rsidR="00BE627C" w:rsidRPr="00E74AAC">
        <w:rPr>
          <w:rFonts w:asciiTheme="minorHAnsi" w:eastAsia="SimSun" w:hAnsiTheme="minorHAnsi"/>
          <w:lang w:val="sq-AL"/>
        </w:rPr>
        <w:t>në raport me planin 5 mujor të këtij viti, paraqesin një realizim prej 96.7</w:t>
      </w:r>
      <w:r w:rsidR="00BE627C" w:rsidRPr="00F16E46">
        <w:rPr>
          <w:rFonts w:asciiTheme="minorHAnsi" w:eastAsia="SimSun" w:hAnsiTheme="minorHAnsi"/>
          <w:lang w:val="sq-AL"/>
        </w:rPr>
        <w:t xml:space="preserve"> përqind, duke rezultuar në rreth 183.3 miliard LEK. Zërat kryesorë që ndikuan në nivelin e realizimit të shpenzimeve korente kundrejt planit 5 mujor janë përkatësisht: </w:t>
      </w:r>
    </w:p>
    <w:p w:rsidR="00BE627C" w:rsidRPr="00F16E46" w:rsidRDefault="00BE627C" w:rsidP="00BE627C">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shpenzimet për subv</w:t>
      </w:r>
      <w:r>
        <w:rPr>
          <w:rFonts w:asciiTheme="minorHAnsi" w:eastAsia="SimSun" w:hAnsiTheme="minorHAnsi"/>
          <w:i/>
          <w:lang w:val="sq-AL"/>
        </w:rPr>
        <w:t>e</w:t>
      </w:r>
      <w:r w:rsidRPr="00F16E46">
        <w:rPr>
          <w:rFonts w:asciiTheme="minorHAnsi" w:eastAsia="SimSun" w:hAnsiTheme="minorHAnsi"/>
          <w:i/>
          <w:lang w:val="sq-AL"/>
        </w:rPr>
        <w:t>ncione me 106.1 përqind të planit të periudhës dhe 26.6 përqind të planit vjetor fillestar dhe të ndryshuar.</w:t>
      </w:r>
    </w:p>
    <w:p w:rsidR="00BE627C" w:rsidRPr="00F16E46" w:rsidRDefault="00BE627C" w:rsidP="00BE627C">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shpenzimet e tjera sociale me 104.8 përqind të planit të periudhës dhe 40.1 përqind të planit vjetor fillestar dhe të ndryshuar.</w:t>
      </w:r>
    </w:p>
    <w:p w:rsidR="001B65FA" w:rsidRDefault="00BE627C" w:rsidP="00BE627C">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shpenzimet për fonde speciale me 101.1 përqind të planit të periudhës dhe 38.8 përqind të planit vjetor fillestar dhe të ndryshuar</w:t>
      </w:r>
      <w:r w:rsidR="001B65FA" w:rsidRPr="006E61A2">
        <w:rPr>
          <w:rFonts w:asciiTheme="minorHAnsi" w:eastAsia="SimSun" w:hAnsiTheme="minorHAnsi"/>
          <w:i/>
          <w:lang w:val="sq-AL"/>
        </w:rPr>
        <w:t>.</w:t>
      </w:r>
    </w:p>
    <w:p w:rsidR="001D7392" w:rsidRPr="001D7392" w:rsidRDefault="001D7392" w:rsidP="001D7392">
      <w:pPr>
        <w:pStyle w:val="ListParagraph"/>
        <w:spacing w:line="276" w:lineRule="auto"/>
        <w:ind w:left="540"/>
        <w:jc w:val="both"/>
        <w:rPr>
          <w:rFonts w:asciiTheme="minorHAnsi" w:eastAsia="SimSun" w:hAnsiTheme="minorHAnsi"/>
          <w:i/>
          <w:sz w:val="10"/>
          <w:szCs w:val="10"/>
          <w:lang w:val="sq-AL"/>
        </w:rPr>
      </w:pPr>
    </w:p>
    <w:p w:rsidR="001B65FA" w:rsidRPr="001D7392" w:rsidRDefault="001D7392" w:rsidP="001D7392">
      <w:pPr>
        <w:pStyle w:val="Caption"/>
        <w:spacing w:after="0"/>
        <w:rPr>
          <w:rFonts w:asciiTheme="minorHAnsi" w:hAnsiTheme="minorHAnsi"/>
          <w:b w:val="0"/>
          <w:bCs w:val="0"/>
          <w:i/>
          <w:color w:val="auto"/>
          <w:sz w:val="22"/>
          <w:szCs w:val="24"/>
          <w:lang w:val="sq-AL"/>
        </w:rPr>
      </w:pPr>
      <w:bookmarkStart w:id="49" w:name="_Toc107498105"/>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14</w:t>
      </w:r>
      <w:r w:rsidRPr="001D7392">
        <w:rPr>
          <w:rFonts w:asciiTheme="minorHAnsi" w:hAnsiTheme="minorHAnsi"/>
          <w:b w:val="0"/>
          <w:bCs w:val="0"/>
          <w:i/>
          <w:color w:val="auto"/>
          <w:sz w:val="22"/>
          <w:szCs w:val="24"/>
          <w:lang w:val="sq-AL"/>
        </w:rPr>
        <w:fldChar w:fldCharType="end"/>
      </w:r>
      <w:r w:rsidR="001B65FA" w:rsidRPr="001D7392">
        <w:rPr>
          <w:rFonts w:asciiTheme="minorHAnsi" w:hAnsiTheme="minorHAnsi"/>
          <w:b w:val="0"/>
          <w:bCs w:val="0"/>
          <w:i/>
          <w:color w:val="auto"/>
          <w:sz w:val="22"/>
          <w:szCs w:val="24"/>
          <w:lang w:val="sq-AL"/>
        </w:rPr>
        <w:t>: Shpenzimet Korente dhe ritmi i rritjes së tyre (në miliardë LEK)</w:t>
      </w:r>
      <w:bookmarkEnd w:id="49"/>
    </w:p>
    <w:p w:rsidR="001B65FA" w:rsidRPr="0023602D" w:rsidRDefault="00BE627C" w:rsidP="006A740D">
      <w:pPr>
        <w:tabs>
          <w:tab w:val="left" w:pos="360"/>
        </w:tabs>
        <w:ind w:left="360" w:hanging="360"/>
        <w:jc w:val="center"/>
        <w:rPr>
          <w:rFonts w:eastAsia="SimSun"/>
          <w:lang w:val="sq-AL"/>
        </w:rPr>
      </w:pPr>
      <w:r w:rsidRPr="00437488">
        <w:rPr>
          <w:rFonts w:eastAsia="SimSun"/>
          <w:noProof/>
        </w:rPr>
        <w:drawing>
          <wp:inline distT="0" distB="0" distL="0" distR="0" wp14:anchorId="6D0CAF30" wp14:editId="1AA9A71F">
            <wp:extent cx="5395625" cy="2249170"/>
            <wp:effectExtent l="38100" t="38100" r="90805" b="9398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2745" cy="2256307"/>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FD3343">
        <w:rPr>
          <w:rFonts w:asciiTheme="minorHAnsi" w:eastAsia="SimSun" w:hAnsiTheme="minorHAnsi"/>
          <w:i/>
          <w:sz w:val="20"/>
          <w:lang w:val="sq-AL"/>
        </w:rPr>
        <w:t>Burimi: Ministria e Financave dhe Ekonomisë (2022)</w:t>
      </w:r>
    </w:p>
    <w:p w:rsidR="001D7392" w:rsidRPr="0065598A" w:rsidRDefault="001D7392" w:rsidP="001B65FA">
      <w:pPr>
        <w:spacing w:line="276" w:lineRule="auto"/>
        <w:rPr>
          <w:rFonts w:asciiTheme="minorHAnsi" w:eastAsia="SimSun" w:hAnsiTheme="minorHAnsi"/>
          <w:i/>
          <w:sz w:val="20"/>
          <w:lang w:val="sq-AL"/>
        </w:rPr>
      </w:pPr>
    </w:p>
    <w:p w:rsidR="001B65FA" w:rsidRPr="001D7392" w:rsidRDefault="001D7392" w:rsidP="001D7392">
      <w:pPr>
        <w:pStyle w:val="Caption"/>
        <w:spacing w:after="0"/>
        <w:rPr>
          <w:rFonts w:asciiTheme="minorHAnsi" w:hAnsiTheme="minorHAnsi"/>
          <w:b w:val="0"/>
          <w:bCs w:val="0"/>
          <w:i/>
          <w:color w:val="auto"/>
          <w:sz w:val="22"/>
          <w:szCs w:val="24"/>
          <w:lang w:val="sq-AL"/>
        </w:rPr>
      </w:pPr>
      <w:bookmarkStart w:id="50" w:name="_Toc107498106"/>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15</w:t>
      </w:r>
      <w:r w:rsidRPr="001D7392">
        <w:rPr>
          <w:rFonts w:asciiTheme="minorHAnsi" w:hAnsiTheme="minorHAnsi"/>
          <w:b w:val="0"/>
          <w:bCs w:val="0"/>
          <w:i/>
          <w:color w:val="auto"/>
          <w:sz w:val="22"/>
          <w:szCs w:val="24"/>
          <w:lang w:val="sq-AL"/>
        </w:rPr>
        <w:fldChar w:fldCharType="end"/>
      </w:r>
      <w:r w:rsidRPr="001D7392">
        <w:rPr>
          <w:rFonts w:asciiTheme="minorHAnsi" w:hAnsiTheme="minorHAnsi"/>
          <w:b w:val="0"/>
          <w:bCs w:val="0"/>
          <w:i/>
          <w:color w:val="auto"/>
          <w:sz w:val="22"/>
          <w:szCs w:val="24"/>
          <w:lang w:val="sq-AL"/>
        </w:rPr>
        <w:t xml:space="preserve"> </w:t>
      </w:r>
      <w:r w:rsidR="001B65FA" w:rsidRPr="001D7392">
        <w:rPr>
          <w:rFonts w:asciiTheme="minorHAnsi" w:hAnsiTheme="minorHAnsi"/>
          <w:b w:val="0"/>
          <w:bCs w:val="0"/>
          <w:i/>
          <w:color w:val="auto"/>
          <w:sz w:val="22"/>
          <w:szCs w:val="24"/>
          <w:lang w:val="sq-AL"/>
        </w:rPr>
        <w:t>: Struktura e shpenzimeve korente, për periudhën 5 mujore 202</w:t>
      </w:r>
      <w:r w:rsidR="00BE627C" w:rsidRPr="001D7392">
        <w:rPr>
          <w:rFonts w:asciiTheme="minorHAnsi" w:hAnsiTheme="minorHAnsi"/>
          <w:b w:val="0"/>
          <w:bCs w:val="0"/>
          <w:i/>
          <w:color w:val="auto"/>
          <w:sz w:val="22"/>
          <w:szCs w:val="24"/>
          <w:lang w:val="sq-AL"/>
        </w:rPr>
        <w:t>2</w:t>
      </w:r>
      <w:bookmarkEnd w:id="50"/>
    </w:p>
    <w:p w:rsidR="001B65FA" w:rsidRPr="0065598A" w:rsidRDefault="00BE627C" w:rsidP="001B65FA">
      <w:pPr>
        <w:spacing w:line="276" w:lineRule="auto"/>
        <w:jc w:val="center"/>
        <w:rPr>
          <w:rFonts w:asciiTheme="minorHAnsi" w:eastAsia="SimSun" w:hAnsiTheme="minorHAnsi"/>
          <w:i/>
          <w:lang w:val="sq-AL"/>
        </w:rPr>
      </w:pPr>
      <w:r w:rsidRPr="00403E69">
        <w:rPr>
          <w:rFonts w:asciiTheme="minorHAnsi" w:eastAsia="SimSun" w:hAnsiTheme="minorHAnsi"/>
          <w:i/>
          <w:noProof/>
        </w:rPr>
        <w:drawing>
          <wp:inline distT="0" distB="0" distL="0" distR="0" wp14:anchorId="797D0C47" wp14:editId="4D4CEC97">
            <wp:extent cx="5398280" cy="3558540"/>
            <wp:effectExtent l="38100" t="38100" r="88265" b="990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8498" cy="3565276"/>
                    </a:xfrm>
                    <a:prstGeom prst="rect">
                      <a:avLst/>
                    </a:prstGeom>
                    <a:noFill/>
                    <a:effectLst>
                      <a:outerShdw blurRad="50800" dist="38100" dir="2700000" algn="tl" rotWithShape="0">
                        <a:prstClr val="black">
                          <a:alpha val="40000"/>
                        </a:prstClr>
                      </a:outerShdw>
                    </a:effectLst>
                  </pic:spPr>
                </pic:pic>
              </a:graphicData>
            </a:graphic>
          </wp:inline>
        </w:drawing>
      </w:r>
    </w:p>
    <w:p w:rsidR="006A740D" w:rsidRPr="0065598A" w:rsidRDefault="006A740D" w:rsidP="006A740D">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FD3343">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461EFE">
        <w:rPr>
          <w:rFonts w:asciiTheme="minorHAnsi" w:eastAsia="SimSun" w:hAnsiTheme="minorHAnsi"/>
          <w:i/>
          <w:lang w:val="sq-AL"/>
        </w:rPr>
        <w:lastRenderedPageBreak/>
        <w:t>Shpenzimet e Personelit</w:t>
      </w:r>
      <w:r w:rsidRPr="00461EFE">
        <w:rPr>
          <w:rFonts w:asciiTheme="minorHAnsi" w:eastAsia="SimSun" w:hAnsiTheme="minorHAnsi"/>
          <w:lang w:val="sq-AL"/>
        </w:rPr>
        <w:t xml:space="preserve"> </w:t>
      </w:r>
      <w:r w:rsidR="00BE627C" w:rsidRPr="00F13B3E">
        <w:rPr>
          <w:rFonts w:asciiTheme="minorHAnsi" w:eastAsia="SimSun" w:hAnsiTheme="minorHAnsi"/>
          <w:lang w:val="sq-AL"/>
        </w:rPr>
        <w:t>për periudhën 5 mujore të vitit 2022, përfaqësuan 18.6 përqind të totalit të shpenzimeve korente. Niveli i shpenzimeve faktike të personelit prej rreth 34.1 miliard LEK, realizon nivelin e parashikuar për këtë zë në planin e periudhës 5 mujore, në masën 99.1 përqind. Krahasuar me të njëjtën periudhë të vitit 2021, ky zë është 0.3 përqind më i ulët ose 107 milion LEK më pak</w:t>
      </w:r>
      <w:r w:rsidRPr="00461EFE">
        <w:rPr>
          <w:rFonts w:asciiTheme="minorHAnsi" w:eastAsia="SimSun" w:hAnsiTheme="minorHAnsi"/>
          <w:lang w:val="sq-AL"/>
        </w:rPr>
        <w:t>.</w:t>
      </w:r>
    </w:p>
    <w:p w:rsidR="006A740D" w:rsidRDefault="006A740D" w:rsidP="001B65FA">
      <w:pPr>
        <w:pStyle w:val="Caption"/>
        <w:keepNext/>
        <w:spacing w:after="0"/>
        <w:jc w:val="both"/>
        <w:rPr>
          <w:rFonts w:asciiTheme="minorHAnsi" w:hAnsiTheme="minorHAnsi"/>
          <w:b w:val="0"/>
          <w:bCs w:val="0"/>
          <w:i/>
          <w:color w:val="auto"/>
          <w:sz w:val="24"/>
          <w:szCs w:val="24"/>
          <w:lang w:val="sq-AL"/>
        </w:rPr>
      </w:pPr>
    </w:p>
    <w:p w:rsidR="001B65FA" w:rsidRPr="006A740D" w:rsidRDefault="0016643F" w:rsidP="0016643F">
      <w:pPr>
        <w:pStyle w:val="Caption"/>
        <w:rPr>
          <w:rFonts w:asciiTheme="minorHAnsi" w:hAnsiTheme="minorHAnsi"/>
          <w:b w:val="0"/>
          <w:bCs w:val="0"/>
          <w:i/>
          <w:color w:val="auto"/>
          <w:sz w:val="22"/>
          <w:szCs w:val="24"/>
          <w:lang w:val="sq-AL"/>
        </w:rPr>
      </w:pPr>
      <w:bookmarkStart w:id="51" w:name="_Toc107498107"/>
      <w:r w:rsidRPr="0016643F">
        <w:rPr>
          <w:rFonts w:asciiTheme="minorHAnsi" w:hAnsiTheme="minorHAnsi"/>
          <w:b w:val="0"/>
          <w:bCs w:val="0"/>
          <w:i/>
          <w:color w:val="auto"/>
          <w:sz w:val="22"/>
          <w:szCs w:val="24"/>
          <w:lang w:val="sq-AL"/>
        </w:rPr>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16</w:t>
      </w:r>
      <w:r w:rsidRPr="0016643F">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16643F">
        <w:rPr>
          <w:rFonts w:asciiTheme="minorHAnsi" w:hAnsiTheme="minorHAnsi"/>
          <w:b w:val="0"/>
          <w:bCs w:val="0"/>
          <w:i/>
          <w:color w:val="auto"/>
          <w:sz w:val="22"/>
          <w:szCs w:val="24"/>
          <w:lang w:val="sq-AL"/>
        </w:rPr>
        <w:t>Shpenzimet e Personelit dhe ritmi i rritjes së tyre (në miliardë LEK)</w:t>
      </w:r>
      <w:bookmarkEnd w:id="51"/>
      <w:r w:rsidR="001B65FA" w:rsidRPr="006A740D">
        <w:rPr>
          <w:rFonts w:asciiTheme="minorHAnsi" w:hAnsiTheme="minorHAnsi"/>
          <w:b w:val="0"/>
          <w:bCs w:val="0"/>
          <w:i/>
          <w:color w:val="auto"/>
          <w:sz w:val="22"/>
          <w:szCs w:val="24"/>
          <w:lang w:val="sq-AL"/>
        </w:rPr>
        <w:t xml:space="preserve"> </w:t>
      </w:r>
    </w:p>
    <w:p w:rsidR="001B65FA" w:rsidRPr="0065598A" w:rsidRDefault="00BE627C" w:rsidP="001B65FA">
      <w:pPr>
        <w:ind w:left="90"/>
        <w:jc w:val="center"/>
        <w:rPr>
          <w:rFonts w:asciiTheme="minorHAnsi" w:eastAsia="SimSun" w:hAnsiTheme="minorHAnsi"/>
          <w:i/>
          <w:lang w:val="sq-AL"/>
        </w:rPr>
      </w:pPr>
      <w:r w:rsidRPr="00C162E0">
        <w:rPr>
          <w:rFonts w:asciiTheme="minorHAnsi" w:eastAsia="SimSun" w:hAnsiTheme="minorHAnsi"/>
          <w:i/>
          <w:noProof/>
        </w:rPr>
        <w:drawing>
          <wp:inline distT="0" distB="0" distL="0" distR="0" wp14:anchorId="1B1D2CCE" wp14:editId="494CAD68">
            <wp:extent cx="5695315" cy="2548012"/>
            <wp:effectExtent l="0" t="0" r="635" b="508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799" cy="2557176"/>
                    </a:xfrm>
                    <a:prstGeom prst="rect">
                      <a:avLst/>
                    </a:prstGeom>
                    <a:noFill/>
                  </pic:spPr>
                </pic:pic>
              </a:graphicData>
            </a:graphic>
          </wp:inline>
        </w:drawing>
      </w:r>
    </w:p>
    <w:p w:rsidR="001B65FA" w:rsidRPr="0065598A" w:rsidRDefault="00FD3343" w:rsidP="001B65FA">
      <w:pPr>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3508C3">
        <w:rPr>
          <w:rFonts w:asciiTheme="minorHAnsi" w:eastAsia="SimSun" w:hAnsiTheme="minorHAnsi"/>
          <w:i/>
          <w:lang w:val="sq-AL"/>
        </w:rPr>
        <w:t>Shpenzimet për Paga</w:t>
      </w:r>
      <w:r w:rsidRPr="003508C3">
        <w:rPr>
          <w:rFonts w:asciiTheme="minorHAnsi" w:eastAsia="SimSun" w:hAnsiTheme="minorHAnsi"/>
          <w:lang w:val="sq-AL"/>
        </w:rPr>
        <w:t xml:space="preserve"> </w:t>
      </w:r>
      <w:r w:rsidR="00BE627C" w:rsidRPr="000D56FB">
        <w:rPr>
          <w:rFonts w:asciiTheme="minorHAnsi" w:eastAsia="SimSun" w:hAnsiTheme="minorHAnsi"/>
          <w:lang w:val="sq-AL"/>
        </w:rPr>
        <w:t>në fund të muajit të pestë të vitit 2022 u realizuan në masën rreth 29.2 miliard LEK, duke qenë 0.4 përqind më të ulëta se e njëjta periudhë e vitit 2021, ose 106 milion LEK më pak. Ndërkohë, shpenzimet për sigurime shoqërore rezultuan në masën 0.2 përqind më të larta se një vit më parë ose 8 milion LEK më shumë. Realizimi faktik i këtyre zërave së bashku, është në nivelin 99.1 përqind krahasuar me planin e periudhës, ose 37.2 përqind e planit vjetor sipas buxhetit fillestar dhe 38.1 përqind e planit vjetor të ndryshuar me AN nr.3</w:t>
      </w:r>
      <w:r w:rsidR="00BE627C">
        <w:rPr>
          <w:rFonts w:asciiTheme="minorHAnsi" w:eastAsia="SimSun" w:hAnsiTheme="minorHAnsi"/>
          <w:lang w:val="sq-AL"/>
        </w:rPr>
        <w:t>/2022</w:t>
      </w:r>
      <w:r w:rsidRPr="003508C3">
        <w:rPr>
          <w:rFonts w:asciiTheme="minorHAnsi" w:eastAsia="SimSun" w:hAnsiTheme="minorHAnsi"/>
          <w:lang w:val="sq-AL"/>
        </w:rPr>
        <w:t xml:space="preserve">.       </w:t>
      </w:r>
    </w:p>
    <w:p w:rsidR="001B65FA" w:rsidRPr="007F224E" w:rsidRDefault="001B65FA" w:rsidP="001B65FA">
      <w:pPr>
        <w:spacing w:line="276" w:lineRule="auto"/>
        <w:jc w:val="both"/>
        <w:rPr>
          <w:rFonts w:asciiTheme="minorHAnsi" w:eastAsia="SimSun" w:hAnsiTheme="minorHAnsi"/>
          <w:i/>
          <w:sz w:val="8"/>
          <w:szCs w:val="8"/>
          <w:lang w:val="sq-AL"/>
        </w:rPr>
      </w:pPr>
    </w:p>
    <w:p w:rsidR="006A740D" w:rsidRDefault="006A740D" w:rsidP="001B65FA">
      <w:pPr>
        <w:pStyle w:val="Caption"/>
        <w:keepNext/>
        <w:spacing w:after="0"/>
        <w:jc w:val="both"/>
        <w:rPr>
          <w:rFonts w:asciiTheme="minorHAnsi" w:hAnsiTheme="minorHAnsi"/>
          <w:b w:val="0"/>
          <w:bCs w:val="0"/>
          <w:i/>
          <w:color w:val="auto"/>
          <w:sz w:val="24"/>
          <w:szCs w:val="24"/>
          <w:lang w:val="sq-AL"/>
        </w:rPr>
      </w:pPr>
    </w:p>
    <w:p w:rsidR="001B65FA" w:rsidRPr="006A740D" w:rsidRDefault="0016643F" w:rsidP="0016643F">
      <w:pPr>
        <w:pStyle w:val="Caption"/>
        <w:rPr>
          <w:rFonts w:asciiTheme="minorHAnsi" w:hAnsiTheme="minorHAnsi"/>
          <w:b w:val="0"/>
          <w:bCs w:val="0"/>
          <w:i/>
          <w:color w:val="auto"/>
          <w:sz w:val="22"/>
          <w:szCs w:val="24"/>
          <w:lang w:val="sq-AL"/>
        </w:rPr>
      </w:pPr>
      <w:bookmarkStart w:id="52" w:name="_Toc107498108"/>
      <w:r w:rsidRPr="0016643F">
        <w:rPr>
          <w:rFonts w:asciiTheme="minorHAnsi" w:hAnsiTheme="minorHAnsi"/>
          <w:b w:val="0"/>
          <w:bCs w:val="0"/>
          <w:i/>
          <w:color w:val="auto"/>
          <w:sz w:val="22"/>
          <w:szCs w:val="24"/>
          <w:lang w:val="sq-AL"/>
        </w:rPr>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17</w:t>
      </w:r>
      <w:r w:rsidRPr="0016643F">
        <w:rPr>
          <w:rFonts w:asciiTheme="minorHAnsi" w:hAnsiTheme="minorHAnsi"/>
          <w:b w:val="0"/>
          <w:bCs w:val="0"/>
          <w:i/>
          <w:color w:val="auto"/>
          <w:sz w:val="22"/>
          <w:szCs w:val="24"/>
          <w:lang w:val="sq-AL"/>
        </w:rPr>
        <w:fldChar w:fldCharType="end"/>
      </w:r>
      <w:r w:rsidR="001B65FA" w:rsidRPr="0016643F">
        <w:rPr>
          <w:rFonts w:asciiTheme="minorHAnsi" w:hAnsiTheme="minorHAnsi"/>
          <w:b w:val="0"/>
          <w:bCs w:val="0"/>
          <w:i/>
          <w:color w:val="auto"/>
          <w:sz w:val="22"/>
          <w:szCs w:val="24"/>
          <w:lang w:val="sq-AL"/>
        </w:rPr>
        <w:t>: Shpenzimet e Pagave dhe ritmi i rritjes së tyre (në miliardë LEK)</w:t>
      </w:r>
      <w:bookmarkEnd w:id="52"/>
    </w:p>
    <w:p w:rsidR="001B65FA" w:rsidRPr="0065598A" w:rsidRDefault="00BE627C" w:rsidP="001B65FA">
      <w:pPr>
        <w:tabs>
          <w:tab w:val="left" w:pos="720"/>
        </w:tabs>
        <w:ind w:left="720" w:hanging="450"/>
        <w:jc w:val="center"/>
        <w:rPr>
          <w:rFonts w:asciiTheme="minorHAnsi" w:eastAsia="SimSun" w:hAnsiTheme="minorHAnsi"/>
          <w:i/>
          <w:lang w:val="sq-AL"/>
        </w:rPr>
      </w:pPr>
      <w:r w:rsidRPr="0034097D">
        <w:rPr>
          <w:rFonts w:asciiTheme="minorHAnsi" w:eastAsia="SimSun" w:hAnsiTheme="minorHAnsi"/>
          <w:i/>
          <w:noProof/>
        </w:rPr>
        <w:drawing>
          <wp:inline distT="0" distB="0" distL="0" distR="0" wp14:anchorId="1DA54F11" wp14:editId="69D7024F">
            <wp:extent cx="5826125" cy="2522220"/>
            <wp:effectExtent l="0" t="0" r="317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553" cy="2531929"/>
                    </a:xfrm>
                    <a:prstGeom prst="rect">
                      <a:avLst/>
                    </a:prstGeom>
                    <a:noFill/>
                  </pic:spPr>
                </pic:pic>
              </a:graphicData>
            </a:graphic>
          </wp:inline>
        </w:drawing>
      </w:r>
    </w:p>
    <w:p w:rsidR="001B65FA" w:rsidRPr="0072117E"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Pr="0065598A">
        <w:rPr>
          <w:rFonts w:asciiTheme="minorHAnsi" w:eastAsia="SimSun" w:hAnsiTheme="minorHAnsi"/>
          <w:i/>
          <w:sz w:val="20"/>
          <w:lang w:val="sq-AL"/>
        </w:rPr>
        <w:tab/>
      </w:r>
      <w:r w:rsidR="00FD3343">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eastAsia="SimSun" w:hAnsiTheme="minorHAnsi"/>
          <w:lang w:val="sq-AL"/>
        </w:rPr>
      </w:pPr>
    </w:p>
    <w:p w:rsidR="00BE627C" w:rsidRDefault="00BE627C" w:rsidP="001B65FA">
      <w:pPr>
        <w:spacing w:line="276" w:lineRule="auto"/>
        <w:jc w:val="both"/>
        <w:rPr>
          <w:rFonts w:asciiTheme="minorHAnsi" w:eastAsia="SimSun" w:hAnsiTheme="minorHAnsi"/>
          <w:i/>
          <w:lang w:val="sq-AL"/>
        </w:rPr>
      </w:pPr>
    </w:p>
    <w:p w:rsidR="001B65FA" w:rsidRDefault="001B65FA" w:rsidP="001B65FA">
      <w:pPr>
        <w:spacing w:line="276" w:lineRule="auto"/>
        <w:jc w:val="both"/>
        <w:rPr>
          <w:rFonts w:asciiTheme="minorHAnsi" w:eastAsia="SimSun" w:hAnsiTheme="minorHAnsi"/>
          <w:lang w:val="sq-AL"/>
        </w:rPr>
      </w:pPr>
      <w:r w:rsidRPr="0072117E">
        <w:rPr>
          <w:rFonts w:asciiTheme="minorHAnsi" w:eastAsia="SimSun" w:hAnsiTheme="minorHAnsi"/>
          <w:i/>
          <w:lang w:val="sq-AL"/>
        </w:rPr>
        <w:lastRenderedPageBreak/>
        <w:t>Shpenzimet për Interesa</w:t>
      </w:r>
      <w:r w:rsidRPr="0072117E">
        <w:rPr>
          <w:rFonts w:asciiTheme="minorHAnsi" w:eastAsia="SimSun" w:hAnsiTheme="minorHAnsi"/>
          <w:lang w:val="sq-AL"/>
        </w:rPr>
        <w:t xml:space="preserve"> </w:t>
      </w:r>
      <w:r w:rsidR="00BE627C" w:rsidRPr="000772D8">
        <w:rPr>
          <w:rFonts w:asciiTheme="minorHAnsi" w:eastAsia="SimSun" w:hAnsiTheme="minorHAnsi"/>
          <w:lang w:val="sq-AL"/>
        </w:rPr>
        <w:t>për periudhën 5 mujore të vitit 2022 kanë përfaqësuar 8.3 përqind të shpenzimeve korente. Niveli faktik i tyre prej rreth 15.2 miliard LEK ka rezultuar në masën 94 përqind të planit të periudhës. Në raport me planin vjetor fillestar dhe të ndryshuar, në nivel 5 mujori këto shpenzime janë realizuar në masën 29.9 përqind të tij, ndërsa krahasuar me të njëjtën periudhë të vitit 2021, ky zë ka rezultuar 8.7 përqind më i lartë ose rreth 1.2 miliard LEK më shumë</w:t>
      </w:r>
      <w:r w:rsidRPr="0072117E">
        <w:rPr>
          <w:rFonts w:asciiTheme="minorHAnsi" w:eastAsia="SimSun" w:hAnsiTheme="minorHAnsi"/>
          <w:lang w:val="sq-AL"/>
        </w:rPr>
        <w:t>.</w:t>
      </w:r>
    </w:p>
    <w:p w:rsidR="001B65FA" w:rsidRPr="006A740D" w:rsidRDefault="001B65FA" w:rsidP="001B65FA">
      <w:pPr>
        <w:spacing w:line="276" w:lineRule="auto"/>
        <w:jc w:val="both"/>
        <w:rPr>
          <w:rFonts w:asciiTheme="minorHAnsi" w:eastAsia="SimSun" w:hAnsiTheme="minorHAnsi"/>
          <w:sz w:val="8"/>
          <w:lang w:val="sq-AL"/>
        </w:rPr>
      </w:pPr>
    </w:p>
    <w:p w:rsidR="001B65FA" w:rsidRPr="006A740D" w:rsidRDefault="00A92096" w:rsidP="00A92096">
      <w:pPr>
        <w:pStyle w:val="Caption"/>
        <w:rPr>
          <w:rFonts w:asciiTheme="minorHAnsi" w:hAnsiTheme="minorHAnsi"/>
          <w:b w:val="0"/>
          <w:bCs w:val="0"/>
          <w:i/>
          <w:color w:val="auto"/>
          <w:sz w:val="22"/>
          <w:szCs w:val="24"/>
          <w:lang w:val="sq-AL"/>
        </w:rPr>
      </w:pPr>
      <w:bookmarkStart w:id="53" w:name="_Toc107498109"/>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18</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Interesa (në miliardë LEK)</w:t>
      </w:r>
      <w:bookmarkEnd w:id="53"/>
      <w:r w:rsidR="001B65FA" w:rsidRPr="006A740D">
        <w:rPr>
          <w:rFonts w:asciiTheme="minorHAnsi" w:hAnsiTheme="minorHAnsi"/>
          <w:b w:val="0"/>
          <w:bCs w:val="0"/>
          <w:i/>
          <w:color w:val="auto"/>
          <w:sz w:val="22"/>
          <w:szCs w:val="24"/>
          <w:lang w:val="sq-AL"/>
        </w:rPr>
        <w:t xml:space="preserve"> </w:t>
      </w:r>
    </w:p>
    <w:p w:rsidR="001B65FA" w:rsidRPr="0065598A" w:rsidRDefault="00BE627C" w:rsidP="001B65FA">
      <w:pPr>
        <w:ind w:right="270"/>
        <w:jc w:val="center"/>
        <w:rPr>
          <w:rFonts w:asciiTheme="minorHAnsi" w:eastAsia="SimSun" w:hAnsiTheme="minorHAnsi"/>
          <w:i/>
          <w:lang w:val="sq-AL"/>
        </w:rPr>
      </w:pPr>
      <w:r w:rsidRPr="00504807">
        <w:rPr>
          <w:rFonts w:asciiTheme="minorHAnsi" w:eastAsia="SimSun" w:hAnsiTheme="minorHAnsi"/>
          <w:i/>
          <w:noProof/>
        </w:rPr>
        <w:drawing>
          <wp:inline distT="0" distB="0" distL="0" distR="0" wp14:anchorId="7880874F" wp14:editId="75D3D024">
            <wp:extent cx="5783652" cy="2547620"/>
            <wp:effectExtent l="38100" t="38100" r="102870" b="1003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05122" cy="2557077"/>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00FD3343">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2407F3">
        <w:rPr>
          <w:rFonts w:asciiTheme="minorHAnsi" w:eastAsia="SimSun" w:hAnsiTheme="minorHAnsi"/>
          <w:i/>
          <w:lang w:val="sq-AL"/>
        </w:rPr>
        <w:t>Shpenzimet Operative &amp; Mirëmbajtje</w:t>
      </w:r>
      <w:r w:rsidRPr="002407F3">
        <w:rPr>
          <w:rFonts w:asciiTheme="minorHAnsi" w:eastAsia="SimSun" w:hAnsiTheme="minorHAnsi"/>
          <w:lang w:val="sq-AL"/>
        </w:rPr>
        <w:t xml:space="preserve"> </w:t>
      </w:r>
      <w:r w:rsidR="00BE627C" w:rsidRPr="007F4B19">
        <w:rPr>
          <w:rFonts w:asciiTheme="minorHAnsi" w:eastAsia="SimSun" w:hAnsiTheme="minorHAnsi"/>
          <w:lang w:val="sq-AL"/>
        </w:rPr>
        <w:t>gjatë periudhës 5 mujore të vitit 2022, kanë shënuar një realizim në masën rreth 20.2 miliard LEK ose 89.6 përqind të planit të periudhës. Niveli faktik i tyre ka rezultuar në masën 31.9 përqind të planit vjetor sipas buxhetit fillestar dhe 33.8 përqind të planit vjetor të ndryshuar me AN nr.3. Krahasuar me të njëjtën periudhë të vitit 2021, ky zë ka rezultuar 0.07 përqind më i ulët ose 15 milion LEK më pak</w:t>
      </w:r>
      <w:r w:rsidRPr="002407F3">
        <w:rPr>
          <w:rFonts w:asciiTheme="minorHAnsi" w:eastAsia="SimSun" w:hAnsiTheme="minorHAnsi"/>
          <w:lang w:val="sq-AL"/>
        </w:rPr>
        <w:t xml:space="preserve">.      </w:t>
      </w:r>
    </w:p>
    <w:p w:rsidR="006A740D" w:rsidRPr="006A740D" w:rsidRDefault="006A740D" w:rsidP="006A740D">
      <w:pPr>
        <w:pStyle w:val="Caption"/>
        <w:keepNext/>
        <w:spacing w:after="0"/>
        <w:jc w:val="both"/>
        <w:rPr>
          <w:rFonts w:asciiTheme="minorHAnsi" w:hAnsiTheme="minorHAnsi"/>
          <w:b w:val="0"/>
          <w:bCs w:val="0"/>
          <w:i/>
          <w:color w:val="auto"/>
          <w:sz w:val="8"/>
          <w:szCs w:val="8"/>
          <w:lang w:val="sq-AL"/>
        </w:rPr>
      </w:pPr>
    </w:p>
    <w:p w:rsidR="001B65FA" w:rsidRPr="006A740D" w:rsidRDefault="00A92096" w:rsidP="00A92096">
      <w:pPr>
        <w:pStyle w:val="Caption"/>
        <w:rPr>
          <w:rFonts w:asciiTheme="minorHAnsi" w:hAnsiTheme="minorHAnsi"/>
          <w:b w:val="0"/>
          <w:bCs w:val="0"/>
          <w:i/>
          <w:color w:val="auto"/>
          <w:sz w:val="22"/>
          <w:szCs w:val="24"/>
          <w:lang w:val="sq-AL"/>
        </w:rPr>
      </w:pPr>
      <w:bookmarkStart w:id="54" w:name="_Toc107498110"/>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19</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Operative dhe ritmi i rritjes së tyre (në miliardë LEK)</w:t>
      </w:r>
      <w:bookmarkEnd w:id="54"/>
    </w:p>
    <w:p w:rsidR="001B65FA" w:rsidRPr="00404EF5" w:rsidRDefault="00BE627C" w:rsidP="00BE627C">
      <w:pPr>
        <w:jc w:val="center"/>
        <w:rPr>
          <w:lang w:val="sq-AL"/>
        </w:rPr>
      </w:pPr>
      <w:r w:rsidRPr="000779C1">
        <w:rPr>
          <w:noProof/>
        </w:rPr>
        <w:drawing>
          <wp:inline distT="0" distB="0" distL="0" distR="0" wp14:anchorId="59E4EB63" wp14:editId="3E272DF9">
            <wp:extent cx="5768340" cy="2547417"/>
            <wp:effectExtent l="38100" t="38100" r="99060" b="10096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9277" cy="2561079"/>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FD3343">
        <w:rPr>
          <w:rFonts w:asciiTheme="minorHAnsi" w:eastAsia="SimSun" w:hAnsiTheme="minorHAnsi"/>
          <w:i/>
          <w:sz w:val="20"/>
          <w:lang w:val="sq-AL"/>
        </w:rPr>
        <w:t>Burimi: Ministria e Financave dhe Ekonomisë (2022)</w:t>
      </w:r>
    </w:p>
    <w:p w:rsidR="001B65FA" w:rsidRPr="007B375E" w:rsidRDefault="001B65FA" w:rsidP="001B65FA">
      <w:pPr>
        <w:spacing w:line="276" w:lineRule="auto"/>
        <w:rPr>
          <w:rFonts w:asciiTheme="minorHAnsi" w:eastAsia="SimSun" w:hAnsiTheme="minorHAnsi"/>
          <w:i/>
          <w:sz w:val="20"/>
          <w:lang w:val="sq-AL"/>
        </w:rPr>
      </w:pPr>
    </w:p>
    <w:p w:rsidR="00BE627C" w:rsidRDefault="00BE627C" w:rsidP="001B65FA">
      <w:pPr>
        <w:spacing w:line="276" w:lineRule="auto"/>
        <w:jc w:val="both"/>
        <w:rPr>
          <w:rFonts w:asciiTheme="minorHAnsi" w:eastAsia="SimSun" w:hAnsiTheme="minorHAnsi"/>
          <w:i/>
          <w:lang w:val="sq-AL"/>
        </w:rPr>
      </w:pPr>
    </w:p>
    <w:p w:rsidR="001B65FA" w:rsidRDefault="001B65FA" w:rsidP="001B65FA">
      <w:pPr>
        <w:spacing w:line="276" w:lineRule="auto"/>
        <w:jc w:val="both"/>
        <w:rPr>
          <w:rFonts w:asciiTheme="minorHAnsi" w:eastAsia="SimSun" w:hAnsiTheme="minorHAnsi"/>
          <w:lang w:val="sq-AL"/>
        </w:rPr>
      </w:pPr>
      <w:r w:rsidRPr="00430674">
        <w:rPr>
          <w:rFonts w:asciiTheme="minorHAnsi" w:eastAsia="SimSun" w:hAnsiTheme="minorHAnsi"/>
          <w:i/>
          <w:lang w:val="sq-AL"/>
        </w:rPr>
        <w:lastRenderedPageBreak/>
        <w:t>Shpenzimet për Subvencione,</w:t>
      </w:r>
      <w:r w:rsidRPr="00430674">
        <w:rPr>
          <w:rFonts w:asciiTheme="minorHAnsi" w:eastAsia="SimSun" w:hAnsiTheme="minorHAnsi"/>
          <w:lang w:val="sq-AL"/>
        </w:rPr>
        <w:t xml:space="preserve"> </w:t>
      </w:r>
      <w:r w:rsidR="00BE627C" w:rsidRPr="00DD0DAC">
        <w:rPr>
          <w:rFonts w:asciiTheme="minorHAnsi" w:eastAsia="SimSun" w:hAnsiTheme="minorHAnsi"/>
          <w:lang w:val="sq-AL"/>
        </w:rPr>
        <w:t>në fund të muajit të pestë të vitit 2022, arritën nivelin 412 milion LEK, me një realizim në masën 106.1 përqind të planit të periudhës. Në raport me planin vjetor fillestar dhe të ndryshuar, ky zë është realizuar në masën 26.6 përqind, ndërkohë që kundrejt të njëjtës periudhë të vitit 2021 shpenzimet për subvencione rezultojnë 0.6 përqind më të ulëta ose 3 milion LEK më pak</w:t>
      </w:r>
      <w:r w:rsidRPr="00430674">
        <w:rPr>
          <w:rFonts w:asciiTheme="minorHAnsi" w:eastAsia="SimSun" w:hAnsiTheme="minorHAnsi"/>
          <w:lang w:val="sq-AL"/>
        </w:rPr>
        <w:t>.</w:t>
      </w:r>
      <w:r>
        <w:rPr>
          <w:rFonts w:asciiTheme="minorHAnsi" w:eastAsia="SimSun" w:hAnsiTheme="minorHAnsi"/>
          <w:lang w:val="sq-AL"/>
        </w:rPr>
        <w:t xml:space="preserve"> </w:t>
      </w:r>
    </w:p>
    <w:p w:rsidR="001B65FA" w:rsidRPr="006A740D" w:rsidRDefault="00A92096" w:rsidP="00A92096">
      <w:pPr>
        <w:pStyle w:val="Caption"/>
        <w:rPr>
          <w:rFonts w:asciiTheme="minorHAnsi" w:hAnsiTheme="minorHAnsi"/>
          <w:b w:val="0"/>
          <w:bCs w:val="0"/>
          <w:i/>
          <w:color w:val="auto"/>
          <w:sz w:val="22"/>
          <w:szCs w:val="24"/>
          <w:lang w:val="sq-AL"/>
        </w:rPr>
      </w:pPr>
      <w:bookmarkStart w:id="55" w:name="_Toc107498111"/>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20</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Subvencione dhe ritmi i rritjes së tyre (në miliardë LEK)</w:t>
      </w:r>
      <w:bookmarkEnd w:id="55"/>
    </w:p>
    <w:p w:rsidR="001B65FA" w:rsidRPr="0065598A" w:rsidRDefault="00BE627C" w:rsidP="00BE627C">
      <w:pPr>
        <w:jc w:val="center"/>
        <w:rPr>
          <w:rFonts w:asciiTheme="minorHAnsi" w:eastAsia="SimSun" w:hAnsiTheme="minorHAnsi"/>
          <w:i/>
          <w:lang w:val="sq-AL"/>
        </w:rPr>
      </w:pPr>
      <w:r w:rsidRPr="00686F7B">
        <w:rPr>
          <w:rFonts w:asciiTheme="minorHAnsi" w:eastAsia="SimSun" w:hAnsiTheme="minorHAnsi"/>
          <w:i/>
          <w:noProof/>
        </w:rPr>
        <w:drawing>
          <wp:inline distT="0" distB="0" distL="0" distR="0" wp14:anchorId="001B90B6" wp14:editId="3C8B5522">
            <wp:extent cx="5842097" cy="2225040"/>
            <wp:effectExtent l="38100" t="38100" r="101600" b="9906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4186" cy="2233453"/>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t xml:space="preserve"> </w:t>
      </w:r>
      <w:r w:rsidR="00FD3343">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hAnsiTheme="minorHAnsi"/>
          <w:lang w:val="sq-AL"/>
        </w:rPr>
      </w:pPr>
    </w:p>
    <w:p w:rsidR="00BE627C" w:rsidRPr="008921B3" w:rsidRDefault="001B65FA" w:rsidP="00BE627C">
      <w:pPr>
        <w:spacing w:line="276" w:lineRule="auto"/>
        <w:jc w:val="both"/>
        <w:rPr>
          <w:rFonts w:eastAsia="SimSun"/>
          <w:lang w:val="sq-AL"/>
        </w:rPr>
      </w:pPr>
      <w:r w:rsidRPr="005509B6">
        <w:rPr>
          <w:rFonts w:asciiTheme="minorHAnsi" w:eastAsia="SimSun" w:hAnsiTheme="minorHAnsi"/>
          <w:i/>
          <w:lang w:val="sq-AL"/>
        </w:rPr>
        <w:t>Shpenzimet për Fondet Speciale</w:t>
      </w:r>
      <w:r w:rsidRPr="005509B6">
        <w:rPr>
          <w:rFonts w:eastAsia="SimSun"/>
          <w:lang w:val="sq-AL"/>
        </w:rPr>
        <w:t xml:space="preserve"> </w:t>
      </w:r>
      <w:r w:rsidR="00BE627C" w:rsidRPr="008921B3">
        <w:rPr>
          <w:rFonts w:asciiTheme="minorHAnsi" w:hAnsiTheme="minorHAnsi"/>
          <w:lang w:val="sq-AL"/>
        </w:rPr>
        <w:t>në fund të periudhës 5 mujore të vitit 2022 rezultuan në nivelin rreth 82.3 miliard LEK, me një realizim prej 101.1 përqind kundrejt planit të periudhës dhe 38.8 përqind të planit vjetor fillestar dhe të ndryshuar. Përkatësisht:</w:t>
      </w:r>
      <w:r w:rsidR="00BE627C" w:rsidRPr="008921B3">
        <w:rPr>
          <w:rFonts w:eastAsia="SimSun"/>
          <w:lang w:val="sq-AL"/>
        </w:rPr>
        <w:t xml:space="preserve"> </w:t>
      </w:r>
    </w:p>
    <w:p w:rsidR="00BE627C" w:rsidRPr="008921B3" w:rsidRDefault="00BE627C" w:rsidP="003F6B21">
      <w:pPr>
        <w:pStyle w:val="ListParagraph"/>
        <w:numPr>
          <w:ilvl w:val="0"/>
          <w:numId w:val="25"/>
        </w:numPr>
        <w:spacing w:line="276" w:lineRule="auto"/>
        <w:jc w:val="both"/>
        <w:rPr>
          <w:i/>
          <w:lang w:val="sq-AL"/>
        </w:rPr>
      </w:pPr>
      <w:r w:rsidRPr="008921B3">
        <w:rPr>
          <w:rFonts w:asciiTheme="minorHAnsi" w:eastAsia="SimSun" w:hAnsiTheme="minorHAnsi"/>
          <w:i/>
          <w:lang w:val="sq-AL"/>
        </w:rPr>
        <w:t>shpenzimet për sigurime shoqërore u realizuan në masën rreth 60.4 miliard LEK</w:t>
      </w:r>
      <w:r w:rsidRPr="008921B3">
        <w:rPr>
          <w:rFonts w:eastAsia="SimSun"/>
          <w:i/>
          <w:lang w:val="sq-AL"/>
        </w:rPr>
        <w:t xml:space="preserve">, </w:t>
      </w:r>
    </w:p>
    <w:p w:rsidR="00BE627C" w:rsidRPr="008921B3" w:rsidRDefault="00BE627C" w:rsidP="003F6B21">
      <w:pPr>
        <w:pStyle w:val="ListParagraph"/>
        <w:numPr>
          <w:ilvl w:val="0"/>
          <w:numId w:val="25"/>
        </w:numPr>
        <w:spacing w:line="276" w:lineRule="auto"/>
        <w:jc w:val="both"/>
        <w:rPr>
          <w:lang w:val="sq-AL"/>
        </w:rPr>
      </w:pPr>
      <w:r w:rsidRPr="008921B3">
        <w:rPr>
          <w:rFonts w:asciiTheme="minorHAnsi" w:hAnsiTheme="minorHAnsi"/>
          <w:i/>
          <w:lang w:val="sq-AL"/>
        </w:rPr>
        <w:t xml:space="preserve">shpenzimet për sigurime shëndetësore </w:t>
      </w:r>
      <w:r w:rsidRPr="008921B3">
        <w:rPr>
          <w:rFonts w:asciiTheme="minorHAnsi" w:eastAsia="SimSun" w:hAnsiTheme="minorHAnsi"/>
          <w:i/>
          <w:lang w:val="sq-AL"/>
        </w:rPr>
        <w:t xml:space="preserve">u realizuan në masën </w:t>
      </w:r>
      <w:r w:rsidRPr="008921B3">
        <w:rPr>
          <w:rFonts w:asciiTheme="minorHAnsi" w:hAnsiTheme="minorHAnsi"/>
          <w:i/>
          <w:lang w:val="sq-AL"/>
        </w:rPr>
        <w:t>rreth 20.6 miliard LEK dhe</w:t>
      </w:r>
      <w:r w:rsidRPr="008921B3">
        <w:rPr>
          <w:rFonts w:eastAsia="SimSun"/>
          <w:lang w:val="sq-AL"/>
        </w:rPr>
        <w:t xml:space="preserve"> </w:t>
      </w:r>
    </w:p>
    <w:p w:rsidR="00BE627C" w:rsidRPr="008921B3" w:rsidRDefault="00BE627C" w:rsidP="003F6B21">
      <w:pPr>
        <w:pStyle w:val="ListParagraph"/>
        <w:numPr>
          <w:ilvl w:val="0"/>
          <w:numId w:val="25"/>
        </w:numPr>
        <w:spacing w:line="276" w:lineRule="auto"/>
        <w:jc w:val="both"/>
        <w:rPr>
          <w:lang w:val="sq-AL"/>
        </w:rPr>
      </w:pPr>
      <w:r w:rsidRPr="008921B3">
        <w:rPr>
          <w:rFonts w:asciiTheme="minorHAnsi" w:hAnsiTheme="minorHAnsi"/>
          <w:i/>
          <w:lang w:val="sq-AL"/>
        </w:rPr>
        <w:t xml:space="preserve">shpenzimet për kompensimin e pronarëve </w:t>
      </w:r>
      <w:r w:rsidRPr="008921B3">
        <w:rPr>
          <w:rFonts w:asciiTheme="minorHAnsi" w:eastAsia="SimSun" w:hAnsiTheme="minorHAnsi"/>
          <w:i/>
          <w:lang w:val="sq-AL"/>
        </w:rPr>
        <w:t>u realizuan në masën</w:t>
      </w:r>
      <w:r w:rsidRPr="008921B3">
        <w:rPr>
          <w:rFonts w:asciiTheme="minorHAnsi" w:hAnsiTheme="minorHAnsi"/>
          <w:i/>
          <w:lang w:val="sq-AL"/>
        </w:rPr>
        <w:t xml:space="preserve"> rreth 1.2 miliard LEK.</w:t>
      </w:r>
      <w:r w:rsidRPr="008921B3">
        <w:rPr>
          <w:rFonts w:eastAsia="SimSun"/>
          <w:lang w:val="sq-AL"/>
        </w:rPr>
        <w:t xml:space="preserve"> </w:t>
      </w:r>
    </w:p>
    <w:p w:rsidR="00BE627C" w:rsidRPr="008921B3" w:rsidRDefault="00BE627C" w:rsidP="00BE627C">
      <w:pPr>
        <w:spacing w:line="276" w:lineRule="auto"/>
        <w:jc w:val="both"/>
        <w:rPr>
          <w:rFonts w:eastAsia="SimSun"/>
          <w:sz w:val="8"/>
          <w:szCs w:val="8"/>
          <w:lang w:val="sq-AL"/>
        </w:rPr>
      </w:pPr>
    </w:p>
    <w:p w:rsidR="001B65FA" w:rsidRPr="005509B6" w:rsidRDefault="00BE627C" w:rsidP="00BE627C">
      <w:pPr>
        <w:spacing w:line="276" w:lineRule="auto"/>
        <w:jc w:val="both"/>
        <w:rPr>
          <w:rFonts w:asciiTheme="minorHAnsi" w:eastAsia="SimSun" w:hAnsiTheme="minorHAnsi"/>
          <w:lang w:val="sq-AL"/>
        </w:rPr>
      </w:pPr>
      <w:r w:rsidRPr="008921B3">
        <w:rPr>
          <w:rFonts w:asciiTheme="minorHAnsi" w:eastAsia="SimSun" w:hAnsiTheme="minorHAnsi"/>
          <w:lang w:val="sq-AL"/>
        </w:rPr>
        <w:t>Kundrejt të njëjtës periudhë të vitit 2021, shpenzimet për sigurime shoqërore janë rreth 6.5 miliard LEK më të larta, shpenzimet për sigurime shëndetësore janë 981 milion LEK më të larta dhe shpenzimet për kompensimin e pronarëve 198 milion LEK më të ulëta</w:t>
      </w:r>
      <w:r w:rsidR="001B65FA" w:rsidRPr="005509B6">
        <w:rPr>
          <w:rFonts w:asciiTheme="minorHAnsi" w:eastAsia="SimSun" w:hAnsiTheme="minorHAnsi"/>
          <w:lang w:val="sq-AL"/>
        </w:rPr>
        <w:t>.</w:t>
      </w:r>
    </w:p>
    <w:p w:rsidR="00A92096" w:rsidRDefault="00A92096" w:rsidP="00A92096">
      <w:pPr>
        <w:pStyle w:val="Caption"/>
        <w:rPr>
          <w:rFonts w:asciiTheme="minorHAnsi" w:hAnsiTheme="minorHAnsi"/>
          <w:b w:val="0"/>
          <w:bCs w:val="0"/>
          <w:i/>
          <w:color w:val="auto"/>
          <w:sz w:val="22"/>
          <w:szCs w:val="24"/>
          <w:lang w:val="sq-AL"/>
        </w:rPr>
      </w:pPr>
    </w:p>
    <w:p w:rsidR="001B65FA" w:rsidRPr="006A740D" w:rsidRDefault="00A92096" w:rsidP="00A92096">
      <w:pPr>
        <w:pStyle w:val="Caption"/>
        <w:spacing w:after="0"/>
        <w:rPr>
          <w:rFonts w:asciiTheme="minorHAnsi" w:hAnsiTheme="minorHAnsi"/>
          <w:b w:val="0"/>
          <w:bCs w:val="0"/>
          <w:i/>
          <w:color w:val="auto"/>
          <w:sz w:val="22"/>
          <w:szCs w:val="24"/>
          <w:lang w:val="sq-AL"/>
        </w:rPr>
      </w:pPr>
      <w:bookmarkStart w:id="56" w:name="_Toc107498112"/>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21</w:t>
      </w:r>
      <w:r w:rsidRPr="00A92096">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Shpenzimet për Sigurime Shoqërore dhe Shëndetësore (në miliardë LEK)</w:t>
      </w:r>
      <w:bookmarkEnd w:id="56"/>
    </w:p>
    <w:p w:rsidR="001B65FA" w:rsidRPr="0065598A" w:rsidRDefault="00BE627C" w:rsidP="00BE627C">
      <w:pPr>
        <w:jc w:val="center"/>
        <w:rPr>
          <w:rFonts w:asciiTheme="minorHAnsi" w:eastAsia="SimSun" w:hAnsiTheme="minorHAnsi"/>
          <w:i/>
          <w:lang w:val="sq-AL"/>
        </w:rPr>
      </w:pPr>
      <w:r w:rsidRPr="00F52182">
        <w:rPr>
          <w:rFonts w:asciiTheme="minorHAnsi" w:eastAsia="SimSun" w:hAnsiTheme="minorHAnsi"/>
          <w:i/>
          <w:noProof/>
        </w:rPr>
        <w:drawing>
          <wp:inline distT="0" distB="0" distL="0" distR="0" wp14:anchorId="484DC9FA" wp14:editId="6B4A4EC3">
            <wp:extent cx="5669280" cy="2202180"/>
            <wp:effectExtent l="38100" t="38100" r="102870" b="1028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8811" cy="2205882"/>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FD3343">
        <w:rPr>
          <w:rFonts w:asciiTheme="minorHAnsi" w:eastAsia="SimSun" w:hAnsiTheme="minorHAnsi"/>
          <w:i/>
          <w:sz w:val="20"/>
          <w:lang w:val="sq-AL"/>
        </w:rPr>
        <w:t>Burimi: Ministria e Financave dhe Ekonomisë (2022)</w:t>
      </w:r>
    </w:p>
    <w:p w:rsidR="001B65FA" w:rsidRPr="003822BE" w:rsidRDefault="001B65FA" w:rsidP="001B65FA">
      <w:pPr>
        <w:spacing w:line="276" w:lineRule="auto"/>
        <w:jc w:val="both"/>
        <w:rPr>
          <w:rFonts w:asciiTheme="minorHAnsi" w:eastAsia="SimSun" w:hAnsiTheme="minorHAnsi"/>
          <w:lang w:val="sq-AL"/>
        </w:rPr>
      </w:pPr>
      <w:r w:rsidRPr="00020D6E">
        <w:rPr>
          <w:rFonts w:asciiTheme="minorHAnsi" w:eastAsia="SimSun" w:hAnsiTheme="minorHAnsi"/>
          <w:i/>
          <w:lang w:val="sq-AL"/>
        </w:rPr>
        <w:lastRenderedPageBreak/>
        <w:t>Shpenzimet për Papunësinë</w:t>
      </w:r>
      <w:r w:rsidRPr="00020D6E">
        <w:rPr>
          <w:rFonts w:asciiTheme="minorHAnsi" w:eastAsia="SimSun" w:hAnsiTheme="minorHAnsi"/>
          <w:lang w:val="sq-AL"/>
        </w:rPr>
        <w:t xml:space="preserve"> </w:t>
      </w:r>
      <w:r w:rsidR="00BE627C" w:rsidRPr="008D32F7">
        <w:rPr>
          <w:rFonts w:asciiTheme="minorHAnsi" w:hAnsiTheme="minorHAnsi"/>
          <w:lang w:val="sq-AL"/>
        </w:rPr>
        <w:t>për 5 mujorin e vitit 2022 janë realizuar në masën 297 milion LEK ose 88.7 përqind e planit të periudhës dhe 33.1 përqind e planit vjetor fillestar dhe të ndryshuar.</w:t>
      </w:r>
      <w:r w:rsidR="00BE627C" w:rsidRPr="008D32F7">
        <w:rPr>
          <w:rFonts w:asciiTheme="minorHAnsi" w:eastAsia="SimSun" w:hAnsiTheme="minorHAnsi"/>
          <w:lang w:val="sq-AL"/>
        </w:rPr>
        <w:t xml:space="preserve"> Kundrejt të njëjtës periudhë të vitit 2021 shpenzimet për këtë zë rezultojnë me një ulje në masën 38.2 përqind ose 184 milion LEK më pak</w:t>
      </w:r>
      <w:r w:rsidRPr="003822BE">
        <w:rPr>
          <w:rFonts w:asciiTheme="minorHAnsi" w:eastAsia="SimSun" w:hAnsiTheme="minorHAnsi"/>
          <w:lang w:val="sq-AL"/>
        </w:rPr>
        <w:t>.</w:t>
      </w:r>
    </w:p>
    <w:p w:rsidR="001B65FA" w:rsidRPr="00BE627C" w:rsidRDefault="001B65FA" w:rsidP="001B65FA">
      <w:pPr>
        <w:spacing w:line="276" w:lineRule="auto"/>
        <w:jc w:val="both"/>
        <w:rPr>
          <w:rFonts w:asciiTheme="minorHAnsi" w:eastAsia="SimSun" w:hAnsiTheme="minorHAnsi"/>
          <w:sz w:val="8"/>
          <w:szCs w:val="8"/>
          <w:lang w:val="sq-AL"/>
        </w:rPr>
      </w:pPr>
    </w:p>
    <w:p w:rsidR="001B65FA" w:rsidRPr="003F7DB9" w:rsidRDefault="001B65FA" w:rsidP="001B65FA">
      <w:pPr>
        <w:spacing w:line="276" w:lineRule="auto"/>
        <w:jc w:val="both"/>
        <w:rPr>
          <w:rFonts w:asciiTheme="minorHAnsi" w:eastAsia="SimSun" w:hAnsiTheme="minorHAnsi"/>
          <w:lang w:val="sq-AL"/>
        </w:rPr>
      </w:pPr>
      <w:r w:rsidRPr="006F30BA">
        <w:rPr>
          <w:rFonts w:asciiTheme="minorHAnsi" w:eastAsia="SimSun" w:hAnsiTheme="minorHAnsi"/>
          <w:i/>
          <w:lang w:val="sq-AL"/>
        </w:rPr>
        <w:t>Shpenzimet për Ndihmën Ekonomike dhe Pagesën e Paaftësisë (PAK)</w:t>
      </w:r>
      <w:r w:rsidRPr="006F30BA">
        <w:rPr>
          <w:rFonts w:asciiTheme="minorHAnsi" w:eastAsia="SimSun" w:hAnsiTheme="minorHAnsi"/>
          <w:lang w:val="sq-AL"/>
        </w:rPr>
        <w:t xml:space="preserve"> </w:t>
      </w:r>
      <w:r w:rsidR="00BE627C" w:rsidRPr="00D538D9">
        <w:rPr>
          <w:rFonts w:asciiTheme="minorHAnsi" w:eastAsia="SimSun" w:hAnsiTheme="minorHAnsi"/>
          <w:lang w:val="sq-AL"/>
        </w:rPr>
        <w:t>për periudhën 5 mujore të vitit 2022 u realizuan në masën rreth 9.5 miliard LEK duke rezultuar 105.4 përqind e planit të periudhës ose 485 milion LEK më shumë. Në raport me planin vjetor fillestar dhe të ndryshuar, këto shpenzime janë realizuar në masën 40.2 përqind të tij. Kundrejt të njëjtës periudhë të vitit 2021 shpenzimet për këtë zë rezultojnë me një ulje në masën 2.4</w:t>
      </w:r>
      <w:r w:rsidR="00BE627C">
        <w:rPr>
          <w:rFonts w:asciiTheme="minorHAnsi" w:eastAsia="SimSun" w:hAnsiTheme="minorHAnsi"/>
          <w:lang w:val="sq-AL"/>
        </w:rPr>
        <w:t>%</w:t>
      </w:r>
      <w:r w:rsidR="00BE627C" w:rsidRPr="00D538D9">
        <w:rPr>
          <w:rFonts w:asciiTheme="minorHAnsi" w:eastAsia="SimSun" w:hAnsiTheme="minorHAnsi"/>
          <w:lang w:val="sq-AL"/>
        </w:rPr>
        <w:t xml:space="preserve"> ose 238 milion LEK më pak në terma nominalë</w:t>
      </w:r>
      <w:r w:rsidRPr="006F30BA">
        <w:rPr>
          <w:rFonts w:asciiTheme="minorHAnsi" w:eastAsia="SimSun" w:hAnsiTheme="minorHAnsi"/>
          <w:lang w:val="sq-AL"/>
        </w:rPr>
        <w:t>.</w:t>
      </w:r>
    </w:p>
    <w:p w:rsidR="001B65FA" w:rsidRPr="00092976" w:rsidRDefault="001B65FA" w:rsidP="001B65FA">
      <w:pPr>
        <w:spacing w:line="276" w:lineRule="auto"/>
        <w:jc w:val="both"/>
        <w:rPr>
          <w:rFonts w:asciiTheme="minorHAnsi" w:eastAsia="SimSun" w:hAnsiTheme="minorHAnsi"/>
          <w:i/>
          <w:sz w:val="8"/>
          <w:szCs w:val="8"/>
          <w:lang w:val="sq-AL"/>
        </w:rPr>
      </w:pPr>
    </w:p>
    <w:p w:rsidR="001B65FA" w:rsidRPr="00092976"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kompensimin e ish-të përndjekurve politik</w:t>
      </w:r>
      <w:r w:rsidRPr="00092976">
        <w:rPr>
          <w:rFonts w:asciiTheme="minorHAnsi" w:eastAsia="SimSun" w:hAnsiTheme="minorHAnsi"/>
          <w:lang w:val="sq-AL"/>
        </w:rPr>
        <w:t xml:space="preserve"> </w:t>
      </w:r>
      <w:r w:rsidR="00BE627C" w:rsidRPr="00D538D9">
        <w:rPr>
          <w:rFonts w:asciiTheme="minorHAnsi" w:hAnsiTheme="minorHAnsi"/>
          <w:lang w:val="sq-AL"/>
        </w:rPr>
        <w:t>për periudhën 5 mujore të vitit 2022 u realizuan në masën 229 milion LEK ose 72.4 përqind të planit të periudhës dhe 22.9 përqind të planit vjetor fillestar dhe të ndryshuar. Krahasuar me të njëjtën periudhë të vitit 2021, shpenzimet për këtë zë rezultojnë me një ulje në masën 28.1 përqind ose 90 milion LEK më pak</w:t>
      </w:r>
      <w:r w:rsidRPr="00092976">
        <w:rPr>
          <w:rFonts w:asciiTheme="minorHAnsi" w:hAnsiTheme="minorHAnsi"/>
          <w:lang w:val="sq-AL"/>
        </w:rPr>
        <w:t>.</w:t>
      </w:r>
    </w:p>
    <w:p w:rsidR="001B65FA" w:rsidRPr="003F7DB9" w:rsidRDefault="001B65FA" w:rsidP="001B65FA">
      <w:pPr>
        <w:spacing w:line="276" w:lineRule="auto"/>
        <w:jc w:val="both"/>
        <w:rPr>
          <w:rFonts w:asciiTheme="minorHAnsi" w:eastAsia="SimSun" w:hAnsiTheme="minorHAnsi"/>
          <w:sz w:val="8"/>
          <w:szCs w:val="8"/>
          <w:lang w:val="sq-AL"/>
        </w:rPr>
      </w:pPr>
    </w:p>
    <w:p w:rsidR="001B65FA"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bonusin e lindjeve</w:t>
      </w:r>
      <w:r w:rsidRPr="00092976">
        <w:rPr>
          <w:rFonts w:asciiTheme="minorHAnsi" w:hAnsiTheme="minorHAnsi"/>
          <w:lang w:val="sq-AL"/>
        </w:rPr>
        <w:t xml:space="preserve"> </w:t>
      </w:r>
      <w:r w:rsidR="00BE627C" w:rsidRPr="00A17564">
        <w:rPr>
          <w:rFonts w:asciiTheme="minorHAnsi" w:hAnsiTheme="minorHAnsi"/>
          <w:lang w:val="sq-AL"/>
        </w:rPr>
        <w:t>për periudhën 5 mujore të vitit 2022 u realizuan në masën 1.1 miliard LEK duke rezultuar 115.8 përqind e planit të periudhës ose 50 përqind e planit vjetor sipas buxhetit fillestar dhe të ndryshuar me AN nr.3</w:t>
      </w:r>
      <w:r w:rsidR="00BE627C">
        <w:rPr>
          <w:rFonts w:asciiTheme="minorHAnsi" w:hAnsiTheme="minorHAnsi"/>
          <w:lang w:val="sq-AL"/>
        </w:rPr>
        <w:t>/2022</w:t>
      </w:r>
      <w:r w:rsidR="00BE627C" w:rsidRPr="00A17564">
        <w:rPr>
          <w:rFonts w:asciiTheme="minorHAnsi" w:hAnsiTheme="minorHAnsi"/>
          <w:lang w:val="sq-AL"/>
        </w:rPr>
        <w:t>. Kundrejt të njëjtës periudhë të vitit 2021 shpenzimet për këtë zë rezultojnë me një ulje në masën 8.3 përqind ose 100 milion LEK më pak</w:t>
      </w:r>
      <w:r w:rsidRPr="00092976">
        <w:rPr>
          <w:rFonts w:asciiTheme="minorHAnsi" w:hAnsiTheme="minorHAnsi"/>
          <w:lang w:val="sq-AL"/>
        </w:rPr>
        <w:t>.</w:t>
      </w:r>
    </w:p>
    <w:p w:rsidR="00A92096" w:rsidRPr="003F7DB9" w:rsidRDefault="00A92096" w:rsidP="001B65FA">
      <w:pPr>
        <w:spacing w:line="276" w:lineRule="auto"/>
        <w:jc w:val="both"/>
        <w:rPr>
          <w:rFonts w:asciiTheme="minorHAnsi" w:hAnsiTheme="minorHAnsi"/>
          <w:lang w:val="sq-AL"/>
        </w:rPr>
      </w:pPr>
    </w:p>
    <w:p w:rsidR="001B65FA" w:rsidRPr="006A740D" w:rsidRDefault="00A92096" w:rsidP="00A92096">
      <w:pPr>
        <w:pStyle w:val="Caption"/>
        <w:spacing w:after="0"/>
        <w:rPr>
          <w:rFonts w:asciiTheme="minorHAnsi" w:hAnsiTheme="minorHAnsi"/>
          <w:b w:val="0"/>
          <w:bCs w:val="0"/>
          <w:i/>
          <w:color w:val="auto"/>
          <w:sz w:val="22"/>
          <w:szCs w:val="24"/>
          <w:lang w:val="sq-AL"/>
        </w:rPr>
      </w:pPr>
      <w:bookmarkStart w:id="57" w:name="_Toc107498113"/>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22</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Ndihmën Ekonomike, PAK dhe Papunësinë (në miliardë LEK)</w:t>
      </w:r>
      <w:bookmarkEnd w:id="57"/>
      <w:r w:rsidR="001B65FA" w:rsidRPr="006A740D">
        <w:rPr>
          <w:rFonts w:asciiTheme="minorHAnsi" w:hAnsiTheme="minorHAnsi"/>
          <w:b w:val="0"/>
          <w:bCs w:val="0"/>
          <w:i/>
          <w:color w:val="auto"/>
          <w:sz w:val="22"/>
          <w:szCs w:val="24"/>
          <w:lang w:val="sq-AL"/>
        </w:rPr>
        <w:t xml:space="preserve"> </w:t>
      </w:r>
    </w:p>
    <w:p w:rsidR="001B65FA" w:rsidRPr="0065598A" w:rsidRDefault="00BE627C" w:rsidP="001B65FA">
      <w:pPr>
        <w:jc w:val="center"/>
        <w:rPr>
          <w:rFonts w:asciiTheme="minorHAnsi" w:eastAsia="SimSun" w:hAnsiTheme="minorHAnsi"/>
          <w:i/>
          <w:lang w:val="sq-AL"/>
        </w:rPr>
      </w:pPr>
      <w:r w:rsidRPr="007A196A">
        <w:rPr>
          <w:rFonts w:asciiTheme="minorHAnsi" w:eastAsia="SimSun" w:hAnsiTheme="minorHAnsi"/>
          <w:i/>
          <w:noProof/>
        </w:rPr>
        <w:drawing>
          <wp:inline distT="0" distB="0" distL="0" distR="0" wp14:anchorId="1CBC91F8" wp14:editId="093885C7">
            <wp:extent cx="5482590" cy="1958340"/>
            <wp:effectExtent l="38100" t="38100" r="99060" b="9906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2479" cy="1965444"/>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ind w:firstLine="720"/>
        <w:jc w:val="both"/>
        <w:rPr>
          <w:rFonts w:asciiTheme="minorHAnsi" w:eastAsia="SimSun" w:hAnsiTheme="minorHAnsi"/>
          <w:i/>
          <w:sz w:val="20"/>
          <w:lang w:val="sq-AL"/>
        </w:rPr>
      </w:pPr>
      <w:r w:rsidRPr="0065598A">
        <w:rPr>
          <w:rFonts w:asciiTheme="minorHAnsi" w:eastAsia="SimSun" w:hAnsiTheme="minorHAnsi"/>
          <w:lang w:val="sq-AL"/>
        </w:rPr>
        <w:t xml:space="preserve"> </w:t>
      </w:r>
      <w:r w:rsidR="00FD3343">
        <w:rPr>
          <w:rFonts w:asciiTheme="minorHAnsi" w:eastAsia="SimSun" w:hAnsiTheme="minorHAnsi"/>
          <w:i/>
          <w:sz w:val="20"/>
          <w:lang w:val="sq-AL"/>
        </w:rPr>
        <w:t>Burimi: Ministria e Financave dhe Ekonomisë (2022)</w:t>
      </w:r>
    </w:p>
    <w:p w:rsidR="001B65FA" w:rsidRPr="00112432" w:rsidRDefault="001B65FA" w:rsidP="001B65FA">
      <w:pPr>
        <w:spacing w:line="276" w:lineRule="auto"/>
        <w:ind w:firstLine="720"/>
        <w:jc w:val="both"/>
        <w:rPr>
          <w:rFonts w:asciiTheme="minorHAnsi" w:eastAsia="SimSun" w:hAnsiTheme="minorHAnsi"/>
          <w:i/>
          <w:sz w:val="20"/>
          <w:lang w:val="sq-AL"/>
        </w:rPr>
      </w:pPr>
    </w:p>
    <w:p w:rsidR="00BE627C" w:rsidRPr="004576B4" w:rsidRDefault="001B65FA" w:rsidP="00BE627C">
      <w:pPr>
        <w:spacing w:line="276" w:lineRule="auto"/>
        <w:jc w:val="both"/>
        <w:rPr>
          <w:rFonts w:asciiTheme="minorHAnsi" w:eastAsia="SimSun" w:hAnsiTheme="minorHAnsi"/>
          <w:lang w:val="sq-AL"/>
        </w:rPr>
      </w:pPr>
      <w:r w:rsidRPr="00BE627C">
        <w:rPr>
          <w:rFonts w:asciiTheme="minorHAnsi" w:eastAsia="SimSun" w:hAnsiTheme="minorHAnsi"/>
          <w:b/>
          <w:lang w:val="sq-AL"/>
        </w:rPr>
        <w:t>Shpenzimet kapitale</w:t>
      </w:r>
      <w:r w:rsidRPr="00BE627C">
        <w:rPr>
          <w:rFonts w:asciiTheme="minorHAnsi" w:eastAsia="SimSun" w:hAnsiTheme="minorHAnsi"/>
          <w:lang w:val="sq-AL"/>
        </w:rPr>
        <w:t xml:space="preserve">, </w:t>
      </w:r>
      <w:r w:rsidR="00BE627C" w:rsidRPr="00BE627C">
        <w:rPr>
          <w:rFonts w:asciiTheme="minorHAnsi" w:eastAsia="SimSun" w:hAnsiTheme="minorHAnsi"/>
          <w:lang w:val="sq-AL"/>
        </w:rPr>
        <w:t>për periudhën 5 mujore të vitit 2022 kanë një realizim në masën rreth 22.27</w:t>
      </w:r>
      <w:r w:rsidR="00BE627C" w:rsidRPr="004576B4">
        <w:rPr>
          <w:rFonts w:asciiTheme="minorHAnsi" w:eastAsia="SimSun" w:hAnsiTheme="minorHAnsi"/>
          <w:lang w:val="sq-AL"/>
        </w:rPr>
        <w:t xml:space="preserve"> miliard LEK ose 79.4 përqind në raport me fondet e planifikuara për këtë periudhë. Respektivisht:</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 xml:space="preserve">Financimi i brendshëm ka shënuar një realizim prej rreth 8.2 miliard LEK ose 70 përqind të planit të periudhës. </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Investimet nga të Ardhurat e Arsimit të Lartë janë realizuar në masën 262 milion LEK ose 82.9 përqind të planit të periudhës.</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Financimi i huaj ka shënuar një realizim prej rreth 6.3 miliard LEK ose 69.8 përqind të planit të periudhës.</w:t>
      </w:r>
    </w:p>
    <w:p w:rsidR="001B65FA" w:rsidRDefault="00BE627C" w:rsidP="00BE627C">
      <w:pPr>
        <w:spacing w:line="276" w:lineRule="auto"/>
        <w:jc w:val="both"/>
        <w:rPr>
          <w:rFonts w:asciiTheme="minorHAnsi" w:eastAsia="SimSun" w:hAnsiTheme="minorHAnsi"/>
          <w:lang w:val="sq-AL"/>
        </w:rPr>
      </w:pPr>
      <w:r w:rsidRPr="004576B4">
        <w:rPr>
          <w:rFonts w:asciiTheme="minorHAnsi" w:eastAsia="SimSun" w:hAnsiTheme="minorHAnsi"/>
          <w:lang w:val="sq-AL"/>
        </w:rPr>
        <w:t>Fondi i rindërtimit</w:t>
      </w:r>
      <w:r w:rsidRPr="004576B4">
        <w:rPr>
          <w:rFonts w:eastAsia="SimSun"/>
          <w:i/>
          <w:lang w:val="sq-AL"/>
        </w:rPr>
        <w:t xml:space="preserve"> </w:t>
      </w:r>
      <w:r w:rsidRPr="004576B4">
        <w:rPr>
          <w:rFonts w:asciiTheme="minorHAnsi" w:eastAsia="SimSun" w:hAnsiTheme="minorHAnsi"/>
          <w:lang w:val="sq-AL"/>
        </w:rPr>
        <w:t>është realizuar në masën rreth 7.5 miliard LEK ose 107.6 përqind në raport me fondet e planifikuara për këtë periudhë. Nga shpenzimet për fondin e rindërtimit 3.09 miliard LEK janë shpenzime nga Qeverisja Qendrore dhe rreth 4.4 miliard LEK janë shpenzime nga Qeverisja Vendore</w:t>
      </w:r>
      <w:r w:rsidR="001B65FA" w:rsidRPr="00112432">
        <w:rPr>
          <w:rFonts w:asciiTheme="minorHAnsi" w:eastAsia="SimSun" w:hAnsiTheme="minorHAnsi"/>
          <w:lang w:val="sq-AL"/>
        </w:rPr>
        <w:t>.</w:t>
      </w:r>
    </w:p>
    <w:p w:rsidR="00BE627C" w:rsidRPr="004576B4" w:rsidRDefault="001B65FA" w:rsidP="00BE627C">
      <w:pPr>
        <w:spacing w:line="276" w:lineRule="auto"/>
        <w:jc w:val="both"/>
        <w:rPr>
          <w:rFonts w:asciiTheme="minorHAnsi" w:eastAsia="SimSun" w:hAnsiTheme="minorHAnsi"/>
          <w:lang w:val="sq-AL"/>
        </w:rPr>
      </w:pPr>
      <w:r w:rsidRPr="00112432">
        <w:rPr>
          <w:rFonts w:asciiTheme="minorHAnsi" w:hAnsiTheme="minorHAnsi"/>
          <w:i/>
          <w:lang w:val="sq-AL"/>
        </w:rPr>
        <w:lastRenderedPageBreak/>
        <w:t>Krahasuar me planin vjetor</w:t>
      </w:r>
      <w:r w:rsidRPr="00112432">
        <w:rPr>
          <w:rFonts w:asciiTheme="minorHAnsi" w:eastAsia="SimSun" w:hAnsiTheme="minorHAnsi"/>
          <w:lang w:val="sq-AL"/>
        </w:rPr>
        <w:t xml:space="preserve">, </w:t>
      </w:r>
      <w:r w:rsidR="00BE627C" w:rsidRPr="004576B4">
        <w:rPr>
          <w:rFonts w:asciiTheme="minorHAnsi" w:eastAsia="SimSun" w:hAnsiTheme="minorHAnsi"/>
          <w:lang w:val="sq-AL"/>
        </w:rPr>
        <w:t>për 5 mujorin e vitit 2022 është konstatuar një realizim i përgjithshëm i investimeve publike në masën 18.6 përqind të planit vjetor sipas buxhetit fillestar dhe 20.3 përqind të planit vjetor të ndryshuar me AN nr.3. Konkretisht:</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Financimi i brendshëm është realizuar në masën 13.1 përqind të planit vjetor sipas buxhetit fillestar dhe 14.3 përqind të planit vjetor të ndryshuar me AN nr.3.</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Investimet nga të Ardhurat e Arsimit të Lartë janë realizuar në masën 26.2 përqind të planit vjetor fillestar dhe të ndryshuar.</w:t>
      </w:r>
    </w:p>
    <w:p w:rsidR="00BE627C" w:rsidRPr="00BE627C" w:rsidRDefault="00BE627C" w:rsidP="003F6B21">
      <w:pPr>
        <w:pStyle w:val="ListParagraph"/>
        <w:numPr>
          <w:ilvl w:val="0"/>
          <w:numId w:val="45"/>
        </w:numPr>
        <w:spacing w:line="276" w:lineRule="auto"/>
        <w:jc w:val="both"/>
        <w:rPr>
          <w:rFonts w:asciiTheme="minorHAnsi" w:eastAsia="SimSun" w:hAnsiTheme="minorHAnsi"/>
          <w:i/>
          <w:lang w:val="sq-AL"/>
        </w:rPr>
      </w:pPr>
      <w:r w:rsidRPr="00BE627C">
        <w:rPr>
          <w:rFonts w:asciiTheme="minorHAnsi" w:eastAsia="SimSun" w:hAnsiTheme="minorHAnsi"/>
          <w:i/>
          <w:lang w:val="sq-AL"/>
        </w:rPr>
        <w:t>Financimi i huaj është realizuar në masën 18.3 përqind të planit vjetor fillestar dhe 21.1 përqind të planit vjetor të ndryshuar me AN nr.3.</w:t>
      </w:r>
    </w:p>
    <w:p w:rsidR="001B65FA" w:rsidRPr="003F7DB9" w:rsidRDefault="00BE627C" w:rsidP="00BE627C">
      <w:pPr>
        <w:spacing w:line="276" w:lineRule="auto"/>
        <w:jc w:val="both"/>
        <w:rPr>
          <w:rFonts w:asciiTheme="minorHAnsi" w:eastAsia="SimSun" w:hAnsiTheme="minorHAnsi"/>
          <w:lang w:val="sq-AL"/>
        </w:rPr>
      </w:pPr>
      <w:r w:rsidRPr="004576B4">
        <w:rPr>
          <w:rFonts w:asciiTheme="minorHAnsi" w:eastAsia="SimSun" w:hAnsiTheme="minorHAnsi"/>
          <w:lang w:val="sq-AL"/>
        </w:rPr>
        <w:t>Fondi i rindërtimit është realizuar në masën 37.5 përqind të planit vjetor sipas buxhetit fillestar dhe të planit vjetor të ndryshuar me AN nr.3</w:t>
      </w:r>
      <w:r w:rsidR="001B65FA" w:rsidRPr="00112432">
        <w:rPr>
          <w:rFonts w:asciiTheme="minorHAnsi" w:eastAsia="SimSun" w:hAnsiTheme="minorHAnsi"/>
          <w:lang w:val="sq-AL"/>
        </w:rPr>
        <w:t>.</w:t>
      </w:r>
    </w:p>
    <w:p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58" w:name="_Toc107498114"/>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23</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xml:space="preserve"> Shpenzimet Kapitale dhe ritmi i rritjes së tyre (në miliardë LEK)</w:t>
      </w:r>
      <w:bookmarkEnd w:id="58"/>
    </w:p>
    <w:p w:rsidR="001B65FA" w:rsidRPr="0065598A" w:rsidRDefault="00BE627C" w:rsidP="001B65FA">
      <w:pPr>
        <w:jc w:val="center"/>
        <w:rPr>
          <w:rFonts w:asciiTheme="minorHAnsi" w:eastAsia="SimSun" w:hAnsiTheme="minorHAnsi"/>
          <w:i/>
          <w:lang w:val="sq-AL"/>
        </w:rPr>
      </w:pPr>
      <w:r w:rsidRPr="00186FF4">
        <w:rPr>
          <w:rFonts w:asciiTheme="minorHAnsi" w:eastAsia="SimSun" w:hAnsiTheme="minorHAnsi"/>
          <w:i/>
          <w:noProof/>
        </w:rPr>
        <w:drawing>
          <wp:inline distT="0" distB="0" distL="0" distR="0" wp14:anchorId="5870DCFD" wp14:editId="7CDAAA80">
            <wp:extent cx="5657834" cy="2171700"/>
            <wp:effectExtent l="38100" t="38100" r="95885" b="952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9364" cy="2179964"/>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FD3343" w:rsidP="001B65FA">
      <w:pPr>
        <w:spacing w:line="276" w:lineRule="auto"/>
        <w:ind w:firstLine="720"/>
        <w:rPr>
          <w:rFonts w:asciiTheme="minorHAnsi" w:eastAsia="SimSun" w:hAnsiTheme="minorHAnsi"/>
          <w:i/>
          <w:lang w:val="sq-AL"/>
        </w:rPr>
      </w:pPr>
      <w:r>
        <w:rPr>
          <w:rFonts w:asciiTheme="minorHAnsi" w:eastAsia="SimSun" w:hAnsiTheme="minorHAnsi"/>
          <w:i/>
          <w:sz w:val="20"/>
          <w:lang w:val="sq-AL"/>
        </w:rPr>
        <w:t>Burimi: Ministria e Financave dhe Ekonomisë (2022)</w:t>
      </w:r>
      <w:r w:rsidR="001B65FA" w:rsidRPr="0065598A">
        <w:rPr>
          <w:rFonts w:asciiTheme="minorHAnsi" w:eastAsia="SimSun" w:hAnsiTheme="minorHAnsi"/>
          <w:i/>
          <w:lang w:val="sq-AL"/>
        </w:rPr>
        <w:t xml:space="preserve">          </w:t>
      </w:r>
    </w:p>
    <w:p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59" w:name="_Toc107498115"/>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24</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Kapitale dhe burimi i financimit të tyre (në miliardë LEK)</w:t>
      </w:r>
      <w:bookmarkEnd w:id="59"/>
    </w:p>
    <w:p w:rsidR="001B65FA" w:rsidRPr="0065598A" w:rsidRDefault="00BE627C" w:rsidP="001B65FA">
      <w:pPr>
        <w:jc w:val="center"/>
        <w:rPr>
          <w:rFonts w:asciiTheme="minorHAnsi" w:eastAsia="SimSun" w:hAnsiTheme="minorHAnsi"/>
          <w:i/>
          <w:lang w:val="sq-AL"/>
        </w:rPr>
      </w:pPr>
      <w:r w:rsidRPr="001E27F3">
        <w:rPr>
          <w:rFonts w:asciiTheme="minorHAnsi" w:eastAsia="SimSun" w:hAnsiTheme="minorHAnsi"/>
          <w:i/>
          <w:noProof/>
        </w:rPr>
        <w:drawing>
          <wp:inline distT="0" distB="0" distL="0" distR="0" wp14:anchorId="6BCBF379" wp14:editId="0A485648">
            <wp:extent cx="5745480" cy="2453640"/>
            <wp:effectExtent l="38100" t="38100" r="102870" b="9906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6391" cy="2462570"/>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lang w:val="sq-AL"/>
        </w:rPr>
        <w:tab/>
      </w:r>
      <w:r w:rsidR="00FD3343">
        <w:rPr>
          <w:rFonts w:asciiTheme="minorHAnsi" w:eastAsia="SimSun" w:hAnsiTheme="minorHAnsi"/>
          <w:i/>
          <w:sz w:val="20"/>
          <w:lang w:val="sq-AL"/>
        </w:rPr>
        <w:t>Burimi: Ministria e Financave dhe Ekonomisë (2022)</w:t>
      </w:r>
    </w:p>
    <w:p w:rsidR="001B65FA" w:rsidRDefault="001B65FA" w:rsidP="001B65FA">
      <w:pPr>
        <w:spacing w:line="276" w:lineRule="auto"/>
        <w:jc w:val="both"/>
        <w:rPr>
          <w:rFonts w:asciiTheme="minorHAnsi" w:eastAsia="SimSun" w:hAnsiTheme="minorHAnsi"/>
          <w:lang w:val="sq-AL"/>
        </w:rPr>
      </w:pPr>
    </w:p>
    <w:p w:rsidR="00A92096" w:rsidRPr="00A92096" w:rsidRDefault="00BE627C" w:rsidP="00A92096">
      <w:pPr>
        <w:spacing w:line="276" w:lineRule="auto"/>
        <w:jc w:val="both"/>
        <w:rPr>
          <w:rFonts w:asciiTheme="minorHAnsi" w:eastAsia="SimSun" w:hAnsiTheme="minorHAnsi"/>
          <w:lang w:val="sq-AL"/>
        </w:rPr>
      </w:pPr>
      <w:r w:rsidRPr="00AE3C11">
        <w:rPr>
          <w:rFonts w:asciiTheme="minorHAnsi" w:eastAsia="SimSun" w:hAnsiTheme="minorHAnsi"/>
          <w:lang w:val="sq-AL"/>
        </w:rPr>
        <w:t xml:space="preserve">Grafiku i mëposhtëm paraqet ndarjen e shpenzimeve faktike korente dhe kapitale për periudhën 5 mujore të vitit 2022. Shpenzimet korente për këtë periudhë përbëjnë </w:t>
      </w:r>
      <w:r w:rsidRPr="00AE3C11">
        <w:rPr>
          <w:rFonts w:asciiTheme="minorHAnsi" w:hAnsiTheme="minorHAnsi"/>
          <w:lang w:val="sq-AL"/>
        </w:rPr>
        <w:t>pjesën</w:t>
      </w:r>
      <w:r w:rsidRPr="00AE3C11">
        <w:rPr>
          <w:rFonts w:asciiTheme="minorHAnsi" w:eastAsia="SimSun" w:hAnsiTheme="minorHAnsi"/>
          <w:lang w:val="sq-AL"/>
        </w:rPr>
        <w:t xml:space="preserve"> më të madhe të këtyre shpenzimeve me 89.2 përqind, ndërsa shpenzimet kapitale përbëjnë 10.8 përqind</w:t>
      </w:r>
      <w:r w:rsidR="001B65FA" w:rsidRPr="00F01315">
        <w:rPr>
          <w:rFonts w:asciiTheme="minorHAnsi" w:eastAsia="SimSun" w:hAnsiTheme="minorHAnsi"/>
          <w:lang w:val="sq-AL"/>
        </w:rPr>
        <w:t>.</w:t>
      </w:r>
    </w:p>
    <w:p w:rsidR="001B65FA" w:rsidRPr="00A92096" w:rsidRDefault="00A92096" w:rsidP="00A92096">
      <w:pPr>
        <w:pStyle w:val="Caption"/>
        <w:spacing w:before="240" w:after="0"/>
        <w:jc w:val="both"/>
        <w:rPr>
          <w:rFonts w:asciiTheme="minorHAnsi" w:hAnsiTheme="minorHAnsi"/>
          <w:b w:val="0"/>
          <w:bCs w:val="0"/>
          <w:i/>
          <w:color w:val="auto"/>
          <w:sz w:val="22"/>
          <w:szCs w:val="24"/>
          <w:lang w:val="sq-AL"/>
        </w:rPr>
      </w:pPr>
      <w:bookmarkStart w:id="60" w:name="_Toc107498116"/>
      <w:r w:rsidRPr="00A92096">
        <w:rPr>
          <w:rFonts w:asciiTheme="minorHAnsi" w:hAnsiTheme="minorHAnsi"/>
          <w:b w:val="0"/>
          <w:bCs w:val="0"/>
          <w:i/>
          <w:color w:val="auto"/>
          <w:sz w:val="22"/>
          <w:szCs w:val="24"/>
          <w:lang w:val="sq-AL"/>
        </w:rPr>
        <w:lastRenderedPageBreak/>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25</w:t>
      </w:r>
      <w:r w:rsidRPr="00A92096">
        <w:rPr>
          <w:rFonts w:asciiTheme="minorHAnsi" w:hAnsiTheme="minorHAnsi"/>
          <w:b w:val="0"/>
          <w:bCs w:val="0"/>
          <w:i/>
          <w:color w:val="auto"/>
          <w:sz w:val="22"/>
          <w:szCs w:val="24"/>
          <w:lang w:val="sq-AL"/>
        </w:rPr>
        <w:fldChar w:fldCharType="end"/>
      </w:r>
      <w:r w:rsidRPr="00A92096">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Detajimi i Shpenzimeve Buxhetore (në milion LEK)</w:t>
      </w:r>
      <w:bookmarkEnd w:id="60"/>
      <w:r w:rsidR="001B65FA" w:rsidRPr="00BE627C">
        <w:rPr>
          <w:rFonts w:asciiTheme="minorHAnsi" w:hAnsiTheme="minorHAnsi"/>
          <w:b w:val="0"/>
          <w:bCs w:val="0"/>
          <w:i/>
          <w:color w:val="auto"/>
          <w:sz w:val="22"/>
          <w:szCs w:val="24"/>
          <w:lang w:val="sq-AL"/>
        </w:rPr>
        <w:t xml:space="preserve"> </w:t>
      </w:r>
    </w:p>
    <w:p w:rsidR="001B65FA" w:rsidRPr="0065598A" w:rsidRDefault="00BE627C" w:rsidP="00BE627C">
      <w:pPr>
        <w:ind w:left="-450"/>
        <w:jc w:val="center"/>
        <w:rPr>
          <w:rFonts w:asciiTheme="minorHAnsi" w:eastAsia="SimSun" w:hAnsiTheme="minorHAnsi"/>
          <w:i/>
          <w:lang w:val="sq-AL"/>
        </w:rPr>
      </w:pPr>
      <w:r w:rsidRPr="00AE3C11">
        <w:rPr>
          <w:rFonts w:asciiTheme="minorHAnsi" w:eastAsia="SimSun" w:hAnsiTheme="minorHAnsi"/>
          <w:i/>
          <w:noProof/>
        </w:rPr>
        <w:drawing>
          <wp:inline distT="0" distB="0" distL="0" distR="0" wp14:anchorId="1422BC3C" wp14:editId="139C067E">
            <wp:extent cx="5585460" cy="2712619"/>
            <wp:effectExtent l="38100" t="38100" r="91440" b="882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4747" cy="2721986"/>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553471"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lang w:val="sq-AL"/>
        </w:rPr>
        <w:t xml:space="preserve"> </w:t>
      </w:r>
      <w:r w:rsidR="006A740D">
        <w:rPr>
          <w:rFonts w:asciiTheme="minorHAnsi" w:eastAsia="SimSun" w:hAnsiTheme="minorHAnsi"/>
          <w:i/>
          <w:lang w:val="sq-AL"/>
        </w:rPr>
        <w:t xml:space="preserve">        </w:t>
      </w:r>
      <w:r w:rsidR="00FD3343">
        <w:rPr>
          <w:rFonts w:asciiTheme="minorHAnsi" w:eastAsia="SimSun" w:hAnsiTheme="minorHAnsi"/>
          <w:i/>
          <w:sz w:val="20"/>
          <w:lang w:val="sq-AL"/>
        </w:rPr>
        <w:t>Burimi: Ministria e Financave dhe Ekonomisë (2022)</w:t>
      </w:r>
    </w:p>
    <w:p w:rsidR="00BE627C" w:rsidRPr="00BE627C" w:rsidRDefault="00BE627C" w:rsidP="001B65FA">
      <w:pPr>
        <w:spacing w:line="276" w:lineRule="auto"/>
        <w:jc w:val="both"/>
        <w:rPr>
          <w:rFonts w:asciiTheme="minorHAnsi" w:eastAsia="SimSun" w:hAnsiTheme="minorHAnsi"/>
          <w:sz w:val="8"/>
          <w:szCs w:val="8"/>
          <w:lang w:val="sq-AL"/>
        </w:rPr>
      </w:pPr>
    </w:p>
    <w:p w:rsidR="001B65FA" w:rsidRPr="003F7DB9" w:rsidRDefault="00BE627C" w:rsidP="001B65FA">
      <w:pPr>
        <w:spacing w:line="276" w:lineRule="auto"/>
        <w:jc w:val="both"/>
        <w:rPr>
          <w:rFonts w:asciiTheme="minorHAnsi" w:eastAsia="SimSun" w:hAnsiTheme="minorHAnsi"/>
          <w:lang w:val="sq-AL"/>
        </w:rPr>
      </w:pPr>
      <w:r w:rsidRPr="002F40F4">
        <w:rPr>
          <w:rFonts w:asciiTheme="minorHAnsi" w:eastAsia="SimSun" w:hAnsiTheme="minorHAnsi"/>
          <w:lang w:val="sq-AL"/>
        </w:rPr>
        <w:t>Sikurse evidentohet nga tabela e treguesve fiskal të konsoliduar, realizimi i shpenzimeve të përgjithshme për periudhën 5 mujore të vitit 2022 është rreth 213.4 miliard LEK ose 90.5 përqind kundrejt planit të periudhës. Kjo situatë është shoqëruar me një suficit buxhetor prej rreth 19.9 miliard LEK. Grafiku i mëposhtëm tregon tendencat e treguesve kryesorë të buxhetit të shtetit</w:t>
      </w:r>
      <w:r w:rsidR="001B65FA" w:rsidRPr="00553471">
        <w:rPr>
          <w:rFonts w:asciiTheme="minorHAnsi" w:eastAsia="SimSun" w:hAnsiTheme="minorHAnsi"/>
          <w:lang w:val="sq-AL"/>
        </w:rPr>
        <w:t>.</w:t>
      </w:r>
    </w:p>
    <w:p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61" w:name="_Toc107498117"/>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26</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:Të ardhurat, shpenzimet dhe deficiti/suficiti - Plan vs Fakt 5 Mujori 202</w:t>
      </w:r>
      <w:r w:rsidR="00BE627C" w:rsidRPr="00A92096">
        <w:rPr>
          <w:rFonts w:asciiTheme="minorHAnsi" w:hAnsiTheme="minorHAnsi"/>
          <w:b w:val="0"/>
          <w:bCs w:val="0"/>
          <w:i/>
          <w:color w:val="auto"/>
          <w:sz w:val="22"/>
          <w:szCs w:val="24"/>
          <w:lang w:val="sq-AL"/>
        </w:rPr>
        <w:t>2</w:t>
      </w:r>
      <w:r w:rsidR="001B65FA" w:rsidRPr="00A92096">
        <w:rPr>
          <w:rFonts w:asciiTheme="minorHAnsi" w:hAnsiTheme="minorHAnsi"/>
          <w:b w:val="0"/>
          <w:bCs w:val="0"/>
          <w:i/>
          <w:color w:val="auto"/>
          <w:sz w:val="22"/>
          <w:szCs w:val="24"/>
          <w:lang w:val="sq-AL"/>
        </w:rPr>
        <w:t xml:space="preserve"> (në milion LEK)</w:t>
      </w:r>
      <w:bookmarkEnd w:id="61"/>
    </w:p>
    <w:p w:rsidR="001B65FA" w:rsidRPr="0065598A" w:rsidRDefault="00BE627C" w:rsidP="00365D90">
      <w:pPr>
        <w:jc w:val="center"/>
        <w:rPr>
          <w:rFonts w:asciiTheme="minorHAnsi" w:eastAsia="SimSun" w:hAnsiTheme="minorHAnsi"/>
          <w:i/>
          <w:lang w:val="sq-AL"/>
        </w:rPr>
      </w:pPr>
      <w:r w:rsidRPr="00606681">
        <w:rPr>
          <w:rFonts w:asciiTheme="minorHAnsi" w:eastAsia="SimSun" w:hAnsiTheme="minorHAnsi"/>
          <w:i/>
          <w:noProof/>
        </w:rPr>
        <w:drawing>
          <wp:inline distT="0" distB="0" distL="0" distR="0" wp14:anchorId="63B1C831" wp14:editId="3659F763">
            <wp:extent cx="5575361" cy="2701925"/>
            <wp:effectExtent l="38100" t="38100" r="101600" b="984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2456" cy="2710210"/>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365D90">
      <w:pPr>
        <w:rPr>
          <w:rFonts w:asciiTheme="minorHAnsi" w:eastAsia="SimSun" w:hAnsiTheme="minorHAnsi"/>
          <w:i/>
          <w:sz w:val="22"/>
          <w:lang w:val="sq-AL"/>
        </w:rPr>
      </w:pPr>
      <w:r w:rsidRPr="0065598A">
        <w:rPr>
          <w:rFonts w:asciiTheme="minorHAnsi" w:eastAsia="SimSun" w:hAnsiTheme="minorHAnsi"/>
          <w:i/>
          <w:lang w:val="sq-AL"/>
        </w:rPr>
        <w:t xml:space="preserve">    </w:t>
      </w:r>
      <w:r w:rsidRPr="0065598A">
        <w:rPr>
          <w:rFonts w:asciiTheme="minorHAnsi" w:eastAsia="SimSun" w:hAnsiTheme="minorHAnsi"/>
          <w:i/>
          <w:lang w:val="sq-AL"/>
        </w:rPr>
        <w:tab/>
        <w:t xml:space="preserve">     </w:t>
      </w:r>
      <w:r w:rsidR="00FD3343">
        <w:rPr>
          <w:rFonts w:asciiTheme="minorHAnsi" w:eastAsia="SimSun" w:hAnsiTheme="minorHAnsi"/>
          <w:i/>
          <w:sz w:val="20"/>
          <w:lang w:val="sq-AL"/>
        </w:rPr>
        <w:t>Burimi: Ministria e Financave dhe Ekonomisë (2022)</w:t>
      </w:r>
      <w:r w:rsidRPr="0065598A">
        <w:rPr>
          <w:rFonts w:asciiTheme="minorHAnsi" w:eastAsia="SimSun" w:hAnsiTheme="minorHAnsi"/>
          <w:i/>
          <w:sz w:val="22"/>
          <w:lang w:val="sq-AL"/>
        </w:rPr>
        <w:t xml:space="preserve"> </w:t>
      </w:r>
    </w:p>
    <w:p w:rsidR="00D57F4F" w:rsidRDefault="00D57F4F" w:rsidP="00637131">
      <w:pPr>
        <w:spacing w:line="276" w:lineRule="auto"/>
        <w:rPr>
          <w:rFonts w:asciiTheme="minorHAnsi" w:eastAsia="SimSun" w:hAnsiTheme="minorHAnsi"/>
          <w:i/>
          <w:sz w:val="22"/>
          <w:lang w:val="sq-AL"/>
        </w:rPr>
      </w:pPr>
    </w:p>
    <w:p w:rsidR="006A740D" w:rsidRDefault="006A740D" w:rsidP="00637131">
      <w:pPr>
        <w:spacing w:line="276" w:lineRule="auto"/>
        <w:rPr>
          <w:rFonts w:asciiTheme="minorHAnsi" w:eastAsia="SimSun" w:hAnsiTheme="minorHAnsi"/>
          <w:i/>
          <w:sz w:val="22"/>
          <w:lang w:val="sq-AL"/>
        </w:rPr>
      </w:pPr>
    </w:p>
    <w:p w:rsidR="006A740D" w:rsidRDefault="006A740D" w:rsidP="00637131">
      <w:pPr>
        <w:spacing w:line="276" w:lineRule="auto"/>
        <w:rPr>
          <w:rFonts w:asciiTheme="minorHAnsi" w:eastAsia="SimSun" w:hAnsiTheme="minorHAnsi"/>
          <w:i/>
          <w:sz w:val="22"/>
          <w:lang w:val="sq-AL"/>
        </w:rPr>
      </w:pPr>
    </w:p>
    <w:p w:rsidR="00BE627C" w:rsidRDefault="00BE627C" w:rsidP="00637131">
      <w:pPr>
        <w:spacing w:line="276" w:lineRule="auto"/>
        <w:rPr>
          <w:rFonts w:asciiTheme="minorHAnsi" w:eastAsia="SimSun" w:hAnsiTheme="minorHAnsi"/>
          <w:i/>
          <w:sz w:val="22"/>
          <w:lang w:val="sq-AL"/>
        </w:rPr>
      </w:pPr>
    </w:p>
    <w:p w:rsidR="00BE627C" w:rsidRDefault="00BE627C" w:rsidP="00637131">
      <w:pPr>
        <w:spacing w:line="276" w:lineRule="auto"/>
        <w:rPr>
          <w:rFonts w:asciiTheme="minorHAnsi" w:eastAsia="SimSun" w:hAnsiTheme="minorHAnsi"/>
          <w:i/>
          <w:sz w:val="22"/>
          <w:lang w:val="sq-AL"/>
        </w:rPr>
      </w:pPr>
    </w:p>
    <w:p w:rsidR="00BE627C" w:rsidRPr="0065598A" w:rsidRDefault="00BE627C" w:rsidP="00637131">
      <w:pPr>
        <w:spacing w:line="276" w:lineRule="auto"/>
        <w:rPr>
          <w:rFonts w:asciiTheme="minorHAnsi" w:eastAsia="SimSun" w:hAnsiTheme="minorHAnsi"/>
          <w:i/>
          <w:sz w:val="22"/>
          <w:lang w:val="sq-AL"/>
        </w:rPr>
      </w:pPr>
    </w:p>
    <w:p w:rsidR="00C75D59" w:rsidRPr="0065598A" w:rsidRDefault="00E6481D" w:rsidP="002334F6">
      <w:pPr>
        <w:pStyle w:val="Heading2"/>
      </w:pPr>
      <w:bookmarkStart w:id="62" w:name="_Toc107496988"/>
      <w:r w:rsidRPr="0065598A">
        <w:lastRenderedPageBreak/>
        <w:t>III.2</w:t>
      </w:r>
      <w:r w:rsidRPr="0065598A">
        <w:tab/>
      </w:r>
      <w:r w:rsidR="0056643D" w:rsidRPr="0065598A">
        <w:t>Financat</w:t>
      </w:r>
      <w:r w:rsidR="000E14D0" w:rsidRPr="0065598A">
        <w:t xml:space="preserve"> Vendor</w:t>
      </w:r>
      <w:r w:rsidR="0056643D" w:rsidRPr="0065598A">
        <w:t xml:space="preserve">e </w:t>
      </w:r>
      <w:r w:rsidR="00A61AD8" w:rsidRPr="0065598A">
        <w:t>gjat</w:t>
      </w:r>
      <w:r w:rsidR="002D2B0D" w:rsidRPr="0065598A">
        <w:t>ë</w:t>
      </w:r>
      <w:r w:rsidR="00A61AD8" w:rsidRPr="0065598A">
        <w:t xml:space="preserve"> </w:t>
      </w:r>
      <w:r w:rsidR="00931F3E">
        <w:t>J</w:t>
      </w:r>
      <w:r w:rsidRPr="0065598A">
        <w:t>anar-</w:t>
      </w:r>
      <w:r w:rsidR="00931F3E">
        <w:t>M</w:t>
      </w:r>
      <w:r w:rsidRPr="0065598A">
        <w:t>aj 20</w:t>
      </w:r>
      <w:r w:rsidR="00445151" w:rsidRPr="0065598A">
        <w:t>2</w:t>
      </w:r>
      <w:r w:rsidR="00565BEB">
        <w:t>2</w:t>
      </w:r>
      <w:bookmarkEnd w:id="62"/>
      <w:r w:rsidR="00FD3DF0">
        <w:t xml:space="preserve"> </w:t>
      </w:r>
    </w:p>
    <w:p w:rsidR="00931F3E" w:rsidRPr="00460DDA" w:rsidRDefault="00931F3E" w:rsidP="00931F3E">
      <w:pPr>
        <w:spacing w:line="276" w:lineRule="auto"/>
        <w:jc w:val="both"/>
        <w:rPr>
          <w:rFonts w:asciiTheme="minorHAnsi" w:hAnsiTheme="minorHAnsi"/>
          <w:lang w:val="sq-AL"/>
        </w:rPr>
      </w:pPr>
      <w:r w:rsidRPr="00460DDA">
        <w:rPr>
          <w:rFonts w:asciiTheme="minorHAnsi" w:hAnsiTheme="minorHAnsi"/>
          <w:lang w:val="sq-AL"/>
        </w:rPr>
        <w:t>Procesi i menaxhimit të financave publike në nivel vendor ka hyrë në një fazë të re konsolidimi nën regjimin e Ligjit nr.68 datë 27.04.2018 “</w:t>
      </w:r>
      <w:r w:rsidRPr="00460DDA">
        <w:rPr>
          <w:rFonts w:asciiTheme="minorHAnsi" w:hAnsiTheme="minorHAnsi"/>
          <w:i/>
          <w:lang w:val="sq-AL"/>
        </w:rPr>
        <w:t>Për financat e vetëqverisjes vendore</w:t>
      </w:r>
      <w:r w:rsidRPr="00460DDA">
        <w:rPr>
          <w:rFonts w:asciiTheme="minorHAnsi" w:hAnsiTheme="minorHAnsi"/>
          <w:lang w:val="sq-AL"/>
        </w:rPr>
        <w:t xml:space="preserve">”. Në këtë kuadër Ministria e Financave dhe Ekonomisë ndjek vazhdimisht treguesit e të ardhurave dhe shpenzimeve të buxhetit vendor me qëllim monitorimin dhe asistencën e njësive të vetëqeverisjes vendore për përmirësmin e këtij procesi. Referuar të dhënave fiskale të Sistemit Informatik Financiar të Qeverisë është realizuar analiza e të adhurave </w:t>
      </w:r>
      <w:r w:rsidR="00BE627C">
        <w:rPr>
          <w:rFonts w:asciiTheme="minorHAnsi" w:hAnsiTheme="minorHAnsi"/>
          <w:lang w:val="sq-AL"/>
        </w:rPr>
        <w:t xml:space="preserve">dhe </w:t>
      </w:r>
      <w:r w:rsidRPr="00460DDA">
        <w:rPr>
          <w:rFonts w:asciiTheme="minorHAnsi" w:hAnsiTheme="minorHAnsi"/>
          <w:lang w:val="sq-AL"/>
        </w:rPr>
        <w:t>shpenzimeve 5</w:t>
      </w:r>
      <w:r w:rsidR="00BE627C">
        <w:rPr>
          <w:rFonts w:asciiTheme="minorHAnsi" w:hAnsiTheme="minorHAnsi"/>
          <w:lang w:val="sq-AL"/>
        </w:rPr>
        <w:t xml:space="preserve">M </w:t>
      </w:r>
      <w:r w:rsidRPr="00460DDA">
        <w:rPr>
          <w:rFonts w:asciiTheme="minorHAnsi" w:hAnsiTheme="minorHAnsi"/>
          <w:lang w:val="sq-AL"/>
        </w:rPr>
        <w:t xml:space="preserve">të buxhetit vendor në nivel kombëtar. </w:t>
      </w:r>
    </w:p>
    <w:p w:rsidR="00931F3E" w:rsidRPr="00460DDA" w:rsidRDefault="00931F3E" w:rsidP="00931F3E">
      <w:pPr>
        <w:spacing w:line="276" w:lineRule="auto"/>
        <w:jc w:val="both"/>
        <w:rPr>
          <w:rFonts w:asciiTheme="minorHAnsi" w:hAnsiTheme="minorHAnsi"/>
          <w:lang w:val="sq-AL"/>
        </w:rPr>
      </w:pPr>
    </w:p>
    <w:p w:rsidR="00931F3E" w:rsidRPr="00460DDA" w:rsidRDefault="00931F3E" w:rsidP="00931F3E">
      <w:pPr>
        <w:spacing w:line="276" w:lineRule="auto"/>
        <w:jc w:val="both"/>
        <w:rPr>
          <w:rFonts w:asciiTheme="minorHAnsi" w:hAnsiTheme="minorHAnsi"/>
          <w:b/>
          <w:i/>
          <w:lang w:val="sq-AL"/>
        </w:rPr>
      </w:pPr>
      <w:r w:rsidRPr="00460DDA">
        <w:rPr>
          <w:rFonts w:asciiTheme="minorHAnsi" w:hAnsiTheme="minorHAnsi"/>
          <w:b/>
          <w:i/>
          <w:lang w:val="sq-AL"/>
        </w:rPr>
        <w:t>Të ardhurat vendore</w:t>
      </w:r>
    </w:p>
    <w:p w:rsidR="00931F3E" w:rsidRPr="00460DDA" w:rsidRDefault="00931F3E" w:rsidP="00931F3E">
      <w:pPr>
        <w:spacing w:line="276" w:lineRule="auto"/>
        <w:jc w:val="both"/>
        <w:rPr>
          <w:rFonts w:asciiTheme="minorHAnsi" w:hAnsiTheme="minorHAnsi"/>
          <w:i/>
          <w:sz w:val="8"/>
          <w:szCs w:val="8"/>
          <w:lang w:val="sq-AL"/>
        </w:rPr>
      </w:pPr>
    </w:p>
    <w:p w:rsidR="00931F3E" w:rsidRPr="00460DDA" w:rsidRDefault="00931F3E" w:rsidP="00931F3E">
      <w:pPr>
        <w:spacing w:line="276" w:lineRule="auto"/>
        <w:jc w:val="both"/>
        <w:rPr>
          <w:rFonts w:asciiTheme="minorHAnsi" w:hAnsiTheme="minorHAnsi"/>
          <w:lang w:val="sq-AL"/>
        </w:rPr>
      </w:pPr>
      <w:r w:rsidRPr="00460DDA">
        <w:rPr>
          <w:rFonts w:asciiTheme="minorHAnsi" w:hAnsiTheme="minorHAnsi"/>
          <w:lang w:val="sq-AL"/>
        </w:rPr>
        <w:t xml:space="preserve">Për 5 mujorin e vitit 2022, njësitë e vetëqeverisjes vendore </w:t>
      </w:r>
      <w:r w:rsidR="00820BFE">
        <w:rPr>
          <w:rFonts w:asciiTheme="minorHAnsi" w:hAnsiTheme="minorHAnsi"/>
          <w:lang w:val="sq-AL"/>
        </w:rPr>
        <w:t xml:space="preserve">(NJVQV) </w:t>
      </w:r>
      <w:r w:rsidRPr="00460DDA">
        <w:rPr>
          <w:rFonts w:asciiTheme="minorHAnsi" w:hAnsiTheme="minorHAnsi"/>
          <w:lang w:val="sq-AL"/>
        </w:rPr>
        <w:t xml:space="preserve">në shkallë kombëtare kanë mbledhur të ardhura në masën 14,098 milionë lekë, shifër kjo që është rreth 3.13 miliard lekë më shumë ose rreth 29 përqind më e lartë se vlera e të ardhurave të mbledhura gjatë të njëjtës periudhë të vitit 2021. Edhe në raport me planin e periudhës shikojmë që ka një realizim më të lartë të të ardhurave të pushtetit vendor dhe ky realizim është rreth 1.1 miliard lekë ose 9% më i lartë se plani i miratuar për 5 mujorin 2021. Ky realizimi i të ardhurave vendore gjatë 5 mujorit të parë të vitit 2022, tregon se buxheti vendor ka patur një performancë pozitive gjatë kësaj periudhe. </w:t>
      </w:r>
    </w:p>
    <w:p w:rsidR="00931F3E" w:rsidRPr="00460DDA" w:rsidRDefault="00A92096" w:rsidP="00A92096">
      <w:pPr>
        <w:pStyle w:val="Caption"/>
        <w:spacing w:before="240" w:after="0"/>
        <w:rPr>
          <w:rFonts w:asciiTheme="minorHAnsi" w:hAnsiTheme="minorHAnsi"/>
          <w:b w:val="0"/>
          <w:bCs w:val="0"/>
          <w:i/>
          <w:color w:val="auto"/>
          <w:sz w:val="22"/>
          <w:szCs w:val="24"/>
          <w:lang w:val="sq-AL"/>
        </w:rPr>
      </w:pPr>
      <w:bookmarkStart w:id="63" w:name="_Toc107498118"/>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3B2B9B">
        <w:rPr>
          <w:rFonts w:asciiTheme="minorHAnsi" w:hAnsiTheme="minorHAnsi"/>
          <w:b w:val="0"/>
          <w:bCs w:val="0"/>
          <w:i/>
          <w:noProof/>
          <w:color w:val="auto"/>
          <w:sz w:val="22"/>
          <w:szCs w:val="24"/>
          <w:lang w:val="sq-AL"/>
        </w:rPr>
        <w:t>27</w:t>
      </w:r>
      <w:r w:rsidRPr="00A92096">
        <w:rPr>
          <w:rFonts w:asciiTheme="minorHAnsi" w:hAnsiTheme="minorHAnsi"/>
          <w:b w:val="0"/>
          <w:bCs w:val="0"/>
          <w:i/>
          <w:color w:val="auto"/>
          <w:sz w:val="22"/>
          <w:szCs w:val="24"/>
          <w:lang w:val="sq-AL"/>
        </w:rPr>
        <w:fldChar w:fldCharType="end"/>
      </w:r>
      <w:r w:rsidR="00931F3E" w:rsidRPr="00460DDA">
        <w:rPr>
          <w:rFonts w:asciiTheme="minorHAnsi" w:hAnsiTheme="minorHAnsi"/>
          <w:b w:val="0"/>
          <w:bCs w:val="0"/>
          <w:i/>
          <w:color w:val="auto"/>
          <w:sz w:val="22"/>
          <w:szCs w:val="24"/>
          <w:lang w:val="sq-AL"/>
        </w:rPr>
        <w:t>: Të ardhurat e përgjithshme të pushtetit e pushtetit vendor</w:t>
      </w:r>
      <w:bookmarkEnd w:id="63"/>
    </w:p>
    <w:p w:rsidR="00931F3E" w:rsidRPr="00365D90" w:rsidRDefault="00931F3E" w:rsidP="00931F3E">
      <w:pPr>
        <w:pStyle w:val="Caption"/>
        <w:rPr>
          <w:rFonts w:asciiTheme="minorHAnsi" w:eastAsia="SimSun" w:hAnsiTheme="minorHAnsi"/>
          <w:b w:val="0"/>
          <w:bCs w:val="0"/>
          <w:i/>
          <w:color w:val="auto"/>
          <w:sz w:val="20"/>
          <w:szCs w:val="24"/>
          <w:lang w:val="sq-AL"/>
        </w:rPr>
      </w:pPr>
      <w:r w:rsidRPr="00460DDA">
        <w:rPr>
          <w:rFonts w:asciiTheme="minorHAnsi" w:hAnsiTheme="minorHAnsi"/>
          <w:i/>
          <w:noProof/>
          <w:color w:val="auto"/>
          <w:sz w:val="20"/>
        </w:rPr>
        <w:drawing>
          <wp:inline distT="0" distB="0" distL="0" distR="0" wp14:anchorId="347466E9" wp14:editId="709CB93B">
            <wp:extent cx="6124575" cy="2331720"/>
            <wp:effectExtent l="0" t="0" r="9525" b="11430"/>
            <wp:docPr id="266" name="Chart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931F3E">
      <w:pPr>
        <w:spacing w:line="276" w:lineRule="auto"/>
        <w:rPr>
          <w:rFonts w:asciiTheme="minorHAnsi" w:hAnsiTheme="minorHAnsi"/>
          <w:sz w:val="8"/>
          <w:lang w:val="sq-AL"/>
        </w:rPr>
      </w:pPr>
    </w:p>
    <w:p w:rsidR="00931F3E" w:rsidRPr="00460DDA" w:rsidRDefault="00931F3E" w:rsidP="00931F3E">
      <w:pPr>
        <w:spacing w:line="276" w:lineRule="auto"/>
        <w:jc w:val="both"/>
        <w:rPr>
          <w:rFonts w:asciiTheme="minorHAnsi" w:hAnsiTheme="minorHAnsi"/>
          <w:lang w:val="sq-AL"/>
        </w:rPr>
      </w:pPr>
      <w:r w:rsidRPr="00460DDA">
        <w:rPr>
          <w:rFonts w:asciiTheme="minorHAnsi" w:hAnsiTheme="minorHAnsi"/>
          <w:lang w:val="sq-AL"/>
        </w:rPr>
        <w:t>Ndër vite</w:t>
      </w:r>
      <w:r w:rsidR="00365D90">
        <w:rPr>
          <w:rFonts w:asciiTheme="minorHAnsi" w:hAnsiTheme="minorHAnsi"/>
          <w:lang w:val="sq-AL"/>
        </w:rPr>
        <w:t>,</w:t>
      </w:r>
      <w:r w:rsidRPr="00460DDA">
        <w:rPr>
          <w:rFonts w:asciiTheme="minorHAnsi" w:hAnsiTheme="minorHAnsi"/>
          <w:lang w:val="sq-AL"/>
        </w:rPr>
        <w:t xml:space="preserve"> të ardhurat e pushtetit vendor kanë pësuar ndryshime si në vlerë ashtu edhe në strukturën e burimit të tyre. Të ardhurat që sigurojnë njësitë e vetëqeverisjes vendore për 5 mujorin e parë të vitit nga </w:t>
      </w:r>
      <w:r w:rsidRPr="00460DDA">
        <w:rPr>
          <w:rFonts w:asciiTheme="minorHAnsi" w:hAnsiTheme="minorHAnsi"/>
          <w:i/>
          <w:lang w:val="sq-AL"/>
        </w:rPr>
        <w:t>taksat lokale</w:t>
      </w:r>
      <w:r w:rsidRPr="00460DDA">
        <w:rPr>
          <w:rFonts w:asciiTheme="minorHAnsi" w:hAnsiTheme="minorHAnsi"/>
          <w:lang w:val="sq-AL"/>
        </w:rPr>
        <w:t xml:space="preserve">, janë ato që zënë pjesën më të madhe ose 78.7% të shumës totale </w:t>
      </w:r>
      <w:r w:rsidRPr="004405A7">
        <w:rPr>
          <w:rFonts w:asciiTheme="minorHAnsi" w:hAnsiTheme="minorHAnsi"/>
          <w:lang w:val="sq-AL"/>
        </w:rPr>
        <w:t xml:space="preserve">të këtyre të ardhurave për 5 mujorin e vitit 2022. Nga ana tjetër nga </w:t>
      </w:r>
      <w:r w:rsidRPr="004405A7">
        <w:rPr>
          <w:rFonts w:asciiTheme="minorHAnsi" w:hAnsiTheme="minorHAnsi"/>
          <w:i/>
          <w:lang w:val="sq-AL"/>
        </w:rPr>
        <w:t>taksa e pasurisë</w:t>
      </w:r>
      <w:r w:rsidRPr="004405A7">
        <w:rPr>
          <w:rFonts w:asciiTheme="minorHAnsi" w:hAnsiTheme="minorHAnsi"/>
          <w:lang w:val="sq-AL"/>
        </w:rPr>
        <w:t xml:space="preserve"> (ndërtesa, trualli dhe toka bujqësore) janë mbledhur 2.96 miliard lekë apo rreth 21% e totalit të të ardhurave vendore</w:t>
      </w:r>
      <w:r w:rsidR="004405A7" w:rsidRPr="004405A7">
        <w:rPr>
          <w:rFonts w:asciiTheme="minorHAnsi" w:hAnsiTheme="minorHAnsi"/>
          <w:lang w:val="sq-AL"/>
        </w:rPr>
        <w:t>.</w:t>
      </w:r>
      <w:r w:rsidRPr="004405A7">
        <w:rPr>
          <w:rFonts w:asciiTheme="minorHAnsi" w:hAnsiTheme="minorHAnsi"/>
          <w:lang w:val="sq-AL"/>
        </w:rPr>
        <w:t xml:space="preserve"> </w:t>
      </w:r>
      <w:r w:rsidR="004405A7" w:rsidRPr="004405A7">
        <w:rPr>
          <w:rFonts w:asciiTheme="minorHAnsi" w:hAnsiTheme="minorHAnsi"/>
          <w:lang w:val="sq-AL"/>
        </w:rPr>
        <w:t>Kurse taksa mbi biznesin e vogël (tatimi i thjeshtuar mbi fitimin e biznesit të vogël dhe taksa vendore mbi biznesin e vogël) pas ndryshimeve fiskale ligjore të cilat e kanë bërë zero (</w:t>
      </w:r>
      <w:r w:rsidR="004405A7" w:rsidRPr="004405A7">
        <w:rPr>
          <w:rFonts w:asciiTheme="minorHAnsi" w:hAnsiTheme="minorHAnsi"/>
          <w:i/>
          <w:lang w:val="sq-AL"/>
        </w:rPr>
        <w:t>Ligji nr.112/2020 “P</w:t>
      </w:r>
      <w:r w:rsidR="004405A7">
        <w:rPr>
          <w:rFonts w:asciiTheme="minorHAnsi" w:hAnsiTheme="minorHAnsi"/>
          <w:i/>
          <w:lang w:val="sq-AL"/>
        </w:rPr>
        <w:t>ër disa ndryshime në ligjin nr.</w:t>
      </w:r>
      <w:r w:rsidR="004405A7" w:rsidRPr="004405A7">
        <w:rPr>
          <w:rFonts w:asciiTheme="minorHAnsi" w:hAnsiTheme="minorHAnsi"/>
          <w:i/>
          <w:lang w:val="sq-AL"/>
        </w:rPr>
        <w:t>9632</w:t>
      </w:r>
      <w:r w:rsidR="004405A7">
        <w:rPr>
          <w:rFonts w:asciiTheme="minorHAnsi" w:hAnsiTheme="minorHAnsi"/>
          <w:i/>
          <w:lang w:val="sq-AL"/>
        </w:rPr>
        <w:t xml:space="preserve"> </w:t>
      </w:r>
      <w:r w:rsidR="004405A7" w:rsidRPr="004405A7">
        <w:rPr>
          <w:rFonts w:asciiTheme="minorHAnsi" w:hAnsiTheme="minorHAnsi"/>
          <w:i/>
          <w:lang w:val="sq-AL"/>
        </w:rPr>
        <w:t>datë 30.10.2006 “</w:t>
      </w:r>
      <w:r w:rsidR="004405A7">
        <w:rPr>
          <w:rFonts w:asciiTheme="minorHAnsi" w:hAnsiTheme="minorHAnsi"/>
          <w:i/>
          <w:lang w:val="sq-AL"/>
        </w:rPr>
        <w:t>P</w:t>
      </w:r>
      <w:r w:rsidR="004405A7" w:rsidRPr="004405A7">
        <w:rPr>
          <w:rFonts w:asciiTheme="minorHAnsi" w:hAnsiTheme="minorHAnsi"/>
          <w:i/>
          <w:lang w:val="sq-AL"/>
        </w:rPr>
        <w:t>ër sistemin e taksave vendore”, të ndryshuar</w:t>
      </w:r>
      <w:r w:rsidR="004405A7" w:rsidRPr="004405A7">
        <w:rPr>
          <w:rFonts w:asciiTheme="minorHAnsi" w:hAnsiTheme="minorHAnsi"/>
          <w:lang w:val="sq-AL"/>
        </w:rPr>
        <w:t>”, ka ardhur drejt uljes duke zënë vetëm 0.3% të të ardhurave vendore në 5 mujorin 2022 të cilat përfaqësojnë detyrime të paguara me vonesë. Nga realizimi faktik gjatë 5 mujorit të parë të vitit 2022, rezulton se nga ky zë janë mbledhur vetëm 38 milion lekë nga 278 milion lekë që u mblodhën një vit më parë që reflekton këtë ndryshim ligjor</w:t>
      </w:r>
      <w:r w:rsidRPr="004405A7">
        <w:rPr>
          <w:rFonts w:asciiTheme="minorHAnsi" w:hAnsiTheme="minorHAnsi"/>
          <w:lang w:val="sq-AL"/>
        </w:rPr>
        <w:t>.</w:t>
      </w:r>
    </w:p>
    <w:p w:rsidR="00931F3E" w:rsidRPr="00460DDA" w:rsidRDefault="00931F3E" w:rsidP="00931F3E">
      <w:pPr>
        <w:spacing w:line="276" w:lineRule="auto"/>
        <w:jc w:val="both"/>
        <w:rPr>
          <w:rFonts w:asciiTheme="minorHAnsi" w:hAnsiTheme="minorHAnsi"/>
          <w:sz w:val="8"/>
          <w:szCs w:val="8"/>
          <w:lang w:val="sq-AL"/>
        </w:rPr>
      </w:pPr>
    </w:p>
    <w:p w:rsidR="00E12795" w:rsidRDefault="00A92096" w:rsidP="00A92096">
      <w:pPr>
        <w:pStyle w:val="Caption"/>
        <w:rPr>
          <w:rFonts w:asciiTheme="minorHAnsi" w:hAnsiTheme="minorHAnsi"/>
          <w:b w:val="0"/>
          <w:bCs w:val="0"/>
          <w:i/>
          <w:noProof/>
          <w:color w:val="auto"/>
          <w:sz w:val="22"/>
          <w:szCs w:val="24"/>
          <w:lang w:val="sq-AL"/>
        </w:rPr>
      </w:pPr>
      <w:bookmarkStart w:id="64" w:name="_Toc107498119"/>
      <w:r w:rsidRPr="00A92096">
        <w:rPr>
          <w:rFonts w:asciiTheme="minorHAnsi" w:hAnsiTheme="minorHAnsi"/>
          <w:b w:val="0"/>
          <w:bCs w:val="0"/>
          <w:i/>
          <w:noProof/>
          <w:color w:val="auto"/>
          <w:sz w:val="22"/>
          <w:szCs w:val="24"/>
          <w:lang w:val="sq-AL"/>
        </w:rPr>
        <w:lastRenderedPageBreak/>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28</w:t>
      </w:r>
      <w:r w:rsidRPr="00A92096">
        <w:rPr>
          <w:rFonts w:asciiTheme="minorHAnsi" w:hAnsiTheme="minorHAnsi"/>
          <w:b w:val="0"/>
          <w:bCs w:val="0"/>
          <w:i/>
          <w:noProof/>
          <w:color w:val="auto"/>
          <w:sz w:val="22"/>
          <w:szCs w:val="24"/>
          <w:lang w:val="sq-AL"/>
        </w:rPr>
        <w:fldChar w:fldCharType="end"/>
      </w:r>
      <w:r w:rsidR="00931F3E" w:rsidRPr="00460DDA">
        <w:rPr>
          <w:rFonts w:asciiTheme="minorHAnsi" w:hAnsiTheme="minorHAnsi"/>
          <w:b w:val="0"/>
          <w:bCs w:val="0"/>
          <w:i/>
          <w:noProof/>
          <w:color w:val="auto"/>
          <w:sz w:val="22"/>
          <w:szCs w:val="24"/>
          <w:lang w:val="sq-AL"/>
        </w:rPr>
        <w:t>: Të ardhurat e pushtetit vendor sipas burimit</w:t>
      </w:r>
      <w:bookmarkEnd w:id="64"/>
      <w:r w:rsidR="00931F3E" w:rsidRPr="00460DDA">
        <w:rPr>
          <w:rFonts w:asciiTheme="minorHAnsi" w:hAnsiTheme="minorHAnsi"/>
          <w:b w:val="0"/>
          <w:bCs w:val="0"/>
          <w:i/>
          <w:noProof/>
          <w:color w:val="auto"/>
          <w:sz w:val="22"/>
          <w:szCs w:val="24"/>
          <w:lang w:val="sq-AL"/>
        </w:rPr>
        <w:t xml:space="preserve"> </w:t>
      </w:r>
    </w:p>
    <w:p w:rsidR="00365D90" w:rsidRPr="00365D90" w:rsidRDefault="00931F3E" w:rsidP="00A92096">
      <w:pPr>
        <w:pStyle w:val="Caption"/>
        <w:rPr>
          <w:rFonts w:asciiTheme="minorHAnsi" w:eastAsia="SimSun" w:hAnsiTheme="minorHAnsi"/>
          <w:b w:val="0"/>
          <w:bCs w:val="0"/>
          <w:i/>
          <w:color w:val="auto"/>
          <w:sz w:val="20"/>
          <w:szCs w:val="24"/>
          <w:lang w:val="sq-AL"/>
        </w:rPr>
      </w:pPr>
      <w:r w:rsidRPr="00460DDA">
        <w:rPr>
          <w:rFonts w:asciiTheme="minorHAnsi" w:hAnsiTheme="minorHAnsi"/>
          <w:noProof/>
          <w:color w:val="auto"/>
        </w:rPr>
        <w:drawing>
          <wp:inline distT="0" distB="0" distL="0" distR="0" wp14:anchorId="477AFC4D" wp14:editId="542DF727">
            <wp:extent cx="6115050" cy="2185035"/>
            <wp:effectExtent l="0" t="0" r="0" b="5715"/>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365D90" w:rsidRPr="00365D90">
        <w:rPr>
          <w:rFonts w:asciiTheme="minorHAnsi" w:eastAsia="SimSun" w:hAnsiTheme="minorHAnsi"/>
          <w:b w:val="0"/>
          <w:bCs w:val="0"/>
          <w:i/>
          <w:color w:val="auto"/>
          <w:sz w:val="20"/>
          <w:szCs w:val="24"/>
          <w:lang w:val="sq-AL"/>
        </w:rPr>
        <w:t xml:space="preserve"> Burimi: Drejtoria e Financave Vendore, Ministria e Financave dhe Ekonomisë (2022)</w:t>
      </w:r>
    </w:p>
    <w:p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 xml:space="preserve">Taksa mbi pasurinë </w:t>
      </w:r>
    </w:p>
    <w:p w:rsidR="00931F3E" w:rsidRDefault="00931F3E" w:rsidP="00931F3E">
      <w:pPr>
        <w:spacing w:before="120" w:line="276" w:lineRule="auto"/>
        <w:jc w:val="both"/>
        <w:rPr>
          <w:rFonts w:asciiTheme="minorHAnsi" w:hAnsiTheme="minorHAnsi"/>
          <w:lang w:val="sq-AL"/>
        </w:rPr>
      </w:pPr>
      <w:r w:rsidRPr="00460DDA">
        <w:rPr>
          <w:rFonts w:asciiTheme="minorHAnsi" w:hAnsiTheme="minorHAnsi"/>
          <w:lang w:val="sq-AL"/>
        </w:rPr>
        <w:t>Taksa mbi pasurinë, është një burim mjaft i rëndësishëm vendor përmes së cilës njësitë e vetëqeverisjes vendore mund të zhvillojnë politika vendore nën diskrecionin e plotë të përdorimit. Vitet e fundit në politikat qeveritare, hartimi i metodologjisë së vendosjes së kësaj takse në bazë vlere por edhe ndërtimi i një kadastre të detajuar mbi pronën, përbëjnë thelbin e reformës mbi këtë burim financimi të njësive të vetëqeverisjes vendore. Duke ju referuar të dhënave të treguesve fiskalë, nëse marrim në analizë 5 mujorin në vite do të kemi rezultatet si në grafikun  e mëposhtëm:</w:t>
      </w:r>
    </w:p>
    <w:p w:rsidR="00365D90" w:rsidRPr="00BE627C" w:rsidRDefault="00365D90" w:rsidP="00BE627C">
      <w:pPr>
        <w:spacing w:line="276" w:lineRule="auto"/>
        <w:jc w:val="both"/>
        <w:rPr>
          <w:rFonts w:asciiTheme="minorHAnsi" w:hAnsiTheme="minorHAnsi"/>
          <w:sz w:val="12"/>
          <w:szCs w:val="8"/>
          <w:lang w:val="sq-AL"/>
        </w:rPr>
      </w:pPr>
    </w:p>
    <w:p w:rsidR="00931F3E" w:rsidRPr="00A92096" w:rsidRDefault="00A92096" w:rsidP="00A92096">
      <w:pPr>
        <w:pStyle w:val="Caption"/>
        <w:spacing w:after="0"/>
        <w:rPr>
          <w:rFonts w:asciiTheme="minorHAnsi" w:hAnsiTheme="minorHAnsi"/>
          <w:b w:val="0"/>
          <w:bCs w:val="0"/>
          <w:i/>
          <w:noProof/>
          <w:color w:val="auto"/>
          <w:sz w:val="22"/>
          <w:szCs w:val="24"/>
          <w:lang w:val="sq-AL"/>
        </w:rPr>
      </w:pPr>
      <w:bookmarkStart w:id="65" w:name="_Toc107498120"/>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29</w:t>
      </w:r>
      <w:r w:rsidRPr="00A92096">
        <w:rPr>
          <w:rFonts w:asciiTheme="minorHAnsi" w:hAnsiTheme="minorHAnsi"/>
          <w:b w:val="0"/>
          <w:bCs w:val="0"/>
          <w:i/>
          <w:noProof/>
          <w:color w:val="auto"/>
          <w:sz w:val="22"/>
          <w:szCs w:val="24"/>
          <w:lang w:val="sq-AL"/>
        </w:rPr>
        <w:fldChar w:fldCharType="end"/>
      </w:r>
      <w:r w:rsidR="00931F3E" w:rsidRPr="00A92096">
        <w:rPr>
          <w:rFonts w:asciiTheme="minorHAnsi" w:hAnsiTheme="minorHAnsi"/>
          <w:b w:val="0"/>
          <w:bCs w:val="0"/>
          <w:i/>
          <w:noProof/>
          <w:color w:val="auto"/>
          <w:sz w:val="22"/>
          <w:szCs w:val="24"/>
          <w:lang w:val="sq-AL"/>
        </w:rPr>
        <w:t>: Të ardhurat e pushtetit vendor nga taksa mbi pasurinë</w:t>
      </w:r>
      <w:bookmarkEnd w:id="65"/>
    </w:p>
    <w:p w:rsidR="00931F3E" w:rsidRPr="00460DDA" w:rsidRDefault="00931F3E" w:rsidP="00365D90">
      <w:pPr>
        <w:spacing w:line="276" w:lineRule="auto"/>
        <w:jc w:val="center"/>
        <w:rPr>
          <w:rFonts w:asciiTheme="minorHAnsi" w:hAnsiTheme="minorHAnsi"/>
          <w:i/>
          <w:lang w:val="sq-AL"/>
        </w:rPr>
      </w:pPr>
      <w:r w:rsidRPr="00460DDA">
        <w:rPr>
          <w:rFonts w:asciiTheme="minorHAnsi" w:hAnsiTheme="minorHAnsi"/>
          <w:noProof/>
        </w:rPr>
        <w:drawing>
          <wp:inline distT="0" distB="0" distL="0" distR="0" wp14:anchorId="026F8391" wp14:editId="0B16F07A">
            <wp:extent cx="6010275" cy="1813560"/>
            <wp:effectExtent l="0" t="0" r="9525" b="1524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65D90" w:rsidRPr="00365D90" w:rsidRDefault="00365D90" w:rsidP="00365D90">
      <w:pPr>
        <w:pStyle w:val="Caption"/>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Default="00931F3E" w:rsidP="00931F3E">
      <w:pPr>
        <w:spacing w:before="120" w:after="120" w:line="276" w:lineRule="auto"/>
        <w:jc w:val="both"/>
        <w:rPr>
          <w:rFonts w:asciiTheme="minorHAnsi" w:hAnsiTheme="minorHAnsi"/>
          <w:lang w:val="sq-AL"/>
        </w:rPr>
      </w:pPr>
      <w:r w:rsidRPr="00460DDA">
        <w:rPr>
          <w:rFonts w:asciiTheme="minorHAnsi" w:hAnsiTheme="minorHAnsi"/>
          <w:lang w:val="sq-AL"/>
        </w:rPr>
        <w:t>Duke analizuar në raport me një vit më parë, për 5 mujorin, nga taksa mbi pasurinë janë siguruar rreth 169 milion lekë më shumë të ardhura. Në total për 5 mujorin e vitit 2022 nga taksa mbi pasurinë pushteti vendor ka siguruar rreth 3 miliard lekë, duke shënuar një rritje me 6% të të ardhurave të kësaj takse në raport me një vit më parë, duke shënuar kështu jo vetëm përmirësim në mbledhjen e kësaj takse, por edhe nivelin më të lartë të mbledhjes së saj në vite.</w:t>
      </w:r>
    </w:p>
    <w:p w:rsidR="00365D90" w:rsidRPr="00365D90" w:rsidRDefault="00365D90" w:rsidP="00931F3E">
      <w:pPr>
        <w:spacing w:before="120" w:after="120" w:line="276" w:lineRule="auto"/>
        <w:jc w:val="both"/>
        <w:rPr>
          <w:rFonts w:asciiTheme="minorHAnsi" w:hAnsiTheme="minorHAnsi"/>
          <w:sz w:val="4"/>
          <w:lang w:val="sq-AL"/>
        </w:rPr>
      </w:pPr>
    </w:p>
    <w:p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Taksa e Biznesit të vogël</w:t>
      </w:r>
    </w:p>
    <w:p w:rsidR="00931F3E" w:rsidRPr="00460DDA" w:rsidRDefault="004405A7" w:rsidP="00931F3E">
      <w:pPr>
        <w:spacing w:before="120" w:after="120" w:line="276" w:lineRule="auto"/>
        <w:jc w:val="both"/>
        <w:rPr>
          <w:rFonts w:asciiTheme="minorHAnsi" w:hAnsiTheme="minorHAnsi"/>
          <w:lang w:val="sq-AL"/>
        </w:rPr>
      </w:pPr>
      <w:r w:rsidRPr="004405A7">
        <w:rPr>
          <w:rFonts w:asciiTheme="minorHAnsi" w:hAnsiTheme="minorHAnsi"/>
          <w:lang w:val="sq-AL"/>
        </w:rPr>
        <w:t>Tatimi mbi biznesin e vogël në vite si pasojë e ndryshimeve ligjore fiskale siç e theksuam më sipër, ka patur një rënie në peshën që zë në buxhetin vendor, duke ardhur drejt zerimit</w:t>
      </w:r>
      <w:r w:rsidR="00931F3E" w:rsidRPr="004405A7">
        <w:rPr>
          <w:rFonts w:asciiTheme="minorHAnsi" w:hAnsiTheme="minorHAnsi"/>
          <w:lang w:val="sq-AL"/>
        </w:rPr>
        <w:t>. Në këto kushte mund të evidentohet lehtësisht në grafikun e mëposhtëm ndryshimi në vite i këtij burimi:</w:t>
      </w:r>
    </w:p>
    <w:p w:rsidR="00BE627C" w:rsidRDefault="00BE627C" w:rsidP="00365D90">
      <w:pPr>
        <w:spacing w:line="276" w:lineRule="auto"/>
        <w:jc w:val="both"/>
        <w:rPr>
          <w:rFonts w:asciiTheme="minorHAnsi" w:hAnsiTheme="minorHAnsi"/>
          <w:i/>
          <w:sz w:val="22"/>
          <w:lang w:val="sq-AL"/>
        </w:rPr>
      </w:pPr>
    </w:p>
    <w:p w:rsidR="00931F3E" w:rsidRPr="00A92096" w:rsidRDefault="00A92096" w:rsidP="00A92096">
      <w:pPr>
        <w:pStyle w:val="Caption"/>
        <w:spacing w:after="0"/>
        <w:rPr>
          <w:rFonts w:asciiTheme="minorHAnsi" w:hAnsiTheme="minorHAnsi"/>
          <w:b w:val="0"/>
          <w:bCs w:val="0"/>
          <w:i/>
          <w:noProof/>
          <w:color w:val="auto"/>
          <w:sz w:val="22"/>
          <w:szCs w:val="24"/>
          <w:lang w:val="sq-AL"/>
        </w:rPr>
      </w:pPr>
      <w:bookmarkStart w:id="66" w:name="_Toc107498121"/>
      <w:r w:rsidRPr="00A92096">
        <w:rPr>
          <w:rFonts w:asciiTheme="minorHAnsi" w:hAnsiTheme="minorHAnsi"/>
          <w:b w:val="0"/>
          <w:bCs w:val="0"/>
          <w:i/>
          <w:noProof/>
          <w:color w:val="auto"/>
          <w:sz w:val="22"/>
          <w:szCs w:val="24"/>
          <w:lang w:val="sq-AL"/>
        </w:rPr>
        <w:lastRenderedPageBreak/>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30</w:t>
      </w:r>
      <w:r w:rsidRPr="00A92096">
        <w:rPr>
          <w:rFonts w:asciiTheme="minorHAnsi" w:hAnsiTheme="minorHAnsi"/>
          <w:b w:val="0"/>
          <w:bCs w:val="0"/>
          <w:i/>
          <w:noProof/>
          <w:color w:val="auto"/>
          <w:sz w:val="22"/>
          <w:szCs w:val="24"/>
          <w:lang w:val="sq-AL"/>
        </w:rPr>
        <w:fldChar w:fldCharType="end"/>
      </w:r>
      <w:r w:rsidR="00931F3E" w:rsidRPr="00A92096">
        <w:rPr>
          <w:rFonts w:asciiTheme="minorHAnsi" w:hAnsiTheme="minorHAnsi"/>
          <w:b w:val="0"/>
          <w:bCs w:val="0"/>
          <w:i/>
          <w:noProof/>
          <w:color w:val="auto"/>
          <w:sz w:val="22"/>
          <w:szCs w:val="24"/>
          <w:lang w:val="sq-AL"/>
        </w:rPr>
        <w:t>: Të ardhurat e pushtetit vendor nga taksa e biznesit të vogël</w:t>
      </w:r>
      <w:bookmarkEnd w:id="66"/>
    </w:p>
    <w:p w:rsidR="00931F3E" w:rsidRPr="00460DDA" w:rsidRDefault="00931F3E" w:rsidP="00365D90">
      <w:pPr>
        <w:spacing w:line="276" w:lineRule="auto"/>
        <w:jc w:val="center"/>
        <w:rPr>
          <w:rFonts w:asciiTheme="minorHAnsi" w:hAnsiTheme="minorHAnsi"/>
          <w:i/>
          <w:sz w:val="22"/>
          <w:lang w:val="sq-AL"/>
        </w:rPr>
      </w:pPr>
      <w:r w:rsidRPr="00460DDA">
        <w:rPr>
          <w:rFonts w:asciiTheme="minorHAnsi" w:hAnsiTheme="minorHAnsi"/>
          <w:noProof/>
          <w:sz w:val="18"/>
          <w:szCs w:val="18"/>
        </w:rPr>
        <w:drawing>
          <wp:inline distT="0" distB="0" distL="0" distR="0" wp14:anchorId="0A141E8A" wp14:editId="40E450AA">
            <wp:extent cx="6115050" cy="2034540"/>
            <wp:effectExtent l="0" t="0" r="0" b="381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65D90" w:rsidRPr="00365D90" w:rsidRDefault="00365D90" w:rsidP="00365D90">
      <w:pPr>
        <w:pStyle w:val="Caption"/>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Taksat Lokale</w:t>
      </w:r>
    </w:p>
    <w:p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lang w:val="sq-AL"/>
        </w:rPr>
        <w:t>Taksat lokale janë një ndër burimet më të rëndësishme të financimit për njësitë e vetëqeverisjes vendore, të cilat gjithmonë e më shumë po konsolidohen në këndvështimin financiar dhe këtë e dëshmon rritja e të ardhurave nga ky burim. Në total për vitin 2022, të ardhurat nga taksat lokale zënë rreth 78.7% të të ardhurave të veta vendore, dhe krahasur me një vit më parë, ky burim ka një rritje me 41 % ose 3.2 miliard lekë, ndryshime të cilat reflektohen në grafikun e mëposhtëm:</w:t>
      </w:r>
    </w:p>
    <w:p w:rsidR="00931F3E" w:rsidRPr="00365D90" w:rsidRDefault="00A92096" w:rsidP="00A92096">
      <w:pPr>
        <w:pStyle w:val="Caption"/>
        <w:spacing w:after="0"/>
        <w:rPr>
          <w:rFonts w:asciiTheme="minorHAnsi" w:hAnsiTheme="minorHAnsi"/>
          <w:b w:val="0"/>
          <w:bCs w:val="0"/>
          <w:i/>
          <w:noProof/>
          <w:color w:val="auto"/>
          <w:sz w:val="22"/>
          <w:szCs w:val="24"/>
          <w:lang w:val="sq-AL"/>
        </w:rPr>
      </w:pPr>
      <w:bookmarkStart w:id="67" w:name="_Toc107498122"/>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31</w:t>
      </w:r>
      <w:r w:rsidRPr="00A92096">
        <w:rPr>
          <w:rFonts w:asciiTheme="minorHAnsi" w:hAnsiTheme="minorHAnsi"/>
          <w:b w:val="0"/>
          <w:bCs w:val="0"/>
          <w:i/>
          <w:noProof/>
          <w:color w:val="auto"/>
          <w:sz w:val="22"/>
          <w:szCs w:val="24"/>
          <w:lang w:val="sq-AL"/>
        </w:rPr>
        <w:fldChar w:fldCharType="end"/>
      </w:r>
      <w:r w:rsidR="00931F3E" w:rsidRPr="00365D90">
        <w:rPr>
          <w:rFonts w:asciiTheme="minorHAnsi" w:hAnsiTheme="minorHAnsi"/>
          <w:b w:val="0"/>
          <w:bCs w:val="0"/>
          <w:i/>
          <w:noProof/>
          <w:color w:val="auto"/>
          <w:sz w:val="22"/>
          <w:szCs w:val="24"/>
          <w:lang w:val="sq-AL"/>
        </w:rPr>
        <w:t>: Të ardhurat e pushtetit e pushtetit vendor nga taksat lokale</w:t>
      </w:r>
      <w:bookmarkEnd w:id="67"/>
    </w:p>
    <w:p w:rsidR="00931F3E" w:rsidRPr="00460DDA" w:rsidRDefault="00931F3E" w:rsidP="00931F3E">
      <w:pPr>
        <w:jc w:val="center"/>
        <w:rPr>
          <w:rFonts w:asciiTheme="minorHAnsi" w:hAnsiTheme="minorHAnsi"/>
          <w:lang w:val="sq-AL"/>
        </w:rPr>
      </w:pPr>
      <w:r w:rsidRPr="00460DDA">
        <w:rPr>
          <w:rFonts w:asciiTheme="minorHAnsi" w:hAnsiTheme="minorHAnsi"/>
          <w:noProof/>
          <w:sz w:val="16"/>
          <w:szCs w:val="16"/>
        </w:rPr>
        <w:drawing>
          <wp:inline distT="0" distB="0" distL="0" distR="0" wp14:anchorId="11F771B7" wp14:editId="5CD231E6">
            <wp:extent cx="6029325" cy="1958340"/>
            <wp:effectExtent l="0" t="0" r="9525" b="3810"/>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65D90" w:rsidRPr="00365D90" w:rsidRDefault="00365D90" w:rsidP="00365D90">
      <w:pPr>
        <w:pStyle w:val="Caption"/>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931F3E">
      <w:pPr>
        <w:spacing w:before="240" w:line="276" w:lineRule="auto"/>
        <w:jc w:val="both"/>
        <w:rPr>
          <w:rFonts w:asciiTheme="minorHAnsi" w:hAnsiTheme="minorHAnsi"/>
          <w:lang w:val="sq-AL"/>
        </w:rPr>
      </w:pPr>
      <w:r w:rsidRPr="00460DDA">
        <w:rPr>
          <w:rFonts w:asciiTheme="minorHAnsi" w:hAnsiTheme="minorHAnsi"/>
          <w:lang w:val="sq-AL"/>
        </w:rPr>
        <w:t xml:space="preserve">Të ardhurat nga taksat lokale në 5 mujorin e parë të vitit 2022 kanë arritur në rreth 11.1 miliard lekë, ose rreth 3.2 miliard lekë më shumë se e njëjta periudhë e një viti më parë, duke shënuar kështu jo vetëm rritje në mbledhjen e kësaj takse, por edhe nivelin më të lartë të mbledhjes së taksave lokale në vite. </w:t>
      </w:r>
    </w:p>
    <w:p w:rsidR="00931F3E" w:rsidRPr="00460DDA" w:rsidRDefault="00931F3E" w:rsidP="00931F3E">
      <w:pPr>
        <w:spacing w:before="240" w:line="276" w:lineRule="auto"/>
        <w:jc w:val="both"/>
        <w:rPr>
          <w:rFonts w:asciiTheme="minorHAnsi" w:hAnsiTheme="minorHAnsi"/>
          <w:lang w:val="sq-AL"/>
        </w:rPr>
      </w:pPr>
      <w:r w:rsidRPr="00460DDA">
        <w:rPr>
          <w:rFonts w:asciiTheme="minorHAnsi" w:hAnsiTheme="minorHAnsi"/>
          <w:lang w:val="sq-AL"/>
        </w:rPr>
        <w:t>Vazhdimisht nga Ministria e Financave dhe Ekonomisë është vënë theksi jo vetëm në mënyrën e përdorimit të fondeve publike, por edhe në rëndësinë që ka rritja e të ardhurave të veta vendore në zhvillimin cilësor të shërbimeve që ofron pushteti vendor për qytetarët. Njësitë e vetëqeverisjes vendore synojnë rikuperimin e gjendjes financiare brenda një periudhe afatmesme me qëllim rikthimin e trendit normal të të ardhurave nga burimet e veta vendore, gjë që reflektohet edhe në të dhënat e mësipërme.</w:t>
      </w:r>
    </w:p>
    <w:p w:rsidR="00931F3E" w:rsidRDefault="00931F3E" w:rsidP="00931F3E">
      <w:pPr>
        <w:spacing w:line="276" w:lineRule="auto"/>
        <w:jc w:val="both"/>
        <w:rPr>
          <w:rFonts w:asciiTheme="minorHAnsi" w:hAnsiTheme="minorHAnsi"/>
          <w:lang w:val="sq-AL"/>
        </w:rPr>
      </w:pPr>
    </w:p>
    <w:p w:rsidR="004405A7" w:rsidRPr="00460DDA" w:rsidRDefault="004405A7" w:rsidP="00931F3E">
      <w:pPr>
        <w:spacing w:line="276" w:lineRule="auto"/>
        <w:jc w:val="both"/>
        <w:rPr>
          <w:rFonts w:asciiTheme="minorHAnsi" w:hAnsiTheme="minorHAnsi"/>
          <w:lang w:val="sq-AL"/>
        </w:rPr>
      </w:pPr>
    </w:p>
    <w:p w:rsidR="00931F3E" w:rsidRPr="00460DDA" w:rsidRDefault="00931F3E" w:rsidP="00931F3E">
      <w:pPr>
        <w:spacing w:before="120" w:after="120" w:line="276" w:lineRule="auto"/>
        <w:jc w:val="both"/>
        <w:rPr>
          <w:rFonts w:asciiTheme="minorHAnsi" w:hAnsiTheme="minorHAnsi"/>
          <w:b/>
          <w:i/>
          <w:lang w:val="sq-AL"/>
        </w:rPr>
      </w:pPr>
      <w:r w:rsidRPr="00460DDA">
        <w:rPr>
          <w:rFonts w:asciiTheme="minorHAnsi" w:hAnsiTheme="minorHAnsi"/>
          <w:b/>
          <w:i/>
          <w:lang w:val="sq-AL"/>
        </w:rPr>
        <w:lastRenderedPageBreak/>
        <w:t>Shpenzimet vendore</w:t>
      </w:r>
    </w:p>
    <w:p w:rsidR="00931F3E" w:rsidRPr="00365D90" w:rsidRDefault="00931F3E" w:rsidP="00931F3E">
      <w:pPr>
        <w:spacing w:before="120" w:after="120" w:line="276" w:lineRule="auto"/>
        <w:jc w:val="both"/>
        <w:rPr>
          <w:rFonts w:asciiTheme="minorHAnsi" w:hAnsiTheme="minorHAnsi"/>
          <w:sz w:val="22"/>
          <w:lang w:val="sq-AL"/>
        </w:rPr>
      </w:pPr>
      <w:r w:rsidRPr="00BE627C">
        <w:rPr>
          <w:rFonts w:asciiTheme="minorHAnsi" w:hAnsiTheme="minorHAnsi"/>
          <w:lang w:val="sq-AL"/>
        </w:rPr>
        <w:t>Shpenzimet e Pushtetit Vendor janë një tregues i rëndësishëm i procesit të menaxhimit të financave publike në nivel vendor. Ndër vite shpenzimet e pushtetit vendor janë një tregues në rritje të lehtë dhe kjo vjen si pasojë e rritjes së nivelit të shërbimeve dhe funksioneve që pushteti vendor ofron për qytetarët e saj. Buxheti vendor për 5 mujorin e parë të vitit 2022, nga të dhënat faktike të thesarit rezulton të jetë realizuar në masën 24.5 miliard lekë, rreth 4.67 miliard lekë më shumë se e njëjta periudhë e një v</w:t>
      </w:r>
      <w:r w:rsidR="00BE627C" w:rsidRPr="00BE627C">
        <w:rPr>
          <w:rFonts w:asciiTheme="minorHAnsi" w:hAnsiTheme="minorHAnsi"/>
          <w:lang w:val="sq-AL"/>
        </w:rPr>
        <w:t>iti më parë ose rritje me 23.6%</w:t>
      </w:r>
      <w:r w:rsidRPr="00BE627C">
        <w:rPr>
          <w:rFonts w:asciiTheme="minorHAnsi" w:hAnsiTheme="minorHAnsi"/>
          <w:lang w:val="sq-AL"/>
        </w:rPr>
        <w:t>. Nga analiza e të dhënave vihet re që të gjithë zërat e shpenzimeve kanë rritje, por pjesën më të madhe të kësaj rritjeje të shpenzimeve vendore krahasuar me një vit më parë e kanë, shpenzimet operative, shpenzimet e tjera korente dhe shpenzimet kapitale. Kjo evidentohet qartë nëse këto shpenzime i analizojmë në nivel llogarie, ku pjesën më të madhe të rritjes së shpenzimeve në vlerë absolute e ka zëri i shpenzimeve kapitale, me rreth 2.7 miliard lekë më shumë ose një rritje nga viti paraardhës me rreth 67%, ndërsa në përqindje rritjen më të lartë e ka zëri i shpenzimeve të tjera korente me 191%</w:t>
      </w:r>
      <w:r w:rsidRPr="00365D90">
        <w:rPr>
          <w:rFonts w:asciiTheme="minorHAnsi" w:hAnsiTheme="minorHAnsi"/>
          <w:sz w:val="22"/>
          <w:lang w:val="sq-AL"/>
        </w:rPr>
        <w:t>.</w:t>
      </w:r>
    </w:p>
    <w:p w:rsidR="00E12795" w:rsidRDefault="00462131" w:rsidP="00462131">
      <w:pPr>
        <w:pStyle w:val="Caption"/>
        <w:rPr>
          <w:rFonts w:asciiTheme="minorHAnsi" w:hAnsiTheme="minorHAnsi"/>
          <w:b w:val="0"/>
          <w:i/>
          <w:color w:val="auto"/>
          <w:sz w:val="22"/>
          <w:lang w:val="sq-AL"/>
        </w:rPr>
      </w:pPr>
      <w:bookmarkStart w:id="68" w:name="_Toc107498123"/>
      <w:r w:rsidRPr="00462131">
        <w:rPr>
          <w:rFonts w:asciiTheme="minorHAnsi" w:hAnsiTheme="minorHAnsi"/>
          <w:b w:val="0"/>
          <w:i/>
          <w:color w:val="auto"/>
          <w:sz w:val="22"/>
          <w:lang w:val="sq-AL"/>
        </w:rPr>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3B2B9B">
        <w:rPr>
          <w:rFonts w:asciiTheme="minorHAnsi" w:hAnsiTheme="minorHAnsi"/>
          <w:b w:val="0"/>
          <w:i/>
          <w:noProof/>
          <w:color w:val="auto"/>
          <w:sz w:val="22"/>
          <w:lang w:val="sq-AL"/>
        </w:rPr>
        <w:t>32</w:t>
      </w:r>
      <w:r w:rsidRPr="00462131">
        <w:rPr>
          <w:rFonts w:asciiTheme="minorHAnsi" w:hAnsiTheme="minorHAnsi"/>
          <w:b w:val="0"/>
          <w:i/>
          <w:color w:val="auto"/>
          <w:sz w:val="22"/>
          <w:lang w:val="sq-AL"/>
        </w:rPr>
        <w:fldChar w:fldCharType="end"/>
      </w:r>
      <w:r w:rsidR="00931F3E" w:rsidRPr="00342953">
        <w:rPr>
          <w:rFonts w:asciiTheme="minorHAnsi" w:hAnsiTheme="minorHAnsi"/>
          <w:b w:val="0"/>
          <w:i/>
          <w:color w:val="auto"/>
          <w:sz w:val="22"/>
          <w:lang w:val="sq-AL"/>
        </w:rPr>
        <w:t>: Shpenzimet për pushtetin vendor dhe ritmi i ndryshimit të tyre</w:t>
      </w:r>
      <w:bookmarkEnd w:id="68"/>
    </w:p>
    <w:p w:rsidR="00365D90" w:rsidRPr="00365D90" w:rsidRDefault="00931F3E" w:rsidP="00462131">
      <w:pPr>
        <w:pStyle w:val="Caption"/>
        <w:rPr>
          <w:rFonts w:asciiTheme="minorHAnsi" w:eastAsia="SimSun" w:hAnsiTheme="minorHAnsi"/>
          <w:b w:val="0"/>
          <w:bCs w:val="0"/>
          <w:i/>
          <w:color w:val="auto"/>
          <w:sz w:val="20"/>
          <w:szCs w:val="24"/>
          <w:lang w:val="sq-AL"/>
        </w:rPr>
      </w:pPr>
      <w:r w:rsidRPr="00460DDA">
        <w:rPr>
          <w:rFonts w:asciiTheme="minorHAnsi" w:hAnsiTheme="minorHAnsi"/>
          <w:noProof/>
          <w:color w:val="auto"/>
        </w:rPr>
        <w:drawing>
          <wp:inline distT="0" distB="0" distL="0" distR="0" wp14:anchorId="06D13C25" wp14:editId="23FD0706">
            <wp:extent cx="6115050" cy="1729740"/>
            <wp:effectExtent l="0" t="0" r="0" b="381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460DDA">
        <w:rPr>
          <w:rFonts w:asciiTheme="minorHAnsi" w:hAnsiTheme="minorHAnsi"/>
          <w:i/>
          <w:noProof/>
          <w:color w:val="auto"/>
          <w:sz w:val="20"/>
          <w:lang w:val="sq-AL" w:eastAsia="sq-AL"/>
        </w:rPr>
        <w:t xml:space="preserve"> </w:t>
      </w:r>
      <w:r w:rsidR="00365D90"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365D90">
      <w:pPr>
        <w:spacing w:before="120" w:after="120" w:line="276" w:lineRule="auto"/>
        <w:ind w:right="-43"/>
        <w:jc w:val="both"/>
        <w:rPr>
          <w:rFonts w:asciiTheme="minorHAnsi" w:hAnsiTheme="minorHAnsi"/>
          <w:i/>
          <w:sz w:val="22"/>
          <w:lang w:val="sq-AL"/>
        </w:rPr>
      </w:pPr>
      <w:r w:rsidRPr="00460DDA">
        <w:rPr>
          <w:rFonts w:asciiTheme="minorHAnsi" w:hAnsiTheme="minorHAnsi"/>
          <w:lang w:val="sq-AL"/>
        </w:rPr>
        <w:t>Shpenzimet e pushtetit vendor në vite sipas strukturës nuk kanë pësuar ndryshime të mëdha, por vihet re një tendencë pozitive e qendrueshmërisë së shpenzimeve të personelit, e shpenzimeve për investime dhe zgjerimi i shpenzimeve të mirëmbajtjes së aseteve që njësitë vendore zotërojnë përmes përdorimit në formën e shpenzimeve operative. Sipas të dhënave në nivel llogarie ekonomike, struktura e shpenzimeve rezulton si në grafikun më poshtë:</w:t>
      </w:r>
    </w:p>
    <w:p w:rsidR="00931F3E" w:rsidRPr="00462131" w:rsidRDefault="00462131" w:rsidP="00462131">
      <w:pPr>
        <w:pStyle w:val="Caption"/>
        <w:spacing w:after="0"/>
        <w:rPr>
          <w:rFonts w:asciiTheme="minorHAnsi" w:hAnsiTheme="minorHAnsi"/>
          <w:b w:val="0"/>
          <w:i/>
          <w:color w:val="auto"/>
          <w:sz w:val="22"/>
          <w:lang w:val="sq-AL"/>
        </w:rPr>
      </w:pPr>
      <w:bookmarkStart w:id="69" w:name="_Toc107498124"/>
      <w:r w:rsidRPr="00462131">
        <w:rPr>
          <w:rFonts w:asciiTheme="minorHAnsi" w:hAnsiTheme="minorHAnsi"/>
          <w:b w:val="0"/>
          <w:i/>
          <w:color w:val="auto"/>
          <w:sz w:val="22"/>
          <w:lang w:val="sq-AL"/>
        </w:rPr>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3B2B9B">
        <w:rPr>
          <w:rFonts w:asciiTheme="minorHAnsi" w:hAnsiTheme="minorHAnsi"/>
          <w:b w:val="0"/>
          <w:i/>
          <w:noProof/>
          <w:color w:val="auto"/>
          <w:sz w:val="22"/>
          <w:lang w:val="sq-AL"/>
        </w:rPr>
        <w:t>33</w:t>
      </w:r>
      <w:r w:rsidRPr="00462131">
        <w:rPr>
          <w:rFonts w:asciiTheme="minorHAnsi" w:hAnsiTheme="minorHAnsi"/>
          <w:b w:val="0"/>
          <w:i/>
          <w:color w:val="auto"/>
          <w:sz w:val="22"/>
          <w:lang w:val="sq-AL"/>
        </w:rPr>
        <w:fldChar w:fldCharType="end"/>
      </w:r>
      <w:r w:rsidR="00931F3E" w:rsidRPr="00462131">
        <w:rPr>
          <w:rFonts w:asciiTheme="minorHAnsi" w:hAnsiTheme="minorHAnsi"/>
          <w:b w:val="0"/>
          <w:i/>
          <w:color w:val="auto"/>
          <w:sz w:val="22"/>
          <w:lang w:val="sq-AL"/>
        </w:rPr>
        <w:t>: Shpenzimet e pushtetit vendor sipas strukturës buxhetore</w:t>
      </w:r>
      <w:bookmarkEnd w:id="69"/>
    </w:p>
    <w:p w:rsidR="00931F3E" w:rsidRPr="00460DDA" w:rsidRDefault="00931F3E" w:rsidP="00365D90">
      <w:pPr>
        <w:spacing w:line="276" w:lineRule="auto"/>
        <w:jc w:val="both"/>
        <w:rPr>
          <w:rFonts w:asciiTheme="minorHAnsi" w:hAnsiTheme="minorHAnsi"/>
          <w:i/>
          <w:sz w:val="22"/>
          <w:lang w:val="sq-AL"/>
        </w:rPr>
      </w:pPr>
      <w:r w:rsidRPr="00460DDA">
        <w:rPr>
          <w:rFonts w:asciiTheme="minorHAnsi" w:hAnsiTheme="minorHAnsi"/>
          <w:noProof/>
        </w:rPr>
        <w:drawing>
          <wp:inline distT="0" distB="0" distL="0" distR="0" wp14:anchorId="3D0331C5" wp14:editId="3E991C12">
            <wp:extent cx="6143625" cy="1805940"/>
            <wp:effectExtent l="0" t="0" r="9525" b="381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65D90" w:rsidRPr="00365D90" w:rsidRDefault="00365D90" w:rsidP="00365D90">
      <w:pPr>
        <w:pStyle w:val="Caption"/>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lang w:val="sq-AL"/>
        </w:rPr>
        <w:t>Më poshtë janë paraqitur në mënyrë të përmbledhur tabela e ndryshimeve të të ardhurave dhe shpenzimeve në financat publike vendore gjatë 5 mujorit të vitit 2022 dhe vitit 2021.</w:t>
      </w:r>
    </w:p>
    <w:p w:rsidR="00931F3E" w:rsidRPr="00342953" w:rsidRDefault="00931F3E" w:rsidP="00931F3E">
      <w:pPr>
        <w:pStyle w:val="Caption"/>
        <w:spacing w:after="0"/>
        <w:rPr>
          <w:rFonts w:asciiTheme="minorHAnsi" w:hAnsiTheme="minorHAnsi"/>
          <w:i/>
          <w:color w:val="auto"/>
          <w:sz w:val="22"/>
          <w:szCs w:val="22"/>
          <w:lang w:val="sq-AL"/>
        </w:rPr>
      </w:pPr>
      <w:bookmarkStart w:id="70" w:name="_Toc107496745"/>
      <w:r w:rsidRPr="00342953">
        <w:rPr>
          <w:rFonts w:asciiTheme="minorHAnsi" w:hAnsiTheme="minorHAnsi"/>
          <w:b w:val="0"/>
          <w:bCs w:val="0"/>
          <w:i/>
          <w:color w:val="auto"/>
          <w:sz w:val="22"/>
          <w:szCs w:val="22"/>
          <w:lang w:val="sq-AL"/>
        </w:rPr>
        <w:lastRenderedPageBreak/>
        <w:t xml:space="preserve">Tabela </w:t>
      </w:r>
      <w:r w:rsidRPr="00342953">
        <w:rPr>
          <w:rFonts w:asciiTheme="minorHAnsi" w:hAnsiTheme="minorHAnsi"/>
          <w:b w:val="0"/>
          <w:bCs w:val="0"/>
          <w:i/>
          <w:color w:val="auto"/>
          <w:sz w:val="22"/>
          <w:szCs w:val="22"/>
          <w:lang w:val="sq-AL"/>
        </w:rPr>
        <w:fldChar w:fldCharType="begin"/>
      </w:r>
      <w:r w:rsidRPr="00342953">
        <w:rPr>
          <w:rFonts w:asciiTheme="minorHAnsi" w:hAnsiTheme="minorHAnsi"/>
          <w:b w:val="0"/>
          <w:bCs w:val="0"/>
          <w:i/>
          <w:color w:val="auto"/>
          <w:sz w:val="22"/>
          <w:szCs w:val="22"/>
          <w:lang w:val="sq-AL"/>
        </w:rPr>
        <w:instrText xml:space="preserve"> SEQ Tabela \* ARABIC </w:instrText>
      </w:r>
      <w:r w:rsidRPr="00342953">
        <w:rPr>
          <w:rFonts w:asciiTheme="minorHAnsi" w:hAnsiTheme="minorHAnsi"/>
          <w:b w:val="0"/>
          <w:bCs w:val="0"/>
          <w:i/>
          <w:color w:val="auto"/>
          <w:sz w:val="22"/>
          <w:szCs w:val="22"/>
          <w:lang w:val="sq-AL"/>
        </w:rPr>
        <w:fldChar w:fldCharType="separate"/>
      </w:r>
      <w:r w:rsidR="003B2B9B">
        <w:rPr>
          <w:rFonts w:asciiTheme="minorHAnsi" w:hAnsiTheme="minorHAnsi"/>
          <w:b w:val="0"/>
          <w:bCs w:val="0"/>
          <w:i/>
          <w:noProof/>
          <w:color w:val="auto"/>
          <w:sz w:val="22"/>
          <w:szCs w:val="22"/>
          <w:lang w:val="sq-AL"/>
        </w:rPr>
        <w:t>9</w:t>
      </w:r>
      <w:r w:rsidRPr="00342953">
        <w:rPr>
          <w:rFonts w:asciiTheme="minorHAnsi" w:hAnsiTheme="minorHAnsi"/>
          <w:b w:val="0"/>
          <w:bCs w:val="0"/>
          <w:i/>
          <w:color w:val="auto"/>
          <w:sz w:val="22"/>
          <w:szCs w:val="22"/>
          <w:lang w:val="sq-AL"/>
        </w:rPr>
        <w:fldChar w:fldCharType="end"/>
      </w:r>
      <w:r w:rsidRPr="00342953">
        <w:rPr>
          <w:rFonts w:asciiTheme="minorHAnsi" w:hAnsiTheme="minorHAnsi"/>
          <w:b w:val="0"/>
          <w:bCs w:val="0"/>
          <w:i/>
          <w:color w:val="auto"/>
          <w:sz w:val="22"/>
          <w:szCs w:val="22"/>
          <w:lang w:val="sq-AL"/>
        </w:rPr>
        <w:t>: Të ardhurat dhe shpenzimet faktike të pushtetit vendor sipas natyrës (në milion lekë)</w:t>
      </w:r>
      <w:bookmarkEnd w:id="70"/>
    </w:p>
    <w:tbl>
      <w:tblPr>
        <w:tblW w:w="9669" w:type="dxa"/>
        <w:jc w:val="center"/>
        <w:tblLook w:val="04A0" w:firstRow="1" w:lastRow="0" w:firstColumn="1" w:lastColumn="0" w:noHBand="0" w:noVBand="1"/>
      </w:tblPr>
      <w:tblGrid>
        <w:gridCol w:w="468"/>
        <w:gridCol w:w="4408"/>
        <w:gridCol w:w="1165"/>
        <w:gridCol w:w="1165"/>
        <w:gridCol w:w="1276"/>
        <w:gridCol w:w="1187"/>
      </w:tblGrid>
      <w:tr w:rsidR="00460DDA" w:rsidRPr="00460DDA" w:rsidTr="00092976">
        <w:trPr>
          <w:trHeight w:val="252"/>
          <w:jc w:val="center"/>
        </w:trPr>
        <w:tc>
          <w:tcPr>
            <w:tcW w:w="468" w:type="dxa"/>
            <w:vMerge w:val="restart"/>
            <w:tcBorders>
              <w:top w:val="double" w:sz="6" w:space="0" w:color="auto"/>
              <w:left w:val="double" w:sz="6" w:space="0" w:color="auto"/>
              <w:bottom w:val="single" w:sz="4" w:space="0" w:color="auto"/>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Nr</w:t>
            </w:r>
          </w:p>
        </w:tc>
        <w:tc>
          <w:tcPr>
            <w:tcW w:w="4408" w:type="dxa"/>
            <w:vMerge w:val="restart"/>
            <w:tcBorders>
              <w:top w:val="double" w:sz="6" w:space="0" w:color="auto"/>
              <w:left w:val="single" w:sz="4" w:space="0" w:color="auto"/>
              <w:bottom w:val="single" w:sz="4" w:space="0" w:color="auto"/>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E  M  Ë  R  T  I  M  I</w:t>
            </w:r>
          </w:p>
        </w:tc>
        <w:tc>
          <w:tcPr>
            <w:tcW w:w="2330" w:type="dxa"/>
            <w:gridSpan w:val="2"/>
            <w:tcBorders>
              <w:top w:val="double" w:sz="6" w:space="0" w:color="auto"/>
              <w:left w:val="nil"/>
              <w:bottom w:val="single" w:sz="4" w:space="0" w:color="auto"/>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Fakt 5 mujori</w:t>
            </w:r>
          </w:p>
        </w:tc>
        <w:tc>
          <w:tcPr>
            <w:tcW w:w="2463" w:type="dxa"/>
            <w:gridSpan w:val="2"/>
            <w:tcBorders>
              <w:top w:val="double" w:sz="6" w:space="0" w:color="auto"/>
              <w:left w:val="nil"/>
              <w:bottom w:val="single" w:sz="4" w:space="0" w:color="auto"/>
              <w:right w:val="double" w:sz="6" w:space="0" w:color="000000"/>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Diferenca</w:t>
            </w:r>
          </w:p>
        </w:tc>
      </w:tr>
      <w:tr w:rsidR="00460DDA" w:rsidRPr="00460DDA" w:rsidTr="00092976">
        <w:trPr>
          <w:trHeight w:val="135"/>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2022</w:t>
            </w: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2021</w:t>
            </w:r>
          </w:p>
        </w:tc>
        <w:tc>
          <w:tcPr>
            <w:tcW w:w="1276" w:type="dxa"/>
            <w:tcBorders>
              <w:top w:val="nil"/>
              <w:left w:val="nil"/>
              <w:right w:val="single" w:sz="4" w:space="0" w:color="auto"/>
            </w:tcBorders>
            <w:shd w:val="clear" w:color="000000" w:fill="DBE5F1"/>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2022 ndaj</w:t>
            </w:r>
          </w:p>
        </w:tc>
        <w:tc>
          <w:tcPr>
            <w:tcW w:w="1187" w:type="dxa"/>
            <w:vMerge w:val="restart"/>
            <w:tcBorders>
              <w:top w:val="nil"/>
              <w:left w:val="single" w:sz="4" w:space="0" w:color="auto"/>
              <w:bottom w:val="single" w:sz="4" w:space="0" w:color="auto"/>
              <w:right w:val="double" w:sz="6" w:space="0" w:color="auto"/>
            </w:tcBorders>
            <w:shd w:val="clear" w:color="000000" w:fill="DBE5F1"/>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2022 ndaj 2021 në %</w:t>
            </w:r>
          </w:p>
        </w:tc>
      </w:tr>
      <w:tr w:rsidR="00460DDA" w:rsidRPr="00460DDA" w:rsidTr="00092976">
        <w:trPr>
          <w:trHeight w:val="162"/>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rsidR="00931F3E" w:rsidRPr="00460DDA" w:rsidRDefault="00931F3E" w:rsidP="00FD3343">
            <w:pPr>
              <w:rPr>
                <w:rFonts w:asciiTheme="minorHAnsi" w:hAnsiTheme="minorHAnsi" w:cs="Calibri"/>
                <w:b/>
                <w:bCs/>
                <w:sz w:val="16"/>
                <w:szCs w:val="16"/>
                <w:lang w:val="sq-AL"/>
              </w:rPr>
            </w:pPr>
          </w:p>
        </w:tc>
        <w:tc>
          <w:tcPr>
            <w:tcW w:w="1276" w:type="dxa"/>
            <w:tcBorders>
              <w:top w:val="nil"/>
              <w:left w:val="nil"/>
              <w:bottom w:val="single" w:sz="8" w:space="0" w:color="auto"/>
              <w:right w:val="single" w:sz="4" w:space="0" w:color="auto"/>
            </w:tcBorders>
            <w:shd w:val="clear" w:color="000000" w:fill="DBE5F1"/>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2021 në vlerë</w:t>
            </w:r>
          </w:p>
        </w:tc>
        <w:tc>
          <w:tcPr>
            <w:tcW w:w="1187" w:type="dxa"/>
            <w:vMerge/>
            <w:tcBorders>
              <w:top w:val="nil"/>
              <w:left w:val="single" w:sz="4" w:space="0" w:color="auto"/>
              <w:bottom w:val="single" w:sz="4" w:space="0" w:color="auto"/>
              <w:right w:val="double" w:sz="6" w:space="0" w:color="auto"/>
            </w:tcBorders>
            <w:vAlign w:val="center"/>
            <w:hideMark/>
          </w:tcPr>
          <w:p w:rsidR="00931F3E" w:rsidRPr="00460DDA" w:rsidRDefault="00931F3E" w:rsidP="00FD3343">
            <w:pPr>
              <w:rPr>
                <w:rFonts w:asciiTheme="minorHAnsi" w:hAnsiTheme="minorHAnsi" w:cs="Calibri"/>
                <w:b/>
                <w:bCs/>
                <w:sz w:val="16"/>
                <w:szCs w:val="16"/>
                <w:lang w:val="sq-AL"/>
              </w:rPr>
            </w:pPr>
          </w:p>
        </w:tc>
      </w:tr>
      <w:tr w:rsidR="00460DDA" w:rsidRPr="00460DDA" w:rsidTr="00342953">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b/>
                <w:bCs/>
                <w:sz w:val="18"/>
                <w:szCs w:val="18"/>
                <w:lang w:val="sq-AL"/>
              </w:rPr>
            </w:pPr>
            <w:r w:rsidRPr="00460DDA">
              <w:rPr>
                <w:rFonts w:asciiTheme="minorHAnsi" w:hAnsiTheme="minorHAnsi" w:cs="Calibri"/>
                <w:b/>
                <w:bCs/>
                <w:sz w:val="18"/>
                <w:szCs w:val="18"/>
                <w:lang w:val="sq-AL"/>
              </w:rPr>
              <w:t>Të ardhura nga Pushteti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14,098</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10,961</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3,137</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129%</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I.1</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i/>
                <w:iCs/>
                <w:sz w:val="18"/>
                <w:szCs w:val="18"/>
                <w:lang w:val="sq-AL"/>
              </w:rPr>
            </w:pPr>
            <w:r w:rsidRPr="00460DDA">
              <w:rPr>
                <w:rFonts w:asciiTheme="minorHAnsi" w:hAnsiTheme="minorHAnsi" w:cs="Calibri"/>
                <w:i/>
                <w:iCs/>
                <w:sz w:val="18"/>
                <w:szCs w:val="18"/>
                <w:lang w:val="sq-AL"/>
              </w:rPr>
              <w:t>Taksa mbi pasurinë</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2,958</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2,789</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169</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106%</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I.2</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i/>
                <w:iCs/>
                <w:sz w:val="18"/>
                <w:szCs w:val="18"/>
                <w:lang w:val="sq-AL"/>
              </w:rPr>
            </w:pPr>
            <w:r w:rsidRPr="00460DDA">
              <w:rPr>
                <w:rFonts w:asciiTheme="minorHAnsi" w:hAnsiTheme="minorHAnsi" w:cs="Calibri"/>
                <w:i/>
                <w:iCs/>
                <w:sz w:val="18"/>
                <w:szCs w:val="18"/>
                <w:lang w:val="sq-AL"/>
              </w:rPr>
              <w:t>Taksa e biznesit të vogël</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38</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278</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-240</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14%</w:t>
            </w:r>
          </w:p>
        </w:tc>
      </w:tr>
      <w:tr w:rsidR="00460DDA" w:rsidRPr="00460DDA" w:rsidTr="00342953">
        <w:trPr>
          <w:trHeight w:val="154"/>
          <w:jc w:val="center"/>
        </w:trPr>
        <w:tc>
          <w:tcPr>
            <w:tcW w:w="468" w:type="dxa"/>
            <w:tcBorders>
              <w:top w:val="nil"/>
              <w:left w:val="double" w:sz="6" w:space="0" w:color="auto"/>
              <w:bottom w:val="nil"/>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I.3</w:t>
            </w:r>
          </w:p>
        </w:tc>
        <w:tc>
          <w:tcPr>
            <w:tcW w:w="4408" w:type="dxa"/>
            <w:tcBorders>
              <w:top w:val="nil"/>
              <w:left w:val="nil"/>
              <w:bottom w:val="nil"/>
              <w:right w:val="single" w:sz="4" w:space="0" w:color="auto"/>
            </w:tcBorders>
            <w:shd w:val="clear" w:color="auto" w:fill="auto"/>
            <w:noWrap/>
            <w:vAlign w:val="center"/>
            <w:hideMark/>
          </w:tcPr>
          <w:p w:rsidR="00931F3E" w:rsidRPr="00460DDA" w:rsidRDefault="00931F3E" w:rsidP="00FD3343">
            <w:pPr>
              <w:rPr>
                <w:rFonts w:asciiTheme="minorHAnsi" w:hAnsiTheme="minorHAnsi" w:cs="Calibri"/>
                <w:i/>
                <w:iCs/>
                <w:sz w:val="18"/>
                <w:szCs w:val="18"/>
                <w:lang w:val="sq-AL"/>
              </w:rPr>
            </w:pPr>
            <w:r w:rsidRPr="00460DDA">
              <w:rPr>
                <w:rFonts w:asciiTheme="minorHAnsi" w:hAnsiTheme="minorHAnsi" w:cs="Calibri"/>
                <w:i/>
                <w:iCs/>
                <w:sz w:val="18"/>
                <w:szCs w:val="18"/>
                <w:lang w:val="sq-AL"/>
              </w:rPr>
              <w:t>Taksa Lokale</w:t>
            </w:r>
          </w:p>
        </w:tc>
        <w:tc>
          <w:tcPr>
            <w:tcW w:w="1165" w:type="dxa"/>
            <w:tcBorders>
              <w:top w:val="nil"/>
              <w:left w:val="nil"/>
              <w:bottom w:val="nil"/>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11,102</w:t>
            </w:r>
          </w:p>
        </w:tc>
        <w:tc>
          <w:tcPr>
            <w:tcW w:w="1165" w:type="dxa"/>
            <w:tcBorders>
              <w:top w:val="nil"/>
              <w:left w:val="nil"/>
              <w:bottom w:val="nil"/>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7,894</w:t>
            </w:r>
          </w:p>
        </w:tc>
        <w:tc>
          <w:tcPr>
            <w:tcW w:w="1276" w:type="dxa"/>
            <w:tcBorders>
              <w:top w:val="nil"/>
              <w:left w:val="nil"/>
              <w:bottom w:val="nil"/>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3,208</w:t>
            </w:r>
          </w:p>
        </w:tc>
        <w:tc>
          <w:tcPr>
            <w:tcW w:w="1187" w:type="dxa"/>
            <w:tcBorders>
              <w:top w:val="nil"/>
              <w:left w:val="nil"/>
              <w:bottom w:val="nil"/>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141%</w:t>
            </w:r>
          </w:p>
        </w:tc>
      </w:tr>
      <w:tr w:rsidR="00460DDA" w:rsidRPr="00460DDA" w:rsidTr="00342953">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rsidR="00931F3E" w:rsidRPr="00460DDA" w:rsidRDefault="00931F3E" w:rsidP="00FD3343">
            <w:pPr>
              <w:jc w:val="center"/>
              <w:rPr>
                <w:rFonts w:asciiTheme="minorHAnsi" w:hAnsiTheme="minorHAnsi" w:cs="Calibri"/>
                <w:b/>
                <w:bCs/>
                <w:sz w:val="16"/>
                <w:szCs w:val="16"/>
                <w:lang w:val="sq-AL"/>
              </w:rPr>
            </w:pPr>
            <w:r w:rsidRPr="00460DDA">
              <w:rPr>
                <w:rFonts w:asciiTheme="minorHAnsi" w:hAnsiTheme="minorHAnsi" w:cs="Calibri"/>
                <w:b/>
                <w:bCs/>
                <w:sz w:val="16"/>
                <w:szCs w:val="16"/>
                <w:lang w:val="sq-AL"/>
              </w:rPr>
              <w:t>II.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b/>
                <w:bCs/>
                <w:sz w:val="18"/>
                <w:szCs w:val="18"/>
                <w:lang w:val="sq-AL"/>
              </w:rPr>
            </w:pPr>
            <w:r w:rsidRPr="00460DDA">
              <w:rPr>
                <w:rFonts w:asciiTheme="minorHAnsi" w:hAnsiTheme="minorHAnsi" w:cs="Calibri"/>
                <w:b/>
                <w:bCs/>
                <w:sz w:val="18"/>
                <w:szCs w:val="18"/>
                <w:lang w:val="sq-AL"/>
              </w:rPr>
              <w:t>Shpenzime nga Pushtetit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24,479</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19,809</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4,670</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8"/>
                <w:szCs w:val="18"/>
                <w:lang w:val="sq-AL"/>
              </w:rPr>
            </w:pPr>
            <w:r w:rsidRPr="00460DDA">
              <w:rPr>
                <w:rFonts w:asciiTheme="minorHAnsi" w:hAnsiTheme="minorHAnsi" w:cs="Calibri"/>
                <w:b/>
                <w:bCs/>
                <w:sz w:val="18"/>
                <w:szCs w:val="18"/>
                <w:lang w:val="sq-AL"/>
              </w:rPr>
              <w:t>124%</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6"/>
                <w:szCs w:val="16"/>
                <w:lang w:val="sq-AL"/>
              </w:rPr>
            </w:pPr>
            <w:r w:rsidRPr="00460DDA">
              <w:rPr>
                <w:rFonts w:asciiTheme="minorHAnsi" w:hAnsiTheme="minorHAnsi" w:cs="Calibri"/>
                <w:b/>
                <w:bCs/>
                <w:sz w:val="16"/>
                <w:szCs w:val="16"/>
                <w:lang w:val="sq-AL"/>
              </w:rPr>
              <w:t>II.1</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Shpenzime Korente</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17,730</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15,759</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1,972</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113%</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i/>
                <w:iCs/>
                <w:sz w:val="18"/>
                <w:szCs w:val="18"/>
                <w:lang w:val="sq-AL"/>
              </w:rPr>
            </w:pPr>
            <w:r w:rsidRPr="00460DDA">
              <w:rPr>
                <w:rFonts w:asciiTheme="minorHAnsi" w:hAnsiTheme="minorHAnsi" w:cs="Calibri"/>
                <w:i/>
                <w:iCs/>
                <w:sz w:val="18"/>
                <w:szCs w:val="18"/>
                <w:lang w:val="sq-AL"/>
              </w:rPr>
              <w:t xml:space="preserve">Personeli </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10,108</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9,872</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236</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102%</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i/>
                <w:iCs/>
                <w:sz w:val="18"/>
                <w:szCs w:val="18"/>
                <w:lang w:val="sq-AL"/>
              </w:rPr>
            </w:pPr>
            <w:r w:rsidRPr="00460DDA">
              <w:rPr>
                <w:rFonts w:asciiTheme="minorHAnsi" w:hAnsiTheme="minorHAnsi" w:cs="Calibri"/>
                <w:i/>
                <w:iCs/>
                <w:sz w:val="18"/>
                <w:szCs w:val="18"/>
                <w:lang w:val="sq-AL"/>
              </w:rPr>
              <w:t>Shpenzime Oper. Mirmbajtje</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5,886</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5,257</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629</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112%</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i/>
                <w:iCs/>
                <w:sz w:val="18"/>
                <w:szCs w:val="18"/>
                <w:lang w:val="sq-AL"/>
              </w:rPr>
            </w:pPr>
            <w:r w:rsidRPr="00460DDA">
              <w:rPr>
                <w:rFonts w:asciiTheme="minorHAnsi" w:hAnsiTheme="minorHAnsi" w:cs="Calibri"/>
                <w:i/>
                <w:iCs/>
                <w:sz w:val="18"/>
                <w:szCs w:val="18"/>
                <w:lang w:val="sq-AL"/>
              </w:rPr>
              <w:t>Subvencione</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71</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58</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13</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122%</w:t>
            </w:r>
          </w:p>
        </w:tc>
      </w:tr>
      <w:tr w:rsidR="00460DDA" w:rsidRPr="00460DDA" w:rsidTr="00342953">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6"/>
                <w:szCs w:val="16"/>
                <w:lang w:val="sq-AL"/>
              </w:rPr>
            </w:pPr>
            <w:r w:rsidRPr="00460DDA">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i/>
                <w:iCs/>
                <w:sz w:val="18"/>
                <w:szCs w:val="18"/>
                <w:lang w:val="sq-AL"/>
              </w:rPr>
            </w:pPr>
            <w:r w:rsidRPr="00460DDA">
              <w:rPr>
                <w:rFonts w:asciiTheme="minorHAnsi" w:hAnsiTheme="minorHAnsi" w:cs="Calibri"/>
                <w:i/>
                <w:iCs/>
                <w:sz w:val="18"/>
                <w:szCs w:val="18"/>
                <w:lang w:val="sq-AL"/>
              </w:rPr>
              <w:t>Te tjera</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1,666</w:t>
            </w:r>
          </w:p>
        </w:tc>
        <w:tc>
          <w:tcPr>
            <w:tcW w:w="1165"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i/>
                <w:iCs/>
                <w:sz w:val="18"/>
                <w:szCs w:val="18"/>
                <w:lang w:val="sq-AL"/>
              </w:rPr>
            </w:pPr>
            <w:r w:rsidRPr="00460DDA">
              <w:rPr>
                <w:rFonts w:asciiTheme="minorHAnsi" w:hAnsiTheme="minorHAnsi" w:cs="Calibri"/>
                <w:i/>
                <w:iCs/>
                <w:sz w:val="18"/>
                <w:szCs w:val="18"/>
                <w:lang w:val="sq-AL"/>
              </w:rPr>
              <w:t>572</w:t>
            </w:r>
          </w:p>
        </w:tc>
        <w:tc>
          <w:tcPr>
            <w:tcW w:w="1276" w:type="dxa"/>
            <w:tcBorders>
              <w:top w:val="nil"/>
              <w:left w:val="nil"/>
              <w:bottom w:val="single" w:sz="4"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1,094</w:t>
            </w:r>
          </w:p>
        </w:tc>
        <w:tc>
          <w:tcPr>
            <w:tcW w:w="1187" w:type="dxa"/>
            <w:tcBorders>
              <w:top w:val="nil"/>
              <w:left w:val="nil"/>
              <w:bottom w:val="single" w:sz="4"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sz w:val="18"/>
                <w:szCs w:val="18"/>
                <w:lang w:val="sq-AL"/>
              </w:rPr>
            </w:pPr>
            <w:r w:rsidRPr="00460DDA">
              <w:rPr>
                <w:rFonts w:asciiTheme="minorHAnsi" w:hAnsiTheme="minorHAnsi" w:cs="Calibri"/>
                <w:sz w:val="18"/>
                <w:szCs w:val="18"/>
                <w:lang w:val="sq-AL"/>
              </w:rPr>
              <w:t>291%</w:t>
            </w:r>
          </w:p>
        </w:tc>
      </w:tr>
      <w:tr w:rsidR="00460DDA" w:rsidRPr="00460DDA" w:rsidTr="00342953">
        <w:trPr>
          <w:trHeight w:val="154"/>
          <w:jc w:val="center"/>
        </w:trPr>
        <w:tc>
          <w:tcPr>
            <w:tcW w:w="468" w:type="dxa"/>
            <w:tcBorders>
              <w:top w:val="nil"/>
              <w:left w:val="double" w:sz="6" w:space="0" w:color="auto"/>
              <w:bottom w:val="double" w:sz="6"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sz w:val="16"/>
                <w:szCs w:val="16"/>
                <w:lang w:val="sq-AL"/>
              </w:rPr>
            </w:pPr>
            <w:r w:rsidRPr="00460DDA">
              <w:rPr>
                <w:rFonts w:asciiTheme="minorHAnsi" w:hAnsiTheme="minorHAnsi" w:cs="Calibri"/>
                <w:b/>
                <w:bCs/>
                <w:sz w:val="16"/>
                <w:szCs w:val="16"/>
                <w:lang w:val="sq-AL"/>
              </w:rPr>
              <w:t>II.2</w:t>
            </w:r>
          </w:p>
        </w:tc>
        <w:tc>
          <w:tcPr>
            <w:tcW w:w="4408" w:type="dxa"/>
            <w:tcBorders>
              <w:top w:val="nil"/>
              <w:left w:val="nil"/>
              <w:bottom w:val="double" w:sz="6" w:space="0" w:color="auto"/>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Shpenzime Kapitale</w:t>
            </w:r>
          </w:p>
        </w:tc>
        <w:tc>
          <w:tcPr>
            <w:tcW w:w="1165" w:type="dxa"/>
            <w:tcBorders>
              <w:top w:val="nil"/>
              <w:left w:val="nil"/>
              <w:bottom w:val="double" w:sz="6"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6,749</w:t>
            </w:r>
          </w:p>
        </w:tc>
        <w:tc>
          <w:tcPr>
            <w:tcW w:w="1165" w:type="dxa"/>
            <w:tcBorders>
              <w:top w:val="nil"/>
              <w:left w:val="nil"/>
              <w:bottom w:val="double" w:sz="6"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4,050</w:t>
            </w:r>
          </w:p>
        </w:tc>
        <w:tc>
          <w:tcPr>
            <w:tcW w:w="1276" w:type="dxa"/>
            <w:tcBorders>
              <w:top w:val="nil"/>
              <w:left w:val="nil"/>
              <w:bottom w:val="double" w:sz="6" w:space="0" w:color="auto"/>
              <w:right w:val="single" w:sz="4"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2,699</w:t>
            </w:r>
          </w:p>
        </w:tc>
        <w:tc>
          <w:tcPr>
            <w:tcW w:w="1187" w:type="dxa"/>
            <w:tcBorders>
              <w:top w:val="nil"/>
              <w:left w:val="nil"/>
              <w:bottom w:val="double" w:sz="6" w:space="0" w:color="auto"/>
              <w:right w:val="double" w:sz="6" w:space="0" w:color="auto"/>
            </w:tcBorders>
            <w:shd w:val="clear" w:color="auto" w:fill="auto"/>
            <w:noWrap/>
            <w:vAlign w:val="center"/>
            <w:hideMark/>
          </w:tcPr>
          <w:p w:rsidR="00931F3E" w:rsidRPr="00460DDA" w:rsidRDefault="00931F3E" w:rsidP="00FD3343">
            <w:pPr>
              <w:jc w:val="right"/>
              <w:rPr>
                <w:rFonts w:asciiTheme="minorHAnsi" w:hAnsiTheme="minorHAnsi" w:cs="Calibri"/>
                <w:b/>
                <w:bCs/>
                <w:i/>
                <w:iCs/>
                <w:sz w:val="18"/>
                <w:szCs w:val="18"/>
                <w:lang w:val="sq-AL"/>
              </w:rPr>
            </w:pPr>
            <w:r w:rsidRPr="00460DDA">
              <w:rPr>
                <w:rFonts w:asciiTheme="minorHAnsi" w:hAnsiTheme="minorHAnsi" w:cs="Calibri"/>
                <w:b/>
                <w:bCs/>
                <w:i/>
                <w:iCs/>
                <w:sz w:val="18"/>
                <w:szCs w:val="18"/>
                <w:lang w:val="sq-AL"/>
              </w:rPr>
              <w:t>167%</w:t>
            </w:r>
          </w:p>
        </w:tc>
      </w:tr>
    </w:tbl>
    <w:p w:rsidR="00365D90" w:rsidRPr="00365D90" w:rsidRDefault="00365D90" w:rsidP="00365D90">
      <w:pPr>
        <w:pStyle w:val="Caption"/>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931F3E" w:rsidRPr="00460DDA" w:rsidRDefault="00931F3E" w:rsidP="00931F3E">
      <w:pPr>
        <w:spacing w:line="276" w:lineRule="auto"/>
        <w:ind w:firstLine="567"/>
        <w:jc w:val="both"/>
        <w:rPr>
          <w:rFonts w:asciiTheme="minorHAnsi" w:hAnsiTheme="minorHAnsi"/>
          <w:i/>
          <w:sz w:val="4"/>
          <w:szCs w:val="8"/>
          <w:lang w:val="sq-AL"/>
        </w:rPr>
      </w:pPr>
    </w:p>
    <w:p w:rsidR="00931F3E" w:rsidRPr="00460DDA" w:rsidRDefault="00931F3E" w:rsidP="00342953">
      <w:pPr>
        <w:spacing w:after="120" w:line="276" w:lineRule="auto"/>
        <w:jc w:val="both"/>
        <w:rPr>
          <w:rFonts w:asciiTheme="minorHAnsi" w:hAnsiTheme="minorHAnsi"/>
          <w:lang w:val="sq-AL"/>
        </w:rPr>
      </w:pPr>
      <w:r w:rsidRPr="00460DDA">
        <w:rPr>
          <w:rFonts w:asciiTheme="minorHAnsi" w:hAnsiTheme="minorHAnsi"/>
          <w:i/>
          <w:u w:val="single"/>
          <w:lang w:val="sq-AL"/>
        </w:rPr>
        <w:t>Shpenzimet e Personelit</w:t>
      </w:r>
      <w:r w:rsidRPr="00460DDA">
        <w:rPr>
          <w:rFonts w:asciiTheme="minorHAnsi" w:hAnsiTheme="minorHAnsi"/>
          <w:lang w:val="sq-AL"/>
        </w:rPr>
        <w:t xml:space="preserve"> përbëjnë një pjesë të konsiderueshme të shpenzimeve totale të njësive të veqeverisjes vendore me rreth 41%. Për 5 mujorin e vitit 2022 këto shpenzime janë realizuar në masën 10.1 miliard lekë ose rreth 236 milion lekë më shumë se e njëjta periudhë e një vitit më parë. Rritja e këtyre shpenzimeve për vitin 2022, argumentohet me faktin se tashmë njësitë vendore me shtimin e kompetencave dhe funksioneve që ata duhet të ushtrojnë kanë të domosdoshëm shtimin e personelit që ofron këto shërbime, por edhe përmirësimin e politikave të pagave në NJVQV-të.</w:t>
      </w:r>
    </w:p>
    <w:p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Operative</w:t>
      </w:r>
      <w:r w:rsidRPr="00460DDA">
        <w:rPr>
          <w:rFonts w:asciiTheme="minorHAnsi" w:hAnsiTheme="minorHAnsi"/>
          <w:lang w:val="sq-AL"/>
        </w:rPr>
        <w:t xml:space="preserve"> që janë shumë të rëndësishme për mbarëvajtjen dhe ushtrimin e funksioneve. Këto shpenzime në 5 mujorin 2022 rezultojnë me një rritje të ndjeshme sipas të dhënave faktike të thesarit. Shpenzimet operative përbëjnë rreth 24% të shpenzimeve korrente në total për 5 mujorin e parë të vitit 2022, një pjesë kjo e konsiderueshme për buxhetin njësive të vetëqeverisjes vendore. Këto shpenzime gjatë periudhës 5 mujore 202</w:t>
      </w:r>
      <w:r w:rsidR="00342953">
        <w:rPr>
          <w:rFonts w:asciiTheme="minorHAnsi" w:hAnsiTheme="minorHAnsi"/>
          <w:lang w:val="sq-AL"/>
        </w:rPr>
        <w:t>2</w:t>
      </w:r>
      <w:r w:rsidRPr="00460DDA">
        <w:rPr>
          <w:rFonts w:asciiTheme="minorHAnsi" w:hAnsiTheme="minorHAnsi"/>
          <w:lang w:val="sq-AL"/>
        </w:rPr>
        <w:t xml:space="preserve"> janë realizuar afërsisht në masën 5.9 miliard lekë ose rreth 629 milion lekë më shumë se e njëjta periudhë e vitit 2021.</w:t>
      </w:r>
    </w:p>
    <w:p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për subvencione dhe të tjera</w:t>
      </w:r>
      <w:r w:rsidRPr="00460DDA">
        <w:rPr>
          <w:rFonts w:asciiTheme="minorHAnsi" w:hAnsiTheme="minorHAnsi"/>
          <w:lang w:val="sq-AL"/>
        </w:rPr>
        <w:t xml:space="preserve"> janë shpenzimet që zhvillojnë njësitë e vetëqeverisjes vendore për të subvencionuar dhe mbuluar funksione të tjera administrative. Në këto kushte nga sa përcaktohet në tabelën mësipërme në raport me 5 mujorin e parë të vitit 2021, këto shpenzime për të njëjtën periudhë në vitin 2022 janë rritur me 22% ose 13 milion lekë për zërin subvencione. Ndërkohë, shpenzimet e tjera janë realizuar në masën rreth 1.7 miliard lekë ose rreth 1.09 miliard lekë më shumë se 5 mujori i parë i vitit 2021, që në përqindje përfaqëson edhe rritjen më të madhe të zërit të shpenzimeve krahasuar me të njëjtën periudhë të vitit të kaluar.</w:t>
      </w:r>
    </w:p>
    <w:p w:rsidR="00931F3E" w:rsidRPr="00460DDA" w:rsidRDefault="00931F3E" w:rsidP="00092976">
      <w:pPr>
        <w:spacing w:line="276" w:lineRule="auto"/>
        <w:jc w:val="both"/>
        <w:rPr>
          <w:rFonts w:asciiTheme="minorHAnsi" w:hAnsiTheme="minorHAnsi"/>
          <w:lang w:val="sq-AL"/>
        </w:rPr>
      </w:pPr>
      <w:r w:rsidRPr="00460DDA">
        <w:rPr>
          <w:rFonts w:asciiTheme="minorHAnsi" w:hAnsiTheme="minorHAnsi"/>
          <w:i/>
          <w:u w:val="single"/>
          <w:lang w:val="sq-AL"/>
        </w:rPr>
        <w:t>Shpenzimet Kapitale</w:t>
      </w:r>
      <w:r w:rsidRPr="00460DDA">
        <w:rPr>
          <w:rFonts w:asciiTheme="minorHAnsi" w:hAnsiTheme="minorHAnsi"/>
          <w:lang w:val="sq-AL"/>
        </w:rPr>
        <w:t xml:space="preserve"> janë një zë mjaft i rëndësishëm në buxhetin vendor, për shkak sepse këto shpenzime sjellin në mënyrë direkte dhe indirekte zhvillim ekonomik dhe për rrjedhojë ndikojnë mirëqënien e qytetarëve. Nga tabela e mësipërme vëmë re që në krahasim me një vit më parë gjatë 5 mujorit të parë të vitit 2022 shpenzimet për investime janë rritur me rreth 2.7 miliard lekë ose 67% më shumë. Rritja e peshës së tyre në raport me totalin e shpenzimeve vendore përbën një shtysë të rëndësishme në angazhimin për zhvillimin infrastrukturor përmes pushtetit vendor. Sa i përket këtij treguesi për vitin 2022, raporti që zënë shpenzimet kapitale ndaj shpenzimeve totale të buxhetit vendor është rritur në 27.6%  nga 20.4% që ishte në 5 mujorin e parë të vitit 2021.</w:t>
      </w:r>
    </w:p>
    <w:p w:rsidR="00931F3E" w:rsidRPr="00460DDA" w:rsidRDefault="00931F3E" w:rsidP="00092976">
      <w:pPr>
        <w:spacing w:line="276" w:lineRule="auto"/>
        <w:jc w:val="both"/>
        <w:rPr>
          <w:rFonts w:asciiTheme="minorHAnsi" w:hAnsiTheme="minorHAnsi"/>
          <w:lang w:val="sq-AL"/>
        </w:rPr>
      </w:pPr>
      <w:r w:rsidRPr="00460DDA">
        <w:rPr>
          <w:rFonts w:asciiTheme="minorHAnsi" w:hAnsiTheme="minorHAnsi"/>
          <w:lang w:val="sq-AL"/>
        </w:rPr>
        <w:t xml:space="preserve">Vlen të theksohet fakti që treguesit e vitit 2022, krahasuar me vitin 2021, në përgjithësi janë të gjithë në rritje si për të ardhurat ashtu edhe për shpenzimet, duke vijuar kështu rritjen e ekonomisë në përgjithësi dhe asaj vendore në veçanti. </w:t>
      </w:r>
    </w:p>
    <w:p w:rsidR="00931F3E" w:rsidRPr="00460DDA" w:rsidRDefault="00931F3E" w:rsidP="00931F3E">
      <w:pPr>
        <w:spacing w:before="120" w:after="120" w:line="276" w:lineRule="auto"/>
        <w:jc w:val="both"/>
        <w:rPr>
          <w:rFonts w:asciiTheme="minorHAnsi" w:hAnsiTheme="minorHAnsi"/>
          <w:lang w:val="sq-AL"/>
        </w:rPr>
      </w:pPr>
      <w:r w:rsidRPr="00342953">
        <w:rPr>
          <w:rFonts w:asciiTheme="minorHAnsi" w:hAnsiTheme="minorHAnsi"/>
          <w:b/>
          <w:i/>
          <w:lang w:val="sq-AL"/>
        </w:rPr>
        <w:lastRenderedPageBreak/>
        <w:t>Fondi i rindërtimit</w:t>
      </w:r>
      <w:r w:rsidRPr="00342953">
        <w:rPr>
          <w:rFonts w:asciiTheme="minorHAnsi" w:hAnsiTheme="minorHAnsi"/>
          <w:i/>
          <w:lang w:val="sq-AL"/>
        </w:rPr>
        <w:t xml:space="preserve"> </w:t>
      </w:r>
      <w:r w:rsidRPr="00342953">
        <w:rPr>
          <w:rFonts w:asciiTheme="minorHAnsi" w:hAnsiTheme="minorHAnsi"/>
          <w:lang w:val="sq-AL"/>
        </w:rPr>
        <w:t>është pjesë e shpenzimeve të buxhetit vendor që ka ndikuar gjithshtu në rritjen</w:t>
      </w:r>
      <w:r w:rsidRPr="00460DDA">
        <w:rPr>
          <w:rFonts w:asciiTheme="minorHAnsi" w:hAnsiTheme="minorHAnsi"/>
          <w:lang w:val="sq-AL"/>
        </w:rPr>
        <w:t xml:space="preserve"> ekonomike të njësive të vetëqeverisjes vendore. Financimi për NJVQV për 5-mujorin 2022, ku përfshihet edhe mbartja e fondit të akorduar me VKM, por e papërdorur në vitin 2021, është 14.5 miliard lekë, ndërkohë që përdorimi deri në fund të 5 mujorit 2022 është rreth 4.9 miliard lekë. Detajimi </w:t>
      </w:r>
      <w:r w:rsidR="00342953">
        <w:rPr>
          <w:rFonts w:asciiTheme="minorHAnsi" w:hAnsiTheme="minorHAnsi"/>
          <w:lang w:val="sq-AL"/>
        </w:rPr>
        <w:t>i fondit të R</w:t>
      </w:r>
      <w:r w:rsidRPr="00460DDA">
        <w:rPr>
          <w:rFonts w:asciiTheme="minorHAnsi" w:hAnsiTheme="minorHAnsi"/>
          <w:lang w:val="sq-AL"/>
        </w:rPr>
        <w:t>indërtimit sipas natyrës së shpenzimeve, paraq</w:t>
      </w:r>
      <w:r w:rsidR="00342953">
        <w:rPr>
          <w:rFonts w:asciiTheme="minorHAnsi" w:hAnsiTheme="minorHAnsi"/>
          <w:lang w:val="sq-AL"/>
        </w:rPr>
        <w:t xml:space="preserve">itet </w:t>
      </w:r>
      <w:r w:rsidRPr="00460DDA">
        <w:rPr>
          <w:rFonts w:asciiTheme="minorHAnsi" w:hAnsiTheme="minorHAnsi"/>
          <w:lang w:val="sq-AL"/>
        </w:rPr>
        <w:t>në tabelën e mëposhtme:</w:t>
      </w:r>
    </w:p>
    <w:p w:rsidR="00931F3E" w:rsidRPr="00342953" w:rsidRDefault="00462131" w:rsidP="00462131">
      <w:pPr>
        <w:pStyle w:val="Caption"/>
        <w:spacing w:after="0"/>
        <w:rPr>
          <w:rFonts w:asciiTheme="minorHAnsi" w:hAnsiTheme="minorHAnsi"/>
          <w:b w:val="0"/>
          <w:bCs w:val="0"/>
          <w:i/>
          <w:color w:val="auto"/>
          <w:sz w:val="22"/>
          <w:szCs w:val="22"/>
          <w:lang w:val="sq-AL"/>
        </w:rPr>
      </w:pPr>
      <w:bookmarkStart w:id="71" w:name="_Toc107496746"/>
      <w:r w:rsidRPr="00462131">
        <w:rPr>
          <w:rFonts w:asciiTheme="minorHAnsi" w:hAnsiTheme="minorHAnsi"/>
          <w:b w:val="0"/>
          <w:bCs w:val="0"/>
          <w:i/>
          <w:color w:val="auto"/>
          <w:sz w:val="22"/>
          <w:szCs w:val="22"/>
          <w:lang w:val="sq-AL"/>
        </w:rPr>
        <w:t xml:space="preserve">Tabela </w:t>
      </w:r>
      <w:r w:rsidRPr="00462131">
        <w:rPr>
          <w:rFonts w:asciiTheme="minorHAnsi" w:hAnsiTheme="minorHAnsi"/>
          <w:b w:val="0"/>
          <w:bCs w:val="0"/>
          <w:i/>
          <w:color w:val="auto"/>
          <w:sz w:val="22"/>
          <w:szCs w:val="22"/>
          <w:lang w:val="sq-AL"/>
        </w:rPr>
        <w:fldChar w:fldCharType="begin"/>
      </w:r>
      <w:r w:rsidRPr="00462131">
        <w:rPr>
          <w:rFonts w:asciiTheme="minorHAnsi" w:hAnsiTheme="minorHAnsi"/>
          <w:b w:val="0"/>
          <w:bCs w:val="0"/>
          <w:i/>
          <w:color w:val="auto"/>
          <w:sz w:val="22"/>
          <w:szCs w:val="22"/>
          <w:lang w:val="sq-AL"/>
        </w:rPr>
        <w:instrText xml:space="preserve"> SEQ Tabela \* ARABIC </w:instrText>
      </w:r>
      <w:r w:rsidRPr="00462131">
        <w:rPr>
          <w:rFonts w:asciiTheme="minorHAnsi" w:hAnsiTheme="minorHAnsi"/>
          <w:b w:val="0"/>
          <w:bCs w:val="0"/>
          <w:i/>
          <w:color w:val="auto"/>
          <w:sz w:val="22"/>
          <w:szCs w:val="22"/>
          <w:lang w:val="sq-AL"/>
        </w:rPr>
        <w:fldChar w:fldCharType="separate"/>
      </w:r>
      <w:r w:rsidR="003B2B9B">
        <w:rPr>
          <w:rFonts w:asciiTheme="minorHAnsi" w:hAnsiTheme="minorHAnsi"/>
          <w:b w:val="0"/>
          <w:bCs w:val="0"/>
          <w:i/>
          <w:noProof/>
          <w:color w:val="auto"/>
          <w:sz w:val="22"/>
          <w:szCs w:val="22"/>
          <w:lang w:val="sq-AL"/>
        </w:rPr>
        <w:t>10</w:t>
      </w:r>
      <w:r w:rsidRPr="00462131">
        <w:rPr>
          <w:rFonts w:asciiTheme="minorHAnsi" w:hAnsiTheme="minorHAnsi"/>
          <w:b w:val="0"/>
          <w:bCs w:val="0"/>
          <w:i/>
          <w:color w:val="auto"/>
          <w:sz w:val="22"/>
          <w:szCs w:val="22"/>
          <w:lang w:val="sq-AL"/>
        </w:rPr>
        <w:fldChar w:fldCharType="end"/>
      </w:r>
      <w:r w:rsidR="00931F3E" w:rsidRPr="00342953">
        <w:rPr>
          <w:rFonts w:asciiTheme="minorHAnsi" w:hAnsiTheme="minorHAnsi"/>
          <w:b w:val="0"/>
          <w:bCs w:val="0"/>
          <w:i/>
          <w:color w:val="auto"/>
          <w:sz w:val="22"/>
          <w:szCs w:val="22"/>
          <w:lang w:val="sq-AL"/>
        </w:rPr>
        <w:t>: Shpenzimet e fondit të rindërtimit akorduar për pushtetin vendor sipas natyrës (në milion lekë)</w:t>
      </w:r>
      <w:bookmarkEnd w:id="71"/>
    </w:p>
    <w:tbl>
      <w:tblPr>
        <w:tblW w:w="7548" w:type="dxa"/>
        <w:jc w:val="center"/>
        <w:tblLook w:val="04A0" w:firstRow="1" w:lastRow="0" w:firstColumn="1" w:lastColumn="0" w:noHBand="0" w:noVBand="1"/>
      </w:tblPr>
      <w:tblGrid>
        <w:gridCol w:w="3434"/>
        <w:gridCol w:w="1836"/>
        <w:gridCol w:w="2278"/>
      </w:tblGrid>
      <w:tr w:rsidR="00460DDA" w:rsidRPr="00460DDA" w:rsidTr="00342953">
        <w:trPr>
          <w:trHeight w:val="235"/>
          <w:jc w:val="center"/>
        </w:trPr>
        <w:tc>
          <w:tcPr>
            <w:tcW w:w="3434" w:type="dxa"/>
            <w:vMerge w:val="restart"/>
            <w:tcBorders>
              <w:top w:val="double" w:sz="6" w:space="0" w:color="auto"/>
              <w:left w:val="double" w:sz="6" w:space="0" w:color="auto"/>
              <w:bottom w:val="nil"/>
              <w:right w:val="single" w:sz="4"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E  M  Ë  R  T  I  M  I</w:t>
            </w:r>
          </w:p>
        </w:tc>
        <w:tc>
          <w:tcPr>
            <w:tcW w:w="1836" w:type="dxa"/>
            <w:tcBorders>
              <w:top w:val="double" w:sz="6" w:space="0" w:color="auto"/>
              <w:left w:val="nil"/>
              <w:bottom w:val="nil"/>
              <w:right w:val="nil"/>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Buxheti total 5-mujor</w:t>
            </w:r>
          </w:p>
        </w:tc>
        <w:tc>
          <w:tcPr>
            <w:tcW w:w="2277" w:type="dxa"/>
            <w:tcBorders>
              <w:top w:val="double" w:sz="6" w:space="0" w:color="auto"/>
              <w:left w:val="single" w:sz="4" w:space="0" w:color="auto"/>
              <w:bottom w:val="nil"/>
              <w:right w:val="double" w:sz="6" w:space="0" w:color="auto"/>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Fakt 5 mujori</w:t>
            </w:r>
          </w:p>
        </w:tc>
      </w:tr>
      <w:tr w:rsidR="00460DDA" w:rsidRPr="00460DDA" w:rsidTr="00342953">
        <w:trPr>
          <w:trHeight w:val="223"/>
          <w:jc w:val="center"/>
        </w:trPr>
        <w:tc>
          <w:tcPr>
            <w:tcW w:w="3434" w:type="dxa"/>
            <w:vMerge/>
            <w:tcBorders>
              <w:top w:val="double" w:sz="6" w:space="0" w:color="auto"/>
              <w:left w:val="double" w:sz="6" w:space="0" w:color="auto"/>
              <w:bottom w:val="nil"/>
              <w:right w:val="single" w:sz="4" w:space="0" w:color="auto"/>
            </w:tcBorders>
            <w:vAlign w:val="center"/>
            <w:hideMark/>
          </w:tcPr>
          <w:p w:rsidR="00931F3E" w:rsidRPr="00460DDA" w:rsidRDefault="00931F3E" w:rsidP="00FD3343">
            <w:pPr>
              <w:rPr>
                <w:rFonts w:asciiTheme="minorHAnsi" w:hAnsiTheme="minorHAnsi" w:cs="Calibri"/>
                <w:b/>
                <w:bCs/>
                <w:sz w:val="18"/>
                <w:szCs w:val="18"/>
                <w:lang w:val="sq-AL"/>
              </w:rPr>
            </w:pPr>
          </w:p>
        </w:tc>
        <w:tc>
          <w:tcPr>
            <w:tcW w:w="4114" w:type="dxa"/>
            <w:gridSpan w:val="2"/>
            <w:tcBorders>
              <w:top w:val="single" w:sz="4" w:space="0" w:color="auto"/>
              <w:left w:val="nil"/>
              <w:bottom w:val="single" w:sz="4" w:space="0" w:color="auto"/>
              <w:right w:val="double" w:sz="6" w:space="0" w:color="000000"/>
            </w:tcBorders>
            <w:shd w:val="clear" w:color="000000" w:fill="DBE5F1"/>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2022</w:t>
            </w:r>
          </w:p>
        </w:tc>
      </w:tr>
      <w:tr w:rsidR="00460DDA" w:rsidRPr="00460DDA" w:rsidTr="00342953">
        <w:trPr>
          <w:trHeight w:val="235"/>
          <w:jc w:val="center"/>
        </w:trPr>
        <w:tc>
          <w:tcPr>
            <w:tcW w:w="3434"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b/>
                <w:bCs/>
                <w:sz w:val="18"/>
                <w:szCs w:val="18"/>
                <w:lang w:val="sq-AL"/>
              </w:rPr>
            </w:pPr>
            <w:r w:rsidRPr="00460DDA">
              <w:rPr>
                <w:rFonts w:asciiTheme="minorHAnsi" w:hAnsiTheme="minorHAnsi" w:cs="Calibri"/>
                <w:b/>
                <w:bCs/>
                <w:sz w:val="18"/>
                <w:szCs w:val="18"/>
                <w:lang w:val="sq-AL"/>
              </w:rPr>
              <w:t>Fondi i Rindërtimit</w:t>
            </w:r>
          </w:p>
        </w:tc>
        <w:tc>
          <w:tcPr>
            <w:tcW w:w="1836" w:type="dxa"/>
            <w:tcBorders>
              <w:top w:val="nil"/>
              <w:left w:val="nil"/>
              <w:bottom w:val="single" w:sz="8" w:space="0" w:color="auto"/>
              <w:right w:val="single" w:sz="4" w:space="0" w:color="auto"/>
            </w:tcBorders>
            <w:shd w:val="clear" w:color="auto" w:fill="auto"/>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14,572</w:t>
            </w:r>
          </w:p>
        </w:tc>
        <w:tc>
          <w:tcPr>
            <w:tcW w:w="2277" w:type="dxa"/>
            <w:tcBorders>
              <w:top w:val="nil"/>
              <w:left w:val="nil"/>
              <w:bottom w:val="single" w:sz="8" w:space="0" w:color="auto"/>
              <w:right w:val="double" w:sz="6" w:space="0" w:color="auto"/>
            </w:tcBorders>
            <w:shd w:val="clear" w:color="auto" w:fill="auto"/>
            <w:noWrap/>
            <w:vAlign w:val="center"/>
            <w:hideMark/>
          </w:tcPr>
          <w:p w:rsidR="00931F3E" w:rsidRPr="00460DDA" w:rsidRDefault="00931F3E" w:rsidP="00FD3343">
            <w:pPr>
              <w:jc w:val="center"/>
              <w:rPr>
                <w:rFonts w:asciiTheme="minorHAnsi" w:hAnsiTheme="minorHAnsi" w:cs="Calibri"/>
                <w:b/>
                <w:bCs/>
                <w:sz w:val="18"/>
                <w:szCs w:val="18"/>
                <w:lang w:val="sq-AL"/>
              </w:rPr>
            </w:pPr>
            <w:r w:rsidRPr="00460DDA">
              <w:rPr>
                <w:rFonts w:asciiTheme="minorHAnsi" w:hAnsiTheme="minorHAnsi" w:cs="Calibri"/>
                <w:b/>
                <w:bCs/>
                <w:sz w:val="18"/>
                <w:szCs w:val="18"/>
                <w:lang w:val="sq-AL"/>
              </w:rPr>
              <w:t>4,913</w:t>
            </w:r>
          </w:p>
        </w:tc>
      </w:tr>
      <w:tr w:rsidR="00460DDA" w:rsidRPr="00460DDA" w:rsidTr="00342953">
        <w:trPr>
          <w:trHeight w:val="235"/>
          <w:jc w:val="center"/>
        </w:trPr>
        <w:tc>
          <w:tcPr>
            <w:tcW w:w="3434" w:type="dxa"/>
            <w:tcBorders>
              <w:top w:val="nil"/>
              <w:left w:val="double" w:sz="6" w:space="0" w:color="auto"/>
              <w:bottom w:val="single" w:sz="8" w:space="0" w:color="C0C0C0"/>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i/>
                <w:iCs/>
                <w:sz w:val="18"/>
                <w:szCs w:val="18"/>
                <w:lang w:val="sq-AL"/>
              </w:rPr>
            </w:pPr>
            <w:r w:rsidRPr="00460DDA">
              <w:rPr>
                <w:rFonts w:asciiTheme="minorHAnsi" w:hAnsiTheme="minorHAnsi" w:cs="Calibri"/>
                <w:i/>
                <w:iCs/>
                <w:sz w:val="18"/>
                <w:szCs w:val="18"/>
                <w:lang w:val="sq-AL"/>
              </w:rPr>
              <w:t>Shpenzime kapitale</w:t>
            </w:r>
          </w:p>
        </w:tc>
        <w:tc>
          <w:tcPr>
            <w:tcW w:w="1836" w:type="dxa"/>
            <w:tcBorders>
              <w:top w:val="nil"/>
              <w:left w:val="nil"/>
              <w:bottom w:val="single" w:sz="8" w:space="0" w:color="C0C0C0"/>
              <w:right w:val="nil"/>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8,760</w:t>
            </w:r>
          </w:p>
        </w:tc>
        <w:tc>
          <w:tcPr>
            <w:tcW w:w="2277" w:type="dxa"/>
            <w:tcBorders>
              <w:top w:val="nil"/>
              <w:left w:val="single" w:sz="4" w:space="0" w:color="auto"/>
              <w:bottom w:val="single" w:sz="8" w:space="0" w:color="C0C0C0"/>
              <w:right w:val="double" w:sz="6" w:space="0" w:color="auto"/>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3,121</w:t>
            </w:r>
          </w:p>
        </w:tc>
      </w:tr>
      <w:tr w:rsidR="00460DDA" w:rsidRPr="00460DDA" w:rsidTr="00342953">
        <w:trPr>
          <w:trHeight w:val="235"/>
          <w:jc w:val="center"/>
        </w:trPr>
        <w:tc>
          <w:tcPr>
            <w:tcW w:w="3434" w:type="dxa"/>
            <w:tcBorders>
              <w:top w:val="nil"/>
              <w:left w:val="double" w:sz="6" w:space="0" w:color="auto"/>
              <w:bottom w:val="single" w:sz="8" w:space="0" w:color="C0C0C0"/>
              <w:right w:val="single" w:sz="4" w:space="0" w:color="auto"/>
            </w:tcBorders>
            <w:shd w:val="clear" w:color="auto" w:fill="auto"/>
            <w:noWrap/>
            <w:vAlign w:val="center"/>
            <w:hideMark/>
          </w:tcPr>
          <w:p w:rsidR="00931F3E" w:rsidRPr="00460DDA" w:rsidRDefault="00931F3E" w:rsidP="00FD3343">
            <w:pPr>
              <w:jc w:val="both"/>
              <w:rPr>
                <w:rFonts w:asciiTheme="minorHAnsi" w:hAnsiTheme="minorHAnsi" w:cs="Calibri"/>
                <w:i/>
                <w:iCs/>
                <w:sz w:val="18"/>
                <w:szCs w:val="18"/>
                <w:lang w:val="sq-AL"/>
              </w:rPr>
            </w:pPr>
            <w:r w:rsidRPr="00460DDA">
              <w:rPr>
                <w:rFonts w:asciiTheme="minorHAnsi" w:hAnsiTheme="minorHAnsi" w:cs="Calibri"/>
                <w:i/>
                <w:iCs/>
                <w:sz w:val="18"/>
                <w:szCs w:val="18"/>
                <w:lang w:val="sq-AL"/>
              </w:rPr>
              <w:t>Shpenzime operative e mirëmbajtjeje</w:t>
            </w:r>
          </w:p>
        </w:tc>
        <w:tc>
          <w:tcPr>
            <w:tcW w:w="1836" w:type="dxa"/>
            <w:tcBorders>
              <w:top w:val="nil"/>
              <w:left w:val="nil"/>
              <w:bottom w:val="single" w:sz="8" w:space="0" w:color="C0C0C0"/>
              <w:right w:val="nil"/>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2,116</w:t>
            </w:r>
          </w:p>
        </w:tc>
        <w:tc>
          <w:tcPr>
            <w:tcW w:w="2277" w:type="dxa"/>
            <w:tcBorders>
              <w:top w:val="nil"/>
              <w:left w:val="single" w:sz="4" w:space="0" w:color="auto"/>
              <w:bottom w:val="single" w:sz="8" w:space="0" w:color="C0C0C0"/>
              <w:right w:val="double" w:sz="6" w:space="0" w:color="auto"/>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574</w:t>
            </w:r>
          </w:p>
        </w:tc>
      </w:tr>
      <w:tr w:rsidR="00460DDA" w:rsidRPr="00460DDA" w:rsidTr="00342953">
        <w:trPr>
          <w:trHeight w:val="235"/>
          <w:jc w:val="center"/>
        </w:trPr>
        <w:tc>
          <w:tcPr>
            <w:tcW w:w="3434" w:type="dxa"/>
            <w:tcBorders>
              <w:top w:val="nil"/>
              <w:left w:val="double" w:sz="6" w:space="0" w:color="auto"/>
              <w:bottom w:val="double" w:sz="6" w:space="0" w:color="auto"/>
              <w:right w:val="single" w:sz="4" w:space="0" w:color="auto"/>
            </w:tcBorders>
            <w:shd w:val="clear" w:color="auto" w:fill="auto"/>
            <w:noWrap/>
            <w:vAlign w:val="center"/>
            <w:hideMark/>
          </w:tcPr>
          <w:p w:rsidR="00931F3E" w:rsidRPr="00460DDA" w:rsidRDefault="00931F3E" w:rsidP="00FD3343">
            <w:pPr>
              <w:rPr>
                <w:rFonts w:asciiTheme="minorHAnsi" w:hAnsiTheme="minorHAnsi" w:cs="Calibri"/>
                <w:i/>
                <w:iCs/>
                <w:sz w:val="18"/>
                <w:szCs w:val="18"/>
                <w:lang w:val="sq-AL"/>
              </w:rPr>
            </w:pPr>
            <w:r w:rsidRPr="00460DDA">
              <w:rPr>
                <w:rFonts w:asciiTheme="minorHAnsi" w:hAnsiTheme="minorHAnsi" w:cs="Calibri"/>
                <w:i/>
                <w:iCs/>
                <w:sz w:val="18"/>
                <w:szCs w:val="18"/>
                <w:lang w:val="sq-AL"/>
              </w:rPr>
              <w:t>Transferta për familjet dhe individët</w:t>
            </w:r>
          </w:p>
        </w:tc>
        <w:tc>
          <w:tcPr>
            <w:tcW w:w="1836" w:type="dxa"/>
            <w:tcBorders>
              <w:top w:val="nil"/>
              <w:left w:val="nil"/>
              <w:bottom w:val="double" w:sz="6" w:space="0" w:color="auto"/>
              <w:right w:val="nil"/>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3,696</w:t>
            </w:r>
          </w:p>
        </w:tc>
        <w:tc>
          <w:tcPr>
            <w:tcW w:w="2277" w:type="dxa"/>
            <w:tcBorders>
              <w:top w:val="nil"/>
              <w:left w:val="single" w:sz="4" w:space="0" w:color="auto"/>
              <w:bottom w:val="double" w:sz="6" w:space="0" w:color="auto"/>
              <w:right w:val="double" w:sz="6" w:space="0" w:color="auto"/>
            </w:tcBorders>
            <w:shd w:val="clear" w:color="auto" w:fill="auto"/>
            <w:noWrap/>
            <w:vAlign w:val="center"/>
            <w:hideMark/>
          </w:tcPr>
          <w:p w:rsidR="00931F3E" w:rsidRPr="00460DDA" w:rsidRDefault="00931F3E" w:rsidP="00FD3343">
            <w:pPr>
              <w:jc w:val="center"/>
              <w:rPr>
                <w:rFonts w:asciiTheme="minorHAnsi" w:hAnsiTheme="minorHAnsi" w:cs="Calibri"/>
                <w:i/>
                <w:iCs/>
                <w:sz w:val="18"/>
                <w:szCs w:val="18"/>
                <w:lang w:val="sq-AL"/>
              </w:rPr>
            </w:pPr>
            <w:r w:rsidRPr="00460DDA">
              <w:rPr>
                <w:rFonts w:asciiTheme="minorHAnsi" w:hAnsiTheme="minorHAnsi" w:cs="Calibri"/>
                <w:i/>
                <w:iCs/>
                <w:sz w:val="18"/>
                <w:szCs w:val="18"/>
                <w:lang w:val="sq-AL"/>
              </w:rPr>
              <w:t>1,218</w:t>
            </w:r>
          </w:p>
        </w:tc>
      </w:tr>
    </w:tbl>
    <w:p w:rsidR="00365D90" w:rsidRDefault="00365D90" w:rsidP="00342953">
      <w:pPr>
        <w:pStyle w:val="Caption"/>
        <w:ind w:firstLine="720"/>
        <w:rPr>
          <w:rFonts w:asciiTheme="minorHAnsi" w:eastAsia="SimSun" w:hAnsiTheme="minorHAnsi"/>
          <w:b w:val="0"/>
          <w:bCs w:val="0"/>
          <w:i/>
          <w:color w:val="auto"/>
          <w:sz w:val="20"/>
          <w:szCs w:val="24"/>
          <w:lang w:val="sq-AL"/>
        </w:rPr>
      </w:pPr>
      <w:r w:rsidRPr="00365D90">
        <w:rPr>
          <w:rFonts w:asciiTheme="minorHAnsi" w:eastAsia="SimSun" w:hAnsiTheme="minorHAnsi"/>
          <w:b w:val="0"/>
          <w:bCs w:val="0"/>
          <w:i/>
          <w:color w:val="auto"/>
          <w:sz w:val="20"/>
          <w:szCs w:val="24"/>
          <w:lang w:val="sq-AL"/>
        </w:rPr>
        <w:t>Burimi: Drejtoria e Financave Vendore, Ministria e Financave dhe Ekonomisë (2022)</w:t>
      </w:r>
    </w:p>
    <w:p w:rsidR="004A5D25" w:rsidRDefault="004A5D25" w:rsidP="004A5D25">
      <w:pPr>
        <w:rPr>
          <w:rFonts w:eastAsia="SimSun"/>
          <w:lang w:val="sq-AL"/>
        </w:rPr>
      </w:pPr>
    </w:p>
    <w:p w:rsidR="00E74AAC" w:rsidRPr="004A5D25" w:rsidRDefault="00E74AAC" w:rsidP="004A5D25">
      <w:pPr>
        <w:rPr>
          <w:rFonts w:eastAsia="SimSun"/>
          <w:lang w:val="sq-AL"/>
        </w:rPr>
      </w:pPr>
    </w:p>
    <w:p w:rsidR="00B55813" w:rsidRPr="0065598A" w:rsidRDefault="007532D4" w:rsidP="002334F6">
      <w:pPr>
        <w:pStyle w:val="Heading2"/>
        <w:rPr>
          <w:rFonts w:eastAsia="SimSun"/>
          <w:i/>
          <w:sz w:val="27"/>
          <w:szCs w:val="27"/>
        </w:rPr>
      </w:pPr>
      <w:bookmarkStart w:id="72" w:name="_Toc107496989"/>
      <w:r w:rsidRPr="00D16876">
        <w:rPr>
          <w:szCs w:val="28"/>
        </w:rPr>
        <w:t>III.3</w:t>
      </w:r>
      <w:r w:rsidRPr="00D16876">
        <w:rPr>
          <w:szCs w:val="28"/>
        </w:rPr>
        <w:tab/>
      </w:r>
      <w:r w:rsidRPr="00D16876">
        <w:rPr>
          <w:sz w:val="26"/>
          <w:szCs w:val="26"/>
        </w:rPr>
        <w:t xml:space="preserve">Fondi Rezervë, Fondi i Kontigjencës, Fondi i </w:t>
      </w:r>
      <w:r w:rsidR="00DB684D" w:rsidRPr="00D16876">
        <w:rPr>
          <w:sz w:val="26"/>
          <w:szCs w:val="26"/>
        </w:rPr>
        <w:t>Rindërtimit</w:t>
      </w:r>
      <w:bookmarkEnd w:id="72"/>
      <w:r w:rsidRPr="0065598A">
        <w:rPr>
          <w:sz w:val="27"/>
          <w:szCs w:val="27"/>
        </w:rPr>
        <w:t xml:space="preserve"> </w:t>
      </w:r>
    </w:p>
    <w:p w:rsidR="00630D88" w:rsidRPr="00630D88" w:rsidRDefault="00630D88" w:rsidP="00630D88">
      <w:pPr>
        <w:spacing w:line="276" w:lineRule="auto"/>
        <w:jc w:val="both"/>
        <w:rPr>
          <w:rFonts w:asciiTheme="minorHAnsi" w:hAnsiTheme="minorHAnsi"/>
          <w:sz w:val="8"/>
          <w:szCs w:val="8"/>
          <w:lang w:val="sq-AL"/>
        </w:rPr>
      </w:pPr>
    </w:p>
    <w:p w:rsidR="00E32ADB" w:rsidRPr="00640D2C" w:rsidRDefault="00E32ADB" w:rsidP="00E32ADB">
      <w:pPr>
        <w:spacing w:line="276" w:lineRule="auto"/>
        <w:jc w:val="both"/>
        <w:rPr>
          <w:rFonts w:asciiTheme="minorHAnsi" w:hAnsiTheme="minorHAnsi"/>
          <w:szCs w:val="22"/>
          <w:lang w:val="sq-AL"/>
        </w:rPr>
      </w:pPr>
      <w:r w:rsidRPr="00640D2C">
        <w:rPr>
          <w:rFonts w:asciiTheme="minorHAnsi" w:hAnsiTheme="minorHAnsi"/>
          <w:szCs w:val="22"/>
          <w:lang w:val="sq-AL"/>
        </w:rPr>
        <w:t>Në analizën e shpenzimeve për periudhën janar-qershor 202</w:t>
      </w:r>
      <w:r w:rsidR="00DB2AAF">
        <w:rPr>
          <w:rFonts w:asciiTheme="minorHAnsi" w:hAnsiTheme="minorHAnsi"/>
          <w:szCs w:val="22"/>
          <w:lang w:val="sq-AL"/>
        </w:rPr>
        <w:t>2</w:t>
      </w:r>
      <w:r w:rsidRPr="00640D2C">
        <w:rPr>
          <w:rFonts w:asciiTheme="minorHAnsi" w:hAnsiTheme="minorHAnsi"/>
          <w:szCs w:val="22"/>
          <w:lang w:val="sq-AL"/>
        </w:rPr>
        <w:t>, janë përfshirë edhe shpenzimet e realizuara nga përdorimet e fondit rezervë të buxhetit të shtetit, të fondit të rindërtimit dhe të fondit të kontigjencës. Më konkretisht:</w:t>
      </w:r>
    </w:p>
    <w:p w:rsidR="00DB2AAF" w:rsidRPr="00DB2AAF" w:rsidRDefault="00DB2AAF" w:rsidP="00DB2AAF">
      <w:pPr>
        <w:spacing w:before="240" w:line="276" w:lineRule="auto"/>
        <w:jc w:val="both"/>
        <w:rPr>
          <w:rFonts w:asciiTheme="minorHAnsi" w:hAnsiTheme="minorHAnsi"/>
          <w:bCs/>
          <w:lang w:val="sq-AL"/>
        </w:rPr>
      </w:pPr>
      <w:r w:rsidRPr="00DB2AAF">
        <w:rPr>
          <w:rFonts w:asciiTheme="minorHAnsi" w:hAnsiTheme="minorHAnsi"/>
          <w:b/>
          <w:lang w:val="sq-AL"/>
        </w:rPr>
        <w:t>Fondi Rezervë</w:t>
      </w:r>
      <w:r>
        <w:rPr>
          <w:rFonts w:asciiTheme="minorHAnsi" w:hAnsiTheme="minorHAnsi"/>
          <w:b/>
          <w:lang w:val="sq-AL"/>
        </w:rPr>
        <w:t xml:space="preserve"> –</w:t>
      </w:r>
      <w:r w:rsidRPr="00DB2AAF">
        <w:rPr>
          <w:rFonts w:asciiTheme="minorHAnsi" w:hAnsiTheme="minorHAnsi"/>
          <w:b/>
          <w:lang w:val="sq-AL"/>
        </w:rPr>
        <w:t xml:space="preserve"> </w:t>
      </w:r>
      <w:r w:rsidRPr="00DB2AAF">
        <w:rPr>
          <w:rFonts w:asciiTheme="minorHAnsi" w:hAnsiTheme="minorHAnsi"/>
          <w:lang w:val="sq-AL"/>
        </w:rPr>
        <w:t xml:space="preserve">Ligji nr.115/2021 “Për buxhetin e vitit 2022”, miratoi Fondin Rezervë të Buxhetit të Shtetit në masën  </w:t>
      </w:r>
      <w:r w:rsidRPr="00DB2AAF">
        <w:rPr>
          <w:rFonts w:asciiTheme="minorHAnsi" w:hAnsiTheme="minorHAnsi"/>
          <w:bCs/>
          <w:lang w:val="sq-AL"/>
        </w:rPr>
        <w:t xml:space="preserve">2.9 miliardë lekë, </w:t>
      </w:r>
      <w:r w:rsidRPr="00DB2AAF">
        <w:rPr>
          <w:rFonts w:asciiTheme="minorHAnsi" w:hAnsiTheme="minorHAnsi"/>
          <w:lang w:val="sq-AL"/>
        </w:rPr>
        <w:t xml:space="preserve">ndërkohë që </w:t>
      </w:r>
      <w:r w:rsidRPr="00DB2AAF">
        <w:rPr>
          <w:rFonts w:asciiTheme="minorHAnsi" w:hAnsiTheme="minorHAnsi"/>
          <w:u w:val="single"/>
          <w:lang w:val="sq-AL"/>
        </w:rPr>
        <w:t>Neni 14 përcakton përdorimin</w:t>
      </w:r>
      <w:r w:rsidRPr="00DB2AAF">
        <w:rPr>
          <w:rFonts w:asciiTheme="minorHAnsi" w:hAnsiTheme="minorHAnsi"/>
          <w:lang w:val="sq-AL"/>
        </w:rPr>
        <w:t xml:space="preserve"> i tij si më poshtë:</w:t>
      </w:r>
    </w:p>
    <w:p w:rsidR="00DB2AAF" w:rsidRPr="00193698" w:rsidRDefault="00DB2AAF" w:rsidP="003F6B21">
      <w:pPr>
        <w:numPr>
          <w:ilvl w:val="0"/>
          <w:numId w:val="36"/>
        </w:numPr>
        <w:spacing w:before="120" w:after="120" w:line="276" w:lineRule="auto"/>
        <w:contextualSpacing/>
        <w:jc w:val="both"/>
        <w:rPr>
          <w:rFonts w:asciiTheme="minorHAnsi" w:hAnsiTheme="minorHAnsi"/>
          <w:bCs/>
          <w:i/>
          <w:lang w:val="sq-AL"/>
        </w:rPr>
      </w:pPr>
      <w:r w:rsidRPr="00193698">
        <w:rPr>
          <w:rFonts w:asciiTheme="minorHAnsi" w:hAnsiTheme="minorHAnsi"/>
          <w:bCs/>
          <w:i/>
          <w:lang w:val="sq-AL"/>
        </w:rPr>
        <w:t xml:space="preserve">2 400 milionë lekë për raste të paparashikuara të njësive të qeverisjes së përgjithshme; </w:t>
      </w:r>
    </w:p>
    <w:p w:rsidR="00DB2AAF" w:rsidRPr="00193698" w:rsidRDefault="00DB2AAF" w:rsidP="00DB2AAF">
      <w:pPr>
        <w:spacing w:line="276" w:lineRule="auto"/>
        <w:ind w:firstLine="340"/>
        <w:jc w:val="both"/>
        <w:rPr>
          <w:rFonts w:asciiTheme="minorHAnsi" w:hAnsiTheme="minorHAnsi"/>
          <w:bCs/>
          <w:i/>
          <w:lang w:val="sq-AL"/>
        </w:rPr>
      </w:pPr>
      <w:r w:rsidRPr="00193698">
        <w:rPr>
          <w:rFonts w:asciiTheme="minorHAnsi" w:hAnsiTheme="minorHAnsi"/>
          <w:bCs/>
          <w:i/>
          <w:lang w:val="sq-AL"/>
        </w:rPr>
        <w:t>b)</w:t>
      </w:r>
      <w:r w:rsidRPr="00193698">
        <w:rPr>
          <w:rFonts w:asciiTheme="minorHAnsi" w:hAnsiTheme="minorHAnsi"/>
          <w:bCs/>
          <w:i/>
          <w:lang w:val="sq-AL"/>
        </w:rPr>
        <w:tab/>
        <w:t>500 milionë lekë për projektin për fëmijët dhe rininë.</w:t>
      </w:r>
    </w:p>
    <w:p w:rsidR="00DB2AAF" w:rsidRDefault="00DB2AAF" w:rsidP="00DB2AAF">
      <w:pPr>
        <w:spacing w:line="276" w:lineRule="auto"/>
        <w:jc w:val="both"/>
        <w:rPr>
          <w:rFonts w:asciiTheme="minorHAnsi" w:hAnsiTheme="minorHAnsi"/>
          <w:sz w:val="12"/>
          <w:szCs w:val="8"/>
          <w:lang w:val="sq-AL"/>
        </w:rPr>
      </w:pPr>
    </w:p>
    <w:p w:rsidR="004A5D25" w:rsidRPr="00DB2AAF" w:rsidRDefault="004A5D25" w:rsidP="00DB2AAF">
      <w:pPr>
        <w:spacing w:line="276" w:lineRule="auto"/>
        <w:jc w:val="both"/>
        <w:rPr>
          <w:rFonts w:asciiTheme="minorHAnsi" w:hAnsiTheme="minorHAnsi"/>
          <w:sz w:val="12"/>
          <w:szCs w:val="8"/>
          <w:lang w:val="sq-AL"/>
        </w:rPr>
      </w:pPr>
    </w:p>
    <w:p w:rsidR="00DB2AAF" w:rsidRPr="00DB2AAF" w:rsidRDefault="00DB2AAF" w:rsidP="00DB2AAF">
      <w:pPr>
        <w:spacing w:line="276" w:lineRule="auto"/>
        <w:jc w:val="both"/>
        <w:rPr>
          <w:rFonts w:asciiTheme="minorHAnsi" w:hAnsiTheme="minorHAnsi"/>
          <w:lang w:val="sq-AL"/>
        </w:rPr>
      </w:pPr>
      <w:r w:rsidRPr="00DB2AAF">
        <w:rPr>
          <w:rFonts w:asciiTheme="minorHAnsi" w:hAnsiTheme="minorHAnsi"/>
          <w:lang w:val="sq-AL"/>
        </w:rPr>
        <w:t>Me AN nr.3  datë 12.03.2022 “</w:t>
      </w:r>
      <w:r w:rsidRPr="00DB2AAF">
        <w:rPr>
          <w:rFonts w:asciiTheme="minorHAnsi" w:hAnsiTheme="minorHAnsi"/>
          <w:i/>
          <w:lang w:val="sq-AL"/>
        </w:rPr>
        <w:t>Për disa ndryshime në Ligjin nr.115/2021 “Për buxhetin e vitit 2022</w:t>
      </w:r>
      <w:r w:rsidRPr="00DB2AAF">
        <w:rPr>
          <w:rFonts w:asciiTheme="minorHAnsi" w:hAnsiTheme="minorHAnsi"/>
          <w:lang w:val="sq-AL"/>
        </w:rPr>
        <w:t>”, Fondi Rezerve ndryshoi në masën 2.65 miliard lekë, ndërkohë që Neni 5 përcakton përdorimin e tij:</w:t>
      </w:r>
    </w:p>
    <w:p w:rsidR="00DB2AAF" w:rsidRPr="00193698" w:rsidRDefault="00DB2AAF" w:rsidP="003F6B21">
      <w:pPr>
        <w:numPr>
          <w:ilvl w:val="0"/>
          <w:numId w:val="41"/>
        </w:numPr>
        <w:spacing w:before="120" w:after="120" w:line="276" w:lineRule="auto"/>
        <w:contextualSpacing/>
        <w:jc w:val="both"/>
        <w:rPr>
          <w:rFonts w:asciiTheme="minorHAnsi" w:hAnsiTheme="minorHAnsi"/>
          <w:bCs/>
          <w:i/>
          <w:lang w:val="sq-AL"/>
        </w:rPr>
      </w:pPr>
      <w:r w:rsidRPr="00193698">
        <w:rPr>
          <w:rFonts w:asciiTheme="minorHAnsi" w:hAnsiTheme="minorHAnsi"/>
          <w:bCs/>
          <w:i/>
          <w:lang w:val="sq-AL"/>
        </w:rPr>
        <w:t xml:space="preserve">Fondi rezervë prej 2 650 milionë lekësh përdoret me vendim të Këshillit të Ministrave, për raste të paparashikuara të njësive të qeverisjes së përgjithshme. </w:t>
      </w:r>
    </w:p>
    <w:p w:rsidR="00DB2AAF" w:rsidRDefault="00DB2AAF" w:rsidP="00DB2AAF">
      <w:pPr>
        <w:spacing w:line="276" w:lineRule="auto"/>
        <w:contextualSpacing/>
        <w:jc w:val="both"/>
        <w:rPr>
          <w:rFonts w:asciiTheme="minorHAnsi" w:hAnsiTheme="minorHAnsi"/>
          <w:i/>
          <w:sz w:val="8"/>
          <w:szCs w:val="12"/>
          <w:lang w:val="sq-AL"/>
        </w:rPr>
      </w:pPr>
    </w:p>
    <w:p w:rsidR="004A5D25" w:rsidRPr="00DB2AAF" w:rsidRDefault="004A5D25" w:rsidP="00DB2AAF">
      <w:pPr>
        <w:spacing w:line="276" w:lineRule="auto"/>
        <w:contextualSpacing/>
        <w:jc w:val="both"/>
        <w:rPr>
          <w:rFonts w:asciiTheme="minorHAnsi" w:hAnsiTheme="minorHAnsi"/>
          <w:i/>
          <w:sz w:val="8"/>
          <w:szCs w:val="12"/>
          <w:lang w:val="sq-AL"/>
        </w:rPr>
      </w:pPr>
    </w:p>
    <w:p w:rsidR="00DB2AAF" w:rsidRPr="00DB2AAF" w:rsidRDefault="00DB2AAF" w:rsidP="00DB2AAF">
      <w:pPr>
        <w:widowControl w:val="0"/>
        <w:autoSpaceDE w:val="0"/>
        <w:autoSpaceDN w:val="0"/>
        <w:adjustRightInd w:val="0"/>
        <w:spacing w:line="276" w:lineRule="auto"/>
        <w:jc w:val="both"/>
        <w:rPr>
          <w:rFonts w:asciiTheme="minorHAnsi" w:hAnsiTheme="minorHAnsi"/>
          <w:i/>
          <w:u w:val="single"/>
          <w:lang w:val="sq-AL"/>
        </w:rPr>
      </w:pPr>
      <w:r w:rsidRPr="00DB2AAF">
        <w:rPr>
          <w:rFonts w:asciiTheme="minorHAnsi" w:hAnsiTheme="minorHAnsi"/>
          <w:i/>
          <w:u w:val="single"/>
          <w:lang w:val="sq-AL"/>
        </w:rPr>
        <w:t xml:space="preserve">Deri në datën 30 Qershor 2022, përdorimi ka qenë si mëposhtë (tabela analitike </w:t>
      </w:r>
      <w:r w:rsidR="00AD1FE9">
        <w:rPr>
          <w:rFonts w:asciiTheme="minorHAnsi" w:hAnsiTheme="minorHAnsi"/>
          <w:i/>
          <w:u w:val="single"/>
          <w:lang w:val="sq-AL"/>
        </w:rPr>
        <w:t>m</w:t>
      </w:r>
      <w:r w:rsidR="009647C4">
        <w:rPr>
          <w:rFonts w:asciiTheme="minorHAnsi" w:hAnsiTheme="minorHAnsi"/>
          <w:i/>
          <w:u w:val="single"/>
          <w:lang w:val="sq-AL"/>
        </w:rPr>
        <w:t>ë</w:t>
      </w:r>
      <w:r w:rsidR="00AD1FE9">
        <w:rPr>
          <w:rFonts w:asciiTheme="minorHAnsi" w:hAnsiTheme="minorHAnsi"/>
          <w:i/>
          <w:u w:val="single"/>
          <w:lang w:val="sq-AL"/>
        </w:rPr>
        <w:t>posht</w:t>
      </w:r>
      <w:r w:rsidR="009647C4">
        <w:rPr>
          <w:rFonts w:asciiTheme="minorHAnsi" w:hAnsiTheme="minorHAnsi"/>
          <w:i/>
          <w:u w:val="single"/>
          <w:lang w:val="sq-AL"/>
        </w:rPr>
        <w:t>ë</w:t>
      </w:r>
      <w:r w:rsidRPr="00DB2AAF">
        <w:rPr>
          <w:rFonts w:asciiTheme="minorHAnsi" w:hAnsiTheme="minorHAnsi"/>
          <w:i/>
          <w:u w:val="single"/>
          <w:lang w:val="sq-AL"/>
        </w:rPr>
        <w:t>):</w:t>
      </w:r>
    </w:p>
    <w:p w:rsidR="00DB2AAF" w:rsidRPr="00DB2AAF" w:rsidRDefault="00DB2AAF" w:rsidP="003F6B21">
      <w:pPr>
        <w:numPr>
          <w:ilvl w:val="0"/>
          <w:numId w:val="35"/>
        </w:numPr>
        <w:spacing w:line="276" w:lineRule="auto"/>
        <w:ind w:left="360"/>
        <w:contextualSpacing/>
        <w:jc w:val="both"/>
        <w:rPr>
          <w:rFonts w:asciiTheme="minorHAnsi" w:hAnsiTheme="minorHAnsi"/>
          <w:lang w:val="sq-AL"/>
        </w:rPr>
      </w:pPr>
      <w:r w:rsidRPr="00DB2AAF">
        <w:rPr>
          <w:rFonts w:asciiTheme="minorHAnsi" w:hAnsiTheme="minorHAnsi"/>
          <w:i/>
          <w:lang w:val="sq-AL"/>
        </w:rPr>
        <w:t>Fondi Rezervë për raste të paparashikuara</w:t>
      </w:r>
      <w:r w:rsidRPr="00DB2AAF">
        <w:rPr>
          <w:rFonts w:asciiTheme="minorHAnsi" w:hAnsiTheme="minorHAnsi"/>
          <w:lang w:val="sq-AL"/>
        </w:rPr>
        <w:t xml:space="preserve"> të njësive të qeverisjes së përgjithshme është përdorur nëpërmjet 8 V</w:t>
      </w:r>
      <w:r w:rsidRPr="00DB2AAF">
        <w:rPr>
          <w:rFonts w:asciiTheme="minorHAnsi" w:hAnsiTheme="minorHAnsi"/>
          <w:spacing w:val="-1"/>
          <w:lang w:val="sq-AL"/>
        </w:rPr>
        <w:t xml:space="preserve">endimeve të Këshillit të </w:t>
      </w:r>
      <w:r w:rsidRPr="00DB2AAF">
        <w:rPr>
          <w:rFonts w:asciiTheme="minorHAnsi" w:hAnsiTheme="minorHAnsi"/>
          <w:spacing w:val="7"/>
          <w:lang w:val="sq-AL"/>
        </w:rPr>
        <w:t>Ministrave (VKM) me vlerë totale prej 1 263.6 milionë</w:t>
      </w:r>
      <w:r w:rsidRPr="00DB2AAF">
        <w:rPr>
          <w:rFonts w:asciiTheme="minorHAnsi" w:hAnsiTheme="minorHAnsi"/>
          <w:lang w:val="sq-AL"/>
        </w:rPr>
        <w:t xml:space="preserve"> lekësh, nga 2.65 miliard</w:t>
      </w:r>
      <w:r>
        <w:rPr>
          <w:rFonts w:asciiTheme="minorHAnsi" w:hAnsiTheme="minorHAnsi"/>
          <w:lang w:val="sq-AL"/>
        </w:rPr>
        <w:t>ë</w:t>
      </w:r>
      <w:r w:rsidRPr="00DB2AAF">
        <w:rPr>
          <w:rFonts w:asciiTheme="minorHAnsi" w:hAnsiTheme="minorHAnsi"/>
          <w:lang w:val="sq-AL"/>
        </w:rPr>
        <w:t xml:space="preserve"> lekë të planifikuara ose në rreth 48 përqind të planit. Nga këto: </w:t>
      </w:r>
    </w:p>
    <w:p w:rsidR="00DB2AAF" w:rsidRPr="00193698" w:rsidRDefault="00DB2AAF" w:rsidP="003F6B21">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193698">
        <w:rPr>
          <w:rFonts w:asciiTheme="minorHAnsi" w:hAnsiTheme="minorHAnsi"/>
          <w:i/>
          <w:lang w:val="sq-AL"/>
        </w:rPr>
        <w:t>53.1 milion lekë ose 2 përqind e planit janë përdorur për shpenzime personeli (paga dhe sigurime shoqërore).</w:t>
      </w:r>
    </w:p>
    <w:p w:rsidR="00DB2AAF" w:rsidRPr="00193698" w:rsidRDefault="00DB2AAF" w:rsidP="003F6B21">
      <w:pPr>
        <w:widowControl w:val="0"/>
        <w:numPr>
          <w:ilvl w:val="1"/>
          <w:numId w:val="10"/>
        </w:numPr>
        <w:tabs>
          <w:tab w:val="left" w:pos="990"/>
        </w:tabs>
        <w:autoSpaceDE w:val="0"/>
        <w:autoSpaceDN w:val="0"/>
        <w:adjustRightInd w:val="0"/>
        <w:spacing w:line="276" w:lineRule="auto"/>
        <w:ind w:left="810"/>
        <w:contextualSpacing/>
        <w:jc w:val="both"/>
        <w:rPr>
          <w:rFonts w:asciiTheme="minorHAnsi" w:hAnsiTheme="minorHAnsi"/>
          <w:i/>
          <w:lang w:val="sq-AL"/>
        </w:rPr>
      </w:pPr>
      <w:r w:rsidRPr="00193698">
        <w:rPr>
          <w:rFonts w:asciiTheme="minorHAnsi" w:hAnsiTheme="minorHAnsi"/>
          <w:i/>
          <w:lang w:val="sq-AL"/>
        </w:rPr>
        <w:t>1 210.5 milionë lekë ose 45.6  përqind e planit janë akorduar për shpenzime të tjera korrente (shpenzime operative dhe transferta të brendshme e të jashtme).</w:t>
      </w:r>
    </w:p>
    <w:p w:rsidR="00DB2AAF" w:rsidRDefault="00DB2AAF" w:rsidP="003F6B21">
      <w:pPr>
        <w:numPr>
          <w:ilvl w:val="0"/>
          <w:numId w:val="35"/>
        </w:numPr>
        <w:spacing w:line="276" w:lineRule="auto"/>
        <w:ind w:left="360"/>
        <w:contextualSpacing/>
        <w:jc w:val="both"/>
        <w:rPr>
          <w:rFonts w:asciiTheme="minorHAnsi" w:hAnsiTheme="minorHAnsi"/>
          <w:i/>
          <w:lang w:val="sq-AL"/>
        </w:rPr>
      </w:pPr>
      <w:r w:rsidRPr="00DB2AAF">
        <w:rPr>
          <w:rFonts w:asciiTheme="minorHAnsi" w:hAnsiTheme="minorHAnsi"/>
          <w:i/>
          <w:lang w:val="sq-AL"/>
        </w:rPr>
        <w:t xml:space="preserve">Gjendja e papërdorur e fondit rezervë të buxhetit të shtetit, në datën 30 Qershor 2022, rezulton </w:t>
      </w:r>
      <w:r w:rsidRPr="00DB2AAF">
        <w:rPr>
          <w:rFonts w:asciiTheme="minorHAnsi" w:hAnsiTheme="minorHAnsi"/>
          <w:i/>
          <w:u w:val="single"/>
          <w:lang w:val="sq-AL"/>
        </w:rPr>
        <w:t xml:space="preserve">1 </w:t>
      </w:r>
      <w:r w:rsidR="006801D3">
        <w:rPr>
          <w:rFonts w:asciiTheme="minorHAnsi" w:hAnsiTheme="minorHAnsi"/>
          <w:i/>
          <w:u w:val="single"/>
          <w:lang w:val="sq-AL"/>
        </w:rPr>
        <w:t>386.</w:t>
      </w:r>
      <w:r w:rsidR="00BE00CC">
        <w:rPr>
          <w:rFonts w:asciiTheme="minorHAnsi" w:hAnsiTheme="minorHAnsi"/>
          <w:i/>
          <w:u w:val="single"/>
          <w:lang w:val="sq-AL"/>
        </w:rPr>
        <w:t>3</w:t>
      </w:r>
      <w:r w:rsidRPr="00DB2AAF">
        <w:rPr>
          <w:rFonts w:asciiTheme="minorHAnsi" w:hAnsiTheme="minorHAnsi"/>
          <w:i/>
          <w:u w:val="single"/>
          <w:lang w:val="sq-AL"/>
        </w:rPr>
        <w:t xml:space="preserve"> milionë lekë</w:t>
      </w:r>
      <w:r w:rsidRPr="00DB2AAF">
        <w:rPr>
          <w:rFonts w:asciiTheme="minorHAnsi" w:hAnsiTheme="minorHAnsi"/>
          <w:i/>
          <w:lang w:val="sq-AL"/>
        </w:rPr>
        <w:t xml:space="preserve">. </w:t>
      </w:r>
    </w:p>
    <w:p w:rsidR="009B471B" w:rsidRDefault="009B471B" w:rsidP="009B471B">
      <w:pPr>
        <w:spacing w:line="276" w:lineRule="auto"/>
        <w:ind w:left="360"/>
        <w:contextualSpacing/>
        <w:jc w:val="both"/>
        <w:rPr>
          <w:rFonts w:asciiTheme="minorHAnsi" w:hAnsiTheme="minorHAnsi"/>
          <w:i/>
          <w:lang w:val="sq-AL"/>
        </w:rPr>
      </w:pPr>
    </w:p>
    <w:p w:rsidR="00AD1FE9" w:rsidRDefault="00BE00CC" w:rsidP="00AD1FE9">
      <w:pPr>
        <w:spacing w:line="276" w:lineRule="auto"/>
        <w:ind w:left="-180"/>
        <w:contextualSpacing/>
        <w:jc w:val="center"/>
        <w:rPr>
          <w:rFonts w:asciiTheme="minorHAnsi" w:hAnsiTheme="minorHAnsi"/>
          <w:i/>
          <w:lang w:val="sq-AL"/>
        </w:rPr>
      </w:pPr>
      <w:r w:rsidRPr="00BE00CC">
        <w:rPr>
          <w:noProof/>
        </w:rPr>
        <w:lastRenderedPageBreak/>
        <w:drawing>
          <wp:inline distT="0" distB="0" distL="0" distR="0" wp14:anchorId="12D6BFA6" wp14:editId="5383065D">
            <wp:extent cx="6438900" cy="3896939"/>
            <wp:effectExtent l="0" t="0" r="0" b="889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41463" cy="3898490"/>
                    </a:xfrm>
                    <a:prstGeom prst="rect">
                      <a:avLst/>
                    </a:prstGeom>
                  </pic:spPr>
                </pic:pic>
              </a:graphicData>
            </a:graphic>
          </wp:inline>
        </w:drawing>
      </w:r>
    </w:p>
    <w:p w:rsidR="00DB2AAF" w:rsidRPr="00130559" w:rsidRDefault="00DB2AAF" w:rsidP="00DB2AAF">
      <w:pPr>
        <w:spacing w:line="276" w:lineRule="auto"/>
        <w:ind w:left="360"/>
        <w:contextualSpacing/>
        <w:jc w:val="both"/>
        <w:rPr>
          <w:rFonts w:asciiTheme="minorHAnsi" w:hAnsiTheme="minorHAnsi"/>
          <w:i/>
          <w:lang w:val="sq-AL"/>
        </w:rPr>
      </w:pPr>
    </w:p>
    <w:p w:rsidR="00DB2AAF" w:rsidRPr="00DB2AAF" w:rsidRDefault="00DB2AAF" w:rsidP="00DB2AAF">
      <w:pPr>
        <w:widowControl w:val="0"/>
        <w:autoSpaceDE w:val="0"/>
        <w:autoSpaceDN w:val="0"/>
        <w:adjustRightInd w:val="0"/>
        <w:spacing w:after="120" w:line="276" w:lineRule="auto"/>
        <w:contextualSpacing/>
        <w:jc w:val="both"/>
        <w:rPr>
          <w:rFonts w:asciiTheme="minorHAnsi" w:hAnsiTheme="minorHAnsi"/>
          <w:lang w:val="sq-AL"/>
        </w:rPr>
      </w:pPr>
      <w:r w:rsidRPr="00DB2AAF">
        <w:rPr>
          <w:rFonts w:asciiTheme="minorHAnsi" w:hAnsiTheme="minorHAnsi"/>
          <w:b/>
          <w:lang w:val="sq-AL"/>
        </w:rPr>
        <w:t>Kontingjenca për Risqet e Borxhit</w:t>
      </w:r>
      <w:r w:rsidRPr="00DB2AAF">
        <w:rPr>
          <w:rFonts w:asciiTheme="minorHAnsi" w:hAnsiTheme="minorHAnsi"/>
          <w:lang w:val="sq-AL"/>
        </w:rPr>
        <w:t xml:space="preserve"> – Ky fond prej 4 800 milionë lekë përdoret nga ministri përgjegjës për financat për të kompensuar rreziqe potenciale nga luhatjet në kurset e këmbimit ose normat e interesit, me ndikim në shpenzimet për interesa. Deri në 30.06.2022, ai rezulton i papërdorur.</w:t>
      </w:r>
    </w:p>
    <w:p w:rsidR="00DB2AAF" w:rsidRPr="009B471B" w:rsidRDefault="00DB2AAF" w:rsidP="00DB2AAF">
      <w:pPr>
        <w:spacing w:line="276" w:lineRule="auto"/>
        <w:jc w:val="both"/>
        <w:rPr>
          <w:rFonts w:asciiTheme="minorHAnsi" w:hAnsiTheme="minorHAnsi"/>
          <w:b/>
          <w:i/>
          <w:sz w:val="12"/>
          <w:lang w:val="sq-AL"/>
        </w:rPr>
      </w:pPr>
    </w:p>
    <w:p w:rsidR="00DB2AAF" w:rsidRPr="00DB2AAF" w:rsidRDefault="00DB2AAF" w:rsidP="00DB2AAF">
      <w:pPr>
        <w:spacing w:line="276" w:lineRule="auto"/>
        <w:jc w:val="both"/>
        <w:rPr>
          <w:rFonts w:asciiTheme="minorHAnsi" w:hAnsiTheme="minorHAnsi"/>
          <w:lang w:val="sq-AL"/>
        </w:rPr>
      </w:pPr>
      <w:r w:rsidRPr="00DB2AAF">
        <w:rPr>
          <w:rFonts w:asciiTheme="minorHAnsi" w:hAnsiTheme="minorHAnsi"/>
          <w:b/>
          <w:i/>
          <w:lang w:val="sq-AL"/>
        </w:rPr>
        <w:t>Fondi i Rindërtimit</w:t>
      </w:r>
      <w:r w:rsidRPr="00DB2AAF">
        <w:rPr>
          <w:rFonts w:asciiTheme="minorHAnsi" w:hAnsiTheme="minorHAnsi"/>
          <w:i/>
          <w:lang w:val="sq-AL"/>
        </w:rPr>
        <w:t xml:space="preserve"> </w:t>
      </w:r>
      <w:r w:rsidRPr="00DB2AAF">
        <w:rPr>
          <w:rFonts w:asciiTheme="minorHAnsi" w:hAnsiTheme="minorHAnsi"/>
          <w:lang w:val="sq-AL"/>
        </w:rPr>
        <w:t xml:space="preserve">– Në </w:t>
      </w:r>
      <w:r>
        <w:rPr>
          <w:rFonts w:asciiTheme="minorHAnsi" w:hAnsiTheme="minorHAnsi"/>
          <w:lang w:val="sq-AL"/>
        </w:rPr>
        <w:t>L</w:t>
      </w:r>
      <w:r w:rsidRPr="00DB2AAF">
        <w:rPr>
          <w:rFonts w:asciiTheme="minorHAnsi" w:hAnsiTheme="minorHAnsi"/>
          <w:lang w:val="sq-AL"/>
        </w:rPr>
        <w:t xml:space="preserve">igjin </w:t>
      </w:r>
      <w:r>
        <w:rPr>
          <w:rFonts w:asciiTheme="minorHAnsi" w:hAnsiTheme="minorHAnsi"/>
          <w:lang w:val="sq-AL"/>
        </w:rPr>
        <w:t>n</w:t>
      </w:r>
      <w:r w:rsidRPr="00DB2AAF">
        <w:rPr>
          <w:rFonts w:asciiTheme="minorHAnsi" w:hAnsiTheme="minorHAnsi"/>
          <w:lang w:val="sq-AL"/>
        </w:rPr>
        <w:t>r.115/2021 “</w:t>
      </w:r>
      <w:r w:rsidRPr="00DB2AAF">
        <w:rPr>
          <w:rFonts w:asciiTheme="minorHAnsi" w:hAnsiTheme="minorHAnsi"/>
          <w:i/>
          <w:lang w:val="sq-AL"/>
        </w:rPr>
        <w:t>Për buxhetin e vitit 2022”,  të ndryshuar</w:t>
      </w:r>
      <w:r>
        <w:rPr>
          <w:rFonts w:asciiTheme="minorHAnsi" w:hAnsiTheme="minorHAnsi"/>
          <w:lang w:val="sq-AL"/>
        </w:rPr>
        <w:t>”</w:t>
      </w:r>
      <w:r w:rsidRPr="00DB2AAF">
        <w:rPr>
          <w:rFonts w:asciiTheme="minorHAnsi" w:hAnsiTheme="minorHAnsi"/>
          <w:lang w:val="sq-AL"/>
        </w:rPr>
        <w:t>, në nenin 7 të tij është përcaktuar</w:t>
      </w:r>
      <w:r>
        <w:rPr>
          <w:rFonts w:asciiTheme="minorHAnsi" w:hAnsiTheme="minorHAnsi"/>
          <w:lang w:val="sq-AL"/>
        </w:rPr>
        <w:t xml:space="preserve"> se</w:t>
      </w:r>
      <w:r w:rsidRPr="00DB2AAF">
        <w:rPr>
          <w:rFonts w:asciiTheme="minorHAnsi" w:hAnsiTheme="minorHAnsi"/>
          <w:lang w:val="sq-AL"/>
        </w:rPr>
        <w:t>:</w:t>
      </w:r>
    </w:p>
    <w:p w:rsidR="00DB2AAF" w:rsidRPr="00130559" w:rsidRDefault="00DB2AAF" w:rsidP="009B471B">
      <w:pPr>
        <w:jc w:val="both"/>
        <w:rPr>
          <w:rFonts w:asciiTheme="minorHAnsi" w:hAnsiTheme="minorHAnsi"/>
          <w:bCs/>
          <w:i/>
          <w:sz w:val="22"/>
          <w:lang w:val="sq-AL"/>
        </w:rPr>
      </w:pPr>
      <w:r w:rsidRPr="00130559">
        <w:rPr>
          <w:rFonts w:asciiTheme="minorHAnsi" w:hAnsiTheme="minorHAnsi"/>
          <w:bCs/>
          <w:i/>
          <w:sz w:val="22"/>
          <w:lang w:val="sq-AL"/>
        </w:rPr>
        <w:t xml:space="preserve">   “Fondi i rindërtimit për përballimin e pasojave të tërmetit të vitit 2019, prej 20 000 milionë lekë përdoret për të përballuar kostot për projektet e miratuara dhe të pafinancuara të viteve të mëparshme dhe pjesa e mbetur për projekte të reja.</w:t>
      </w:r>
    </w:p>
    <w:p w:rsidR="00DB2AAF" w:rsidRPr="00130559" w:rsidRDefault="00DB2AAF" w:rsidP="009B471B">
      <w:pPr>
        <w:ind w:firstLine="340"/>
        <w:jc w:val="both"/>
        <w:rPr>
          <w:rFonts w:asciiTheme="minorHAnsi" w:hAnsiTheme="minorHAnsi"/>
          <w:bCs/>
          <w:i/>
          <w:sz w:val="22"/>
          <w:lang w:val="sq-AL"/>
        </w:rPr>
      </w:pPr>
      <w:r w:rsidRPr="00130559">
        <w:rPr>
          <w:rFonts w:asciiTheme="minorHAnsi" w:hAnsiTheme="minorHAnsi"/>
          <w:bCs/>
          <w:i/>
          <w:sz w:val="22"/>
          <w:lang w:val="sq-AL"/>
        </w:rPr>
        <w:t>Ky fond shton kufijtë e shpenzimeve për çdo ministri dhe institucion në nivel programi dhe kufijtë e transfertës së pakushtëzuar, të miratuar në tabelat 1 dhe 3, të përmendura në nenet 11 e 15 të këtij ligji.</w:t>
      </w:r>
    </w:p>
    <w:p w:rsidR="00DB2AAF" w:rsidRPr="00130559" w:rsidRDefault="00DB2AAF" w:rsidP="009B471B">
      <w:pPr>
        <w:ind w:firstLine="340"/>
        <w:jc w:val="both"/>
        <w:rPr>
          <w:rFonts w:asciiTheme="minorHAnsi" w:hAnsiTheme="minorHAnsi"/>
          <w:i/>
          <w:sz w:val="22"/>
          <w:lang w:val="sq-AL"/>
        </w:rPr>
      </w:pPr>
      <w:r w:rsidRPr="00130559">
        <w:rPr>
          <w:rFonts w:asciiTheme="minorHAnsi" w:hAnsiTheme="minorHAnsi"/>
          <w:bCs/>
          <w:i/>
          <w:sz w:val="22"/>
          <w:lang w:val="sq-AL"/>
        </w:rPr>
        <w:t>Çdo e ardhur në formë granti, me destinacion përballimin e pasojave të tërmetit, rrit në të njëjtën masë të ardhurat dhe shpenzimet e fondit të rindërtimit, duke shtuar kufijtë e përcaktuar në nenet 1, 2, 3 e 11 si dhe kufijtë e miratuar në tabelat 1, 3 dhe 4 të përmendura në nenet 11 e 15 të këtij ligji.”</w:t>
      </w:r>
    </w:p>
    <w:p w:rsidR="00DB2AAF" w:rsidRPr="009B471B" w:rsidRDefault="00DB2AAF" w:rsidP="00DB2AAF">
      <w:pPr>
        <w:widowControl w:val="0"/>
        <w:autoSpaceDE w:val="0"/>
        <w:autoSpaceDN w:val="0"/>
        <w:adjustRightInd w:val="0"/>
        <w:spacing w:line="276" w:lineRule="auto"/>
        <w:jc w:val="both"/>
        <w:rPr>
          <w:rFonts w:asciiTheme="minorHAnsi" w:hAnsiTheme="minorHAnsi"/>
          <w:i/>
          <w:sz w:val="8"/>
          <w:szCs w:val="12"/>
          <w:u w:val="single"/>
          <w:lang w:val="sq-AL"/>
        </w:rPr>
      </w:pPr>
    </w:p>
    <w:p w:rsidR="004A5D25" w:rsidRDefault="004A5D25" w:rsidP="009B471B">
      <w:pPr>
        <w:widowControl w:val="0"/>
        <w:autoSpaceDE w:val="0"/>
        <w:autoSpaceDN w:val="0"/>
        <w:adjustRightInd w:val="0"/>
        <w:jc w:val="both"/>
        <w:rPr>
          <w:rFonts w:asciiTheme="minorHAnsi" w:hAnsiTheme="minorHAnsi"/>
          <w:i/>
          <w:u w:val="single"/>
          <w:lang w:val="sq-AL"/>
        </w:rPr>
      </w:pPr>
    </w:p>
    <w:p w:rsidR="00DB2AAF" w:rsidRPr="00DB2AAF" w:rsidRDefault="00DB2AAF" w:rsidP="009B471B">
      <w:pPr>
        <w:widowControl w:val="0"/>
        <w:autoSpaceDE w:val="0"/>
        <w:autoSpaceDN w:val="0"/>
        <w:adjustRightInd w:val="0"/>
        <w:jc w:val="both"/>
        <w:rPr>
          <w:rFonts w:asciiTheme="minorHAnsi" w:hAnsiTheme="minorHAnsi"/>
          <w:lang w:val="sq-AL"/>
        </w:rPr>
      </w:pPr>
      <w:r w:rsidRPr="00DB2AAF">
        <w:rPr>
          <w:rFonts w:asciiTheme="minorHAnsi" w:hAnsiTheme="minorHAnsi"/>
          <w:i/>
          <w:u w:val="single"/>
          <w:lang w:val="sq-AL"/>
        </w:rPr>
        <w:t>Deri në datën 30 Qershor 2022</w:t>
      </w:r>
      <w:r w:rsidRPr="00DB2AAF">
        <w:rPr>
          <w:rFonts w:asciiTheme="minorHAnsi" w:hAnsiTheme="minorHAnsi"/>
          <w:lang w:val="sq-AL"/>
        </w:rPr>
        <w:t>, përdorimi i Fondit t</w:t>
      </w:r>
      <w:r w:rsidR="009647C4">
        <w:rPr>
          <w:rFonts w:asciiTheme="minorHAnsi" w:hAnsiTheme="minorHAnsi"/>
          <w:lang w:val="sq-AL"/>
        </w:rPr>
        <w:t>ë</w:t>
      </w:r>
      <w:r w:rsidRPr="00DB2AAF">
        <w:rPr>
          <w:rFonts w:asciiTheme="minorHAnsi" w:hAnsiTheme="minorHAnsi"/>
          <w:lang w:val="sq-AL"/>
        </w:rPr>
        <w:t xml:space="preserve"> Rindërtimit me Vendime të Këshillit të Ministrave, rezulton si mëposhtë:</w:t>
      </w:r>
    </w:p>
    <w:p w:rsidR="00DB2AAF" w:rsidRPr="00DB2AAF" w:rsidRDefault="00DB2AAF" w:rsidP="003F6B21">
      <w:pPr>
        <w:numPr>
          <w:ilvl w:val="0"/>
          <w:numId w:val="38"/>
        </w:numPr>
        <w:spacing w:before="120"/>
        <w:contextualSpacing/>
        <w:jc w:val="both"/>
        <w:rPr>
          <w:rFonts w:asciiTheme="minorHAnsi" w:eastAsia="SimSun" w:hAnsiTheme="minorHAnsi"/>
          <w:lang w:val="sq-AL"/>
        </w:rPr>
      </w:pPr>
      <w:r w:rsidRPr="00DB2AAF">
        <w:rPr>
          <w:rFonts w:asciiTheme="minorHAnsi" w:eastAsia="SimSun" w:hAnsiTheme="minorHAnsi"/>
          <w:lang w:val="sq-AL"/>
        </w:rPr>
        <w:t xml:space="preserve">Fondet e pashpenzuara nga </w:t>
      </w:r>
      <w:r>
        <w:rPr>
          <w:rFonts w:asciiTheme="minorHAnsi" w:eastAsia="SimSun" w:hAnsiTheme="minorHAnsi"/>
          <w:lang w:val="sq-AL"/>
        </w:rPr>
        <w:t xml:space="preserve">viti </w:t>
      </w:r>
      <w:r w:rsidRPr="00DB2AAF">
        <w:rPr>
          <w:rFonts w:asciiTheme="minorHAnsi" w:eastAsia="SimSun" w:hAnsiTheme="minorHAnsi"/>
          <w:lang w:val="sq-AL"/>
        </w:rPr>
        <w:t xml:space="preserve">2021 dhe të mbartura në </w:t>
      </w:r>
      <w:r>
        <w:rPr>
          <w:rFonts w:asciiTheme="minorHAnsi" w:eastAsia="SimSun" w:hAnsiTheme="minorHAnsi"/>
          <w:lang w:val="sq-AL"/>
        </w:rPr>
        <w:t xml:space="preserve">vitin </w:t>
      </w:r>
      <w:r w:rsidRPr="00DB2AAF">
        <w:rPr>
          <w:rFonts w:asciiTheme="minorHAnsi" w:eastAsia="SimSun" w:hAnsiTheme="minorHAnsi"/>
          <w:lang w:val="sq-AL"/>
        </w:rPr>
        <w:t>2022 janë 9 880 379 mij</w:t>
      </w:r>
      <w:r>
        <w:rPr>
          <w:rFonts w:asciiTheme="minorHAnsi" w:eastAsia="SimSun" w:hAnsiTheme="minorHAnsi"/>
          <w:lang w:val="sq-AL"/>
        </w:rPr>
        <w:t>ë</w:t>
      </w:r>
      <w:r w:rsidRPr="00DB2AAF">
        <w:rPr>
          <w:rFonts w:asciiTheme="minorHAnsi" w:eastAsia="SimSun" w:hAnsiTheme="minorHAnsi"/>
          <w:lang w:val="sq-AL"/>
        </w:rPr>
        <w:t xml:space="preserve"> lekë, nga të cilat:</w:t>
      </w:r>
    </w:p>
    <w:p w:rsidR="00DB2AAF" w:rsidRPr="009B471B" w:rsidRDefault="00DB2AAF" w:rsidP="003F6B21">
      <w:pPr>
        <w:numPr>
          <w:ilvl w:val="1"/>
          <w:numId w:val="37"/>
        </w:numPr>
        <w:spacing w:before="120"/>
        <w:contextualSpacing/>
        <w:jc w:val="both"/>
        <w:rPr>
          <w:rFonts w:asciiTheme="minorHAnsi" w:eastAsia="SimSun" w:hAnsiTheme="minorHAnsi"/>
          <w:i/>
          <w:sz w:val="22"/>
          <w:lang w:val="sq-AL"/>
        </w:rPr>
      </w:pPr>
      <w:r w:rsidRPr="009B471B">
        <w:rPr>
          <w:rFonts w:asciiTheme="minorHAnsi" w:eastAsia="SimSun" w:hAnsiTheme="minorHAnsi"/>
          <w:i/>
          <w:sz w:val="22"/>
          <w:lang w:val="sq-AL"/>
        </w:rPr>
        <w:t>378 736 mijë lekë për Njësitë e Qeverisjes Qendrore (NJQQ)</w:t>
      </w:r>
    </w:p>
    <w:p w:rsidR="00DB2AAF" w:rsidRPr="009B471B" w:rsidRDefault="00DB2AAF" w:rsidP="003F6B21">
      <w:pPr>
        <w:numPr>
          <w:ilvl w:val="1"/>
          <w:numId w:val="37"/>
        </w:numPr>
        <w:spacing w:before="120"/>
        <w:contextualSpacing/>
        <w:jc w:val="both"/>
        <w:rPr>
          <w:rFonts w:asciiTheme="minorHAnsi" w:eastAsia="SimSun" w:hAnsiTheme="minorHAnsi"/>
          <w:i/>
          <w:sz w:val="22"/>
          <w:lang w:val="sq-AL"/>
        </w:rPr>
      </w:pPr>
      <w:r w:rsidRPr="009B471B">
        <w:rPr>
          <w:rFonts w:asciiTheme="minorHAnsi" w:eastAsia="SimSun" w:hAnsiTheme="minorHAnsi"/>
          <w:i/>
          <w:sz w:val="22"/>
          <w:lang w:val="sq-AL"/>
        </w:rPr>
        <w:t>9 501 641 mije lekë për Njësitë e Vetëqeverisjes Vendore (NJVQV)</w:t>
      </w:r>
    </w:p>
    <w:p w:rsidR="00DB2AAF" w:rsidRPr="009B471B" w:rsidRDefault="00DB2AAF" w:rsidP="009B471B">
      <w:pPr>
        <w:ind w:left="720"/>
        <w:contextualSpacing/>
        <w:jc w:val="both"/>
        <w:rPr>
          <w:rFonts w:asciiTheme="minorHAnsi" w:eastAsia="SimSun" w:hAnsiTheme="minorHAnsi"/>
          <w:sz w:val="10"/>
          <w:lang w:val="sq-AL"/>
        </w:rPr>
      </w:pPr>
    </w:p>
    <w:p w:rsidR="00DB2AAF" w:rsidRPr="00DB2AAF" w:rsidRDefault="00DB2AAF" w:rsidP="003F6B21">
      <w:pPr>
        <w:numPr>
          <w:ilvl w:val="0"/>
          <w:numId w:val="38"/>
        </w:numPr>
        <w:spacing w:before="120"/>
        <w:contextualSpacing/>
        <w:jc w:val="both"/>
        <w:rPr>
          <w:rFonts w:asciiTheme="minorHAnsi" w:eastAsia="SimSun" w:hAnsiTheme="minorHAnsi"/>
          <w:lang w:val="sq-AL"/>
        </w:rPr>
      </w:pPr>
      <w:r w:rsidRPr="00DB2AAF">
        <w:rPr>
          <w:rFonts w:asciiTheme="minorHAnsi" w:eastAsia="SimSun" w:hAnsiTheme="minorHAnsi"/>
          <w:lang w:val="sq-AL"/>
        </w:rPr>
        <w:t>Fondet e akorduara gjatë vitit 2022 janë 11 140 508 mijë lekë, nga të cilat:</w:t>
      </w:r>
    </w:p>
    <w:p w:rsidR="00DB2AAF" w:rsidRPr="009B471B" w:rsidRDefault="00DB2AAF" w:rsidP="003F6B21">
      <w:pPr>
        <w:numPr>
          <w:ilvl w:val="1"/>
          <w:numId w:val="37"/>
        </w:numPr>
        <w:spacing w:before="120"/>
        <w:contextualSpacing/>
        <w:jc w:val="both"/>
        <w:rPr>
          <w:rFonts w:asciiTheme="minorHAnsi" w:eastAsia="SimSun" w:hAnsiTheme="minorHAnsi"/>
          <w:i/>
          <w:sz w:val="22"/>
          <w:lang w:val="sq-AL"/>
        </w:rPr>
      </w:pPr>
      <w:r w:rsidRPr="009B471B">
        <w:rPr>
          <w:rFonts w:asciiTheme="minorHAnsi" w:eastAsia="SimSun" w:hAnsiTheme="minorHAnsi"/>
          <w:i/>
          <w:sz w:val="22"/>
          <w:lang w:val="sq-AL"/>
        </w:rPr>
        <w:t>4 994 696 mijë lekë, shpenzime për Njësitë e Qeverisjes Qendrore (NJQQ)</w:t>
      </w:r>
    </w:p>
    <w:p w:rsidR="00DB2AAF" w:rsidRPr="009B471B" w:rsidRDefault="00DB2AAF" w:rsidP="003F6B21">
      <w:pPr>
        <w:numPr>
          <w:ilvl w:val="1"/>
          <w:numId w:val="37"/>
        </w:numPr>
        <w:spacing w:before="120"/>
        <w:contextualSpacing/>
        <w:jc w:val="both"/>
        <w:rPr>
          <w:rFonts w:asciiTheme="minorHAnsi" w:hAnsiTheme="minorHAnsi"/>
          <w:sz w:val="22"/>
          <w:lang w:val="sq-AL"/>
        </w:rPr>
      </w:pPr>
      <w:r w:rsidRPr="009B471B">
        <w:rPr>
          <w:rFonts w:asciiTheme="minorHAnsi" w:eastAsia="SimSun" w:hAnsiTheme="minorHAnsi"/>
          <w:i/>
          <w:sz w:val="22"/>
          <w:lang w:val="sq-AL"/>
        </w:rPr>
        <w:t>6 145 812 mijë lekë për Njësitë e Vetëqeverisjes Vendore (NJVQV</w:t>
      </w:r>
      <w:r w:rsidR="009B471B">
        <w:rPr>
          <w:rFonts w:asciiTheme="minorHAnsi" w:eastAsia="SimSun" w:hAnsiTheme="minorHAnsi"/>
          <w:i/>
          <w:sz w:val="22"/>
          <w:lang w:val="sq-AL"/>
        </w:rPr>
        <w:t>).</w:t>
      </w:r>
    </w:p>
    <w:p w:rsidR="004A5D25" w:rsidRDefault="004A5D25" w:rsidP="00462131">
      <w:pPr>
        <w:spacing w:before="120" w:line="276" w:lineRule="auto"/>
        <w:contextualSpacing/>
        <w:jc w:val="both"/>
        <w:rPr>
          <w:rFonts w:asciiTheme="minorHAnsi" w:hAnsiTheme="minorHAnsi"/>
          <w:sz w:val="22"/>
          <w:lang w:val="sq-AL"/>
        </w:rPr>
      </w:pPr>
    </w:p>
    <w:p w:rsidR="004A5D25" w:rsidRPr="009B471B" w:rsidRDefault="004A5D25" w:rsidP="009B471B">
      <w:pPr>
        <w:spacing w:before="120" w:line="276" w:lineRule="auto"/>
        <w:ind w:left="1440"/>
        <w:contextualSpacing/>
        <w:jc w:val="both"/>
        <w:rPr>
          <w:rFonts w:asciiTheme="minorHAnsi" w:hAnsiTheme="minorHAnsi"/>
          <w:sz w:val="22"/>
          <w:lang w:val="sq-AL"/>
        </w:rPr>
      </w:pPr>
    </w:p>
    <w:p w:rsidR="00956F90" w:rsidRPr="0065598A" w:rsidRDefault="00956F90" w:rsidP="002334F6">
      <w:pPr>
        <w:pStyle w:val="Heading2"/>
      </w:pPr>
      <w:bookmarkStart w:id="73" w:name="_Toc107496990"/>
      <w:r w:rsidRPr="008A27A7">
        <w:lastRenderedPageBreak/>
        <w:t>III.</w:t>
      </w:r>
      <w:r w:rsidR="00F30431" w:rsidRPr="008A27A7">
        <w:t>4</w:t>
      </w:r>
      <w:r w:rsidRPr="008A27A7">
        <w:tab/>
        <w:t>Pritshm</w:t>
      </w:r>
      <w:r w:rsidR="007E20C2" w:rsidRPr="008A27A7">
        <w:t>ë</w:t>
      </w:r>
      <w:r w:rsidRPr="008A27A7">
        <w:t>ri</w:t>
      </w:r>
      <w:r w:rsidR="00FC337D" w:rsidRPr="008A27A7">
        <w:t>a</w:t>
      </w:r>
      <w:r w:rsidRPr="008A27A7">
        <w:t xml:space="preserve"> e Shpenzimeve Buxhetore </w:t>
      </w:r>
      <w:r w:rsidR="00FC337D" w:rsidRPr="008A27A7">
        <w:t>deri n</w:t>
      </w:r>
      <w:r w:rsidR="000960BA" w:rsidRPr="008A27A7">
        <w:t>ë</w:t>
      </w:r>
      <w:r w:rsidR="00FC337D" w:rsidRPr="008A27A7">
        <w:t xml:space="preserve"> fund t</w:t>
      </w:r>
      <w:r w:rsidR="000960BA" w:rsidRPr="008A27A7">
        <w:t>ë</w:t>
      </w:r>
      <w:r w:rsidR="00FC337D" w:rsidRPr="008A27A7">
        <w:t xml:space="preserve"> vitit</w:t>
      </w:r>
      <w:r w:rsidRPr="008A27A7">
        <w:t xml:space="preserve"> 20</w:t>
      </w:r>
      <w:r w:rsidR="008E422C" w:rsidRPr="008A27A7">
        <w:t>2</w:t>
      </w:r>
      <w:r w:rsidR="00202F56" w:rsidRPr="008A27A7">
        <w:t>2</w:t>
      </w:r>
      <w:bookmarkEnd w:id="73"/>
      <w:r w:rsidR="00FB4DB9">
        <w:t xml:space="preserve"> </w:t>
      </w:r>
    </w:p>
    <w:p w:rsidR="0092452B" w:rsidRPr="0092452B" w:rsidRDefault="0092452B" w:rsidP="0092452B">
      <w:pPr>
        <w:spacing w:line="276" w:lineRule="auto"/>
        <w:jc w:val="both"/>
        <w:rPr>
          <w:rFonts w:asciiTheme="minorHAnsi" w:hAnsiTheme="minorHAnsi"/>
          <w:sz w:val="8"/>
          <w:szCs w:val="8"/>
          <w:lang w:val="sq-AL"/>
        </w:rPr>
      </w:pPr>
    </w:p>
    <w:p w:rsidR="00DB5C58" w:rsidRDefault="00DB5C58" w:rsidP="00D16876">
      <w:pPr>
        <w:spacing w:line="276" w:lineRule="auto"/>
        <w:jc w:val="both"/>
        <w:rPr>
          <w:rFonts w:asciiTheme="minorHAnsi" w:hAnsiTheme="minorHAnsi"/>
          <w:lang w:val="sq-AL"/>
        </w:rPr>
      </w:pPr>
      <w:r w:rsidRPr="006C6319">
        <w:rPr>
          <w:rFonts w:asciiTheme="minorHAnsi" w:hAnsiTheme="minorHAnsi"/>
          <w:noProof/>
          <w:lang w:val="sq-AL"/>
        </w:rPr>
        <w:t>Sjellim n</w:t>
      </w:r>
      <w:r w:rsidR="006C6319">
        <w:rPr>
          <w:rFonts w:asciiTheme="minorHAnsi" w:hAnsiTheme="minorHAnsi"/>
          <w:noProof/>
          <w:lang w:val="sq-AL"/>
        </w:rPr>
        <w:t>ë</w:t>
      </w:r>
      <w:r w:rsidRPr="006C6319">
        <w:rPr>
          <w:rFonts w:asciiTheme="minorHAnsi" w:hAnsiTheme="minorHAnsi"/>
          <w:noProof/>
          <w:lang w:val="sq-AL"/>
        </w:rPr>
        <w:t xml:space="preserve"> v</w:t>
      </w:r>
      <w:r w:rsidR="006C6319">
        <w:rPr>
          <w:rFonts w:asciiTheme="minorHAnsi" w:hAnsiTheme="minorHAnsi"/>
          <w:noProof/>
          <w:lang w:val="sq-AL"/>
        </w:rPr>
        <w:t>ë</w:t>
      </w:r>
      <w:r w:rsidRPr="006C6319">
        <w:rPr>
          <w:rFonts w:asciiTheme="minorHAnsi" w:hAnsiTheme="minorHAnsi"/>
          <w:noProof/>
          <w:lang w:val="sq-AL"/>
        </w:rPr>
        <w:t xml:space="preserve">mendje se </w:t>
      </w:r>
      <w:r w:rsidR="004529D6">
        <w:rPr>
          <w:rFonts w:asciiTheme="minorHAnsi" w:hAnsiTheme="minorHAnsi"/>
          <w:noProof/>
          <w:lang w:val="sq-AL"/>
        </w:rPr>
        <w:t>p</w:t>
      </w:r>
      <w:r w:rsidR="004A254F">
        <w:rPr>
          <w:rFonts w:asciiTheme="minorHAnsi" w:hAnsiTheme="minorHAnsi"/>
          <w:noProof/>
          <w:lang w:val="sq-AL"/>
        </w:rPr>
        <w:t>ë</w:t>
      </w:r>
      <w:r w:rsidR="004529D6">
        <w:rPr>
          <w:rFonts w:asciiTheme="minorHAnsi" w:hAnsiTheme="minorHAnsi"/>
          <w:noProof/>
          <w:lang w:val="sq-AL"/>
        </w:rPr>
        <w:t>rgjat</w:t>
      </w:r>
      <w:r w:rsidR="004A254F">
        <w:rPr>
          <w:rFonts w:asciiTheme="minorHAnsi" w:hAnsiTheme="minorHAnsi"/>
          <w:noProof/>
          <w:lang w:val="sq-AL"/>
        </w:rPr>
        <w:t>ë</w:t>
      </w:r>
      <w:r w:rsidRPr="006C6319">
        <w:rPr>
          <w:rFonts w:asciiTheme="minorHAnsi" w:hAnsiTheme="minorHAnsi"/>
          <w:noProof/>
          <w:lang w:val="sq-AL"/>
        </w:rPr>
        <w:t xml:space="preserve"> </w:t>
      </w:r>
      <w:r w:rsidR="004529D6">
        <w:rPr>
          <w:rFonts w:asciiTheme="minorHAnsi" w:hAnsiTheme="minorHAnsi"/>
          <w:noProof/>
          <w:lang w:val="sq-AL"/>
        </w:rPr>
        <w:t>6-</w:t>
      </w:r>
      <w:r w:rsidRPr="006C6319">
        <w:rPr>
          <w:rFonts w:asciiTheme="minorHAnsi" w:hAnsiTheme="minorHAnsi"/>
          <w:noProof/>
          <w:lang w:val="sq-AL"/>
        </w:rPr>
        <w:t>mujori</w:t>
      </w:r>
      <w:r w:rsidR="004529D6">
        <w:rPr>
          <w:rFonts w:asciiTheme="minorHAnsi" w:hAnsiTheme="minorHAnsi"/>
          <w:noProof/>
          <w:lang w:val="sq-AL"/>
        </w:rPr>
        <w:t>t t</w:t>
      </w:r>
      <w:r w:rsidR="004A254F">
        <w:rPr>
          <w:rFonts w:asciiTheme="minorHAnsi" w:hAnsiTheme="minorHAnsi"/>
          <w:noProof/>
          <w:lang w:val="sq-AL"/>
        </w:rPr>
        <w:t>ë</w:t>
      </w:r>
      <w:r w:rsidR="004529D6">
        <w:rPr>
          <w:rFonts w:asciiTheme="minorHAnsi" w:hAnsiTheme="minorHAnsi"/>
          <w:noProof/>
          <w:lang w:val="sq-AL"/>
        </w:rPr>
        <w:t xml:space="preserve"> par</w:t>
      </w:r>
      <w:r w:rsidR="004A254F">
        <w:rPr>
          <w:rFonts w:asciiTheme="minorHAnsi" w:hAnsiTheme="minorHAnsi"/>
          <w:noProof/>
          <w:lang w:val="sq-AL"/>
        </w:rPr>
        <w:t>ë</w:t>
      </w:r>
      <w:r w:rsidR="004529D6">
        <w:rPr>
          <w:rFonts w:asciiTheme="minorHAnsi" w:hAnsiTheme="minorHAnsi"/>
          <w:noProof/>
          <w:lang w:val="sq-AL"/>
        </w:rPr>
        <w:t xml:space="preserve"> Janar</w:t>
      </w:r>
      <w:r w:rsidRPr="006C6319">
        <w:rPr>
          <w:rFonts w:asciiTheme="minorHAnsi" w:hAnsiTheme="minorHAnsi"/>
          <w:noProof/>
          <w:lang w:val="sq-AL"/>
        </w:rPr>
        <w:t>-</w:t>
      </w:r>
      <w:r w:rsidR="00202F56">
        <w:rPr>
          <w:rFonts w:asciiTheme="minorHAnsi" w:hAnsiTheme="minorHAnsi"/>
          <w:noProof/>
          <w:lang w:val="sq-AL"/>
        </w:rPr>
        <w:t>Q</w:t>
      </w:r>
      <w:r w:rsidR="004529D6">
        <w:rPr>
          <w:rFonts w:asciiTheme="minorHAnsi" w:hAnsiTheme="minorHAnsi"/>
          <w:noProof/>
          <w:lang w:val="sq-AL"/>
        </w:rPr>
        <w:t>ershor</w:t>
      </w:r>
      <w:r w:rsidRPr="006C6319">
        <w:rPr>
          <w:rFonts w:asciiTheme="minorHAnsi" w:hAnsiTheme="minorHAnsi"/>
          <w:noProof/>
          <w:lang w:val="sq-AL"/>
        </w:rPr>
        <w:t xml:space="preserve"> 202</w:t>
      </w:r>
      <w:r w:rsidR="00202F56">
        <w:rPr>
          <w:rFonts w:asciiTheme="minorHAnsi" w:hAnsiTheme="minorHAnsi"/>
          <w:noProof/>
          <w:lang w:val="sq-AL"/>
        </w:rPr>
        <w:t>2</w:t>
      </w:r>
      <w:r w:rsidRPr="006C6319">
        <w:rPr>
          <w:rFonts w:asciiTheme="minorHAnsi" w:hAnsiTheme="minorHAnsi"/>
          <w:noProof/>
          <w:lang w:val="sq-AL"/>
        </w:rPr>
        <w:t xml:space="preserve">, </w:t>
      </w:r>
      <w:r w:rsidRPr="006C6319">
        <w:rPr>
          <w:rFonts w:asciiTheme="minorHAnsi" w:hAnsiTheme="minorHAnsi"/>
          <w:lang w:val="sq-AL"/>
        </w:rPr>
        <w:t xml:space="preserve">ligji i buxhetit </w:t>
      </w:r>
      <w:r w:rsidR="00EB3166">
        <w:rPr>
          <w:rFonts w:asciiTheme="minorHAnsi" w:hAnsiTheme="minorHAnsi"/>
          <w:lang w:val="sq-AL"/>
        </w:rPr>
        <w:t xml:space="preserve">është rishikuar </w:t>
      </w:r>
      <w:r w:rsidR="0093243B">
        <w:rPr>
          <w:rFonts w:asciiTheme="minorHAnsi" w:hAnsiTheme="minorHAnsi"/>
          <w:lang w:val="sq-AL"/>
        </w:rPr>
        <w:t>nj</w:t>
      </w:r>
      <w:r w:rsidR="009647C4">
        <w:rPr>
          <w:rFonts w:asciiTheme="minorHAnsi" w:hAnsiTheme="minorHAnsi"/>
          <w:lang w:val="sq-AL"/>
        </w:rPr>
        <w:t>ë</w:t>
      </w:r>
      <w:r w:rsidR="0093243B">
        <w:rPr>
          <w:rFonts w:asciiTheme="minorHAnsi" w:hAnsiTheme="minorHAnsi"/>
          <w:lang w:val="sq-AL"/>
        </w:rPr>
        <w:t xml:space="preserve"> </w:t>
      </w:r>
      <w:r w:rsidR="0093243B" w:rsidRPr="006C6319">
        <w:rPr>
          <w:rFonts w:asciiTheme="minorHAnsi" w:hAnsiTheme="minorHAnsi"/>
          <w:lang w:val="sq-AL"/>
        </w:rPr>
        <w:t>her</w:t>
      </w:r>
      <w:r w:rsidR="0093243B">
        <w:rPr>
          <w:rFonts w:asciiTheme="minorHAnsi" w:hAnsiTheme="minorHAnsi"/>
          <w:lang w:val="sq-AL"/>
        </w:rPr>
        <w:t xml:space="preserve">ë </w:t>
      </w:r>
      <w:r w:rsidR="007E215E">
        <w:rPr>
          <w:rFonts w:asciiTheme="minorHAnsi" w:hAnsiTheme="minorHAnsi"/>
          <w:lang w:val="sq-AL"/>
        </w:rPr>
        <w:t>tashmë</w:t>
      </w:r>
      <w:r w:rsidRPr="006C6319">
        <w:rPr>
          <w:rFonts w:asciiTheme="minorHAnsi" w:hAnsiTheme="minorHAnsi"/>
          <w:lang w:val="sq-AL"/>
        </w:rPr>
        <w:t>, p</w:t>
      </w:r>
      <w:r w:rsidR="006C6319">
        <w:rPr>
          <w:rFonts w:asciiTheme="minorHAnsi" w:hAnsiTheme="minorHAnsi"/>
          <w:lang w:val="sq-AL"/>
        </w:rPr>
        <w:t>ë</w:t>
      </w:r>
      <w:r w:rsidRPr="006C6319">
        <w:rPr>
          <w:rFonts w:asciiTheme="minorHAnsi" w:hAnsiTheme="minorHAnsi"/>
          <w:lang w:val="sq-AL"/>
        </w:rPr>
        <w:t xml:space="preserve">rmes </w:t>
      </w:r>
      <w:r w:rsidR="004529D6">
        <w:rPr>
          <w:rFonts w:asciiTheme="minorHAnsi" w:hAnsiTheme="minorHAnsi"/>
          <w:lang w:val="sq-AL"/>
        </w:rPr>
        <w:t>procedures s</w:t>
      </w:r>
      <w:r w:rsidR="004A254F">
        <w:rPr>
          <w:rFonts w:asciiTheme="minorHAnsi" w:hAnsiTheme="minorHAnsi"/>
          <w:lang w:val="sq-AL"/>
        </w:rPr>
        <w:t>ë</w:t>
      </w:r>
      <w:r w:rsidR="004529D6">
        <w:rPr>
          <w:rFonts w:asciiTheme="minorHAnsi" w:hAnsiTheme="minorHAnsi"/>
          <w:lang w:val="sq-AL"/>
        </w:rPr>
        <w:t xml:space="preserve"> Akt</w:t>
      </w:r>
      <w:r w:rsidR="007E215E">
        <w:rPr>
          <w:rFonts w:asciiTheme="minorHAnsi" w:hAnsiTheme="minorHAnsi"/>
          <w:lang w:val="sq-AL"/>
        </w:rPr>
        <w:t>it</w:t>
      </w:r>
      <w:r w:rsidRPr="006C6319">
        <w:rPr>
          <w:rFonts w:asciiTheme="minorHAnsi" w:hAnsiTheme="minorHAnsi"/>
          <w:lang w:val="sq-AL"/>
        </w:rPr>
        <w:t xml:space="preserve"> Normativ. M</w:t>
      </w:r>
      <w:r w:rsidR="006C6319">
        <w:rPr>
          <w:rFonts w:asciiTheme="minorHAnsi" w:hAnsiTheme="minorHAnsi"/>
          <w:lang w:val="sq-AL"/>
        </w:rPr>
        <w:t>ë</w:t>
      </w:r>
      <w:r w:rsidRPr="006C6319">
        <w:rPr>
          <w:rFonts w:asciiTheme="minorHAnsi" w:hAnsiTheme="minorHAnsi"/>
          <w:lang w:val="sq-AL"/>
        </w:rPr>
        <w:t xml:space="preserve"> konkretisht:</w:t>
      </w:r>
    </w:p>
    <w:p w:rsidR="002B0076" w:rsidRPr="002B0076" w:rsidRDefault="002B0076" w:rsidP="00D16876">
      <w:pPr>
        <w:spacing w:line="276" w:lineRule="auto"/>
        <w:jc w:val="both"/>
        <w:rPr>
          <w:rFonts w:asciiTheme="minorHAnsi" w:hAnsiTheme="minorHAnsi"/>
          <w:noProof/>
          <w:sz w:val="8"/>
          <w:lang w:val="sq-AL"/>
        </w:rPr>
      </w:pPr>
    </w:p>
    <w:p w:rsidR="00DB5C58" w:rsidRPr="006C6319" w:rsidRDefault="00DB5C58" w:rsidP="007E215E">
      <w:pPr>
        <w:spacing w:before="240" w:line="276" w:lineRule="auto"/>
        <w:jc w:val="both"/>
        <w:rPr>
          <w:rFonts w:asciiTheme="minorHAnsi" w:hAnsiTheme="minorHAnsi"/>
          <w:u w:val="single"/>
          <w:lang w:val="sq-AL"/>
        </w:rPr>
      </w:pPr>
      <w:r w:rsidRPr="006C6319">
        <w:rPr>
          <w:rFonts w:asciiTheme="minorHAnsi" w:hAnsiTheme="minorHAnsi"/>
          <w:u w:val="single"/>
          <w:lang w:val="sq-AL"/>
        </w:rPr>
        <w:t>Akti Normativ nr.</w:t>
      </w:r>
      <w:r w:rsidR="00202F56">
        <w:rPr>
          <w:rFonts w:asciiTheme="minorHAnsi" w:hAnsiTheme="minorHAnsi"/>
          <w:u w:val="single"/>
          <w:lang w:val="sq-AL"/>
        </w:rPr>
        <w:t>3</w:t>
      </w:r>
      <w:r w:rsidRPr="006C6319">
        <w:rPr>
          <w:rFonts w:asciiTheme="minorHAnsi" w:hAnsiTheme="minorHAnsi"/>
          <w:u w:val="single"/>
          <w:lang w:val="sq-AL"/>
        </w:rPr>
        <w:t xml:space="preserve"> dat</w:t>
      </w:r>
      <w:r w:rsidR="006C6319">
        <w:rPr>
          <w:rFonts w:asciiTheme="minorHAnsi" w:hAnsiTheme="minorHAnsi"/>
          <w:u w:val="single"/>
          <w:lang w:val="sq-AL"/>
        </w:rPr>
        <w:t>ë</w:t>
      </w:r>
      <w:r w:rsidRPr="006C6319">
        <w:rPr>
          <w:rFonts w:asciiTheme="minorHAnsi" w:hAnsiTheme="minorHAnsi"/>
          <w:u w:val="single"/>
          <w:lang w:val="sq-AL"/>
        </w:rPr>
        <w:t xml:space="preserve"> </w:t>
      </w:r>
      <w:r w:rsidR="00202F56">
        <w:rPr>
          <w:rFonts w:asciiTheme="minorHAnsi" w:hAnsiTheme="minorHAnsi"/>
          <w:u w:val="single"/>
          <w:lang w:val="sq-AL"/>
        </w:rPr>
        <w:t>12</w:t>
      </w:r>
      <w:r w:rsidRPr="006C6319">
        <w:rPr>
          <w:rFonts w:asciiTheme="minorHAnsi" w:hAnsiTheme="minorHAnsi"/>
          <w:u w:val="single"/>
          <w:lang w:val="sq-AL"/>
        </w:rPr>
        <w:t>.0</w:t>
      </w:r>
      <w:r w:rsidR="00202F56">
        <w:rPr>
          <w:rFonts w:asciiTheme="minorHAnsi" w:hAnsiTheme="minorHAnsi"/>
          <w:u w:val="single"/>
          <w:lang w:val="sq-AL"/>
        </w:rPr>
        <w:t>3</w:t>
      </w:r>
      <w:r w:rsidRPr="006C6319">
        <w:rPr>
          <w:rFonts w:asciiTheme="minorHAnsi" w:hAnsiTheme="minorHAnsi"/>
          <w:u w:val="single"/>
          <w:lang w:val="sq-AL"/>
        </w:rPr>
        <w:t>.202</w:t>
      </w:r>
      <w:r w:rsidR="00202F56">
        <w:rPr>
          <w:rFonts w:asciiTheme="minorHAnsi" w:hAnsiTheme="minorHAnsi"/>
          <w:u w:val="single"/>
          <w:lang w:val="sq-AL"/>
        </w:rPr>
        <w:t>2</w:t>
      </w:r>
      <w:r w:rsidRPr="006C6319">
        <w:rPr>
          <w:rFonts w:asciiTheme="minorHAnsi" w:hAnsiTheme="minorHAnsi"/>
          <w:u w:val="single"/>
          <w:lang w:val="sq-AL"/>
        </w:rPr>
        <w:t>:</w:t>
      </w:r>
    </w:p>
    <w:p w:rsidR="00986E85" w:rsidRPr="00986E85" w:rsidRDefault="005040AD" w:rsidP="00986E85">
      <w:pPr>
        <w:spacing w:line="276" w:lineRule="auto"/>
        <w:jc w:val="both"/>
        <w:rPr>
          <w:rFonts w:asciiTheme="minorHAnsi" w:hAnsiTheme="minorHAnsi"/>
          <w:lang w:val="sq-AL"/>
        </w:rPr>
      </w:pPr>
      <w:r w:rsidRPr="00DB1190">
        <w:rPr>
          <w:rFonts w:asciiTheme="minorHAnsi" w:hAnsiTheme="minorHAnsi"/>
          <w:lang w:val="sq-AL"/>
        </w:rPr>
        <w:t>Këshilli i Ministrave, me propozim të Ministrisë së Financave dhe Ekonomisë, në rrethana aspak tipike për një vit buxhetor të sapo startuar, ndërmori ndryshimin e parë të ligjit të buxhetit 202</w:t>
      </w:r>
      <w:r w:rsidR="00202F56">
        <w:rPr>
          <w:rFonts w:asciiTheme="minorHAnsi" w:hAnsiTheme="minorHAnsi"/>
          <w:lang w:val="sq-AL"/>
        </w:rPr>
        <w:t>2</w:t>
      </w:r>
      <w:r w:rsidRPr="00DB1190">
        <w:rPr>
          <w:rFonts w:asciiTheme="minorHAnsi" w:hAnsiTheme="minorHAnsi"/>
          <w:lang w:val="sq-AL"/>
        </w:rPr>
        <w:t>, përmes hartimit dhe miratimit të Aktit Normativ Nr.</w:t>
      </w:r>
      <w:r w:rsidR="00202F56">
        <w:rPr>
          <w:rFonts w:asciiTheme="minorHAnsi" w:hAnsiTheme="minorHAnsi"/>
          <w:lang w:val="sq-AL"/>
        </w:rPr>
        <w:t>3</w:t>
      </w:r>
      <w:r w:rsidRPr="00DB1190">
        <w:rPr>
          <w:rFonts w:asciiTheme="minorHAnsi" w:hAnsiTheme="minorHAnsi"/>
          <w:lang w:val="sq-AL"/>
        </w:rPr>
        <w:t xml:space="preserve"> datë </w:t>
      </w:r>
      <w:r w:rsidR="00202F56">
        <w:rPr>
          <w:rFonts w:asciiTheme="minorHAnsi" w:hAnsiTheme="minorHAnsi"/>
          <w:lang w:val="sq-AL"/>
        </w:rPr>
        <w:t>12</w:t>
      </w:r>
      <w:r w:rsidRPr="00DB1190">
        <w:rPr>
          <w:rFonts w:asciiTheme="minorHAnsi" w:hAnsiTheme="minorHAnsi"/>
          <w:lang w:val="sq-AL"/>
        </w:rPr>
        <w:t>.0</w:t>
      </w:r>
      <w:r w:rsidR="00202F56">
        <w:rPr>
          <w:rFonts w:asciiTheme="minorHAnsi" w:hAnsiTheme="minorHAnsi"/>
          <w:lang w:val="sq-AL"/>
        </w:rPr>
        <w:t>3</w:t>
      </w:r>
      <w:r w:rsidRPr="00DB1190">
        <w:rPr>
          <w:rFonts w:asciiTheme="minorHAnsi" w:hAnsiTheme="minorHAnsi"/>
          <w:lang w:val="sq-AL"/>
        </w:rPr>
        <w:t>.202</w:t>
      </w:r>
      <w:r w:rsidR="00202F56">
        <w:rPr>
          <w:rFonts w:asciiTheme="minorHAnsi" w:hAnsiTheme="minorHAnsi"/>
          <w:lang w:val="sq-AL"/>
        </w:rPr>
        <w:t>2</w:t>
      </w:r>
      <w:r w:rsidRPr="00DB1190">
        <w:rPr>
          <w:rFonts w:asciiTheme="minorHAnsi" w:hAnsiTheme="minorHAnsi"/>
          <w:lang w:val="sq-AL"/>
        </w:rPr>
        <w:t xml:space="preserve"> “</w:t>
      </w:r>
      <w:r w:rsidRPr="00DB1190">
        <w:rPr>
          <w:rFonts w:asciiTheme="minorHAnsi" w:hAnsiTheme="minorHAnsi"/>
          <w:i/>
          <w:lang w:val="sq-AL"/>
        </w:rPr>
        <w:t>Për disa shtesa dhe ndryshime në Ligjin nr.</w:t>
      </w:r>
      <w:r w:rsidR="00202F56">
        <w:rPr>
          <w:rFonts w:asciiTheme="minorHAnsi" w:hAnsiTheme="minorHAnsi"/>
          <w:i/>
          <w:lang w:val="sq-AL"/>
        </w:rPr>
        <w:t>115</w:t>
      </w:r>
      <w:r w:rsidRPr="00DB1190">
        <w:rPr>
          <w:rFonts w:asciiTheme="minorHAnsi" w:hAnsiTheme="minorHAnsi"/>
          <w:i/>
          <w:lang w:val="sq-AL"/>
        </w:rPr>
        <w:t>/202</w:t>
      </w:r>
      <w:r w:rsidR="00202F56">
        <w:rPr>
          <w:rFonts w:asciiTheme="minorHAnsi" w:hAnsiTheme="minorHAnsi"/>
          <w:i/>
          <w:lang w:val="sq-AL"/>
        </w:rPr>
        <w:t>1</w:t>
      </w:r>
      <w:r w:rsidRPr="00DB1190">
        <w:rPr>
          <w:rFonts w:asciiTheme="minorHAnsi" w:hAnsiTheme="minorHAnsi"/>
          <w:i/>
          <w:lang w:val="sq-AL"/>
        </w:rPr>
        <w:t xml:space="preserve"> “Për buxhetin e vitit 202</w:t>
      </w:r>
      <w:r w:rsidR="00202F56">
        <w:rPr>
          <w:rFonts w:asciiTheme="minorHAnsi" w:hAnsiTheme="minorHAnsi"/>
          <w:i/>
          <w:lang w:val="sq-AL"/>
        </w:rPr>
        <w:t>2</w:t>
      </w:r>
      <w:r w:rsidRPr="00DB1190">
        <w:rPr>
          <w:rFonts w:asciiTheme="minorHAnsi" w:hAnsiTheme="minorHAnsi"/>
          <w:lang w:val="sq-AL"/>
        </w:rPr>
        <w:t xml:space="preserve">”. </w:t>
      </w:r>
      <w:r w:rsidR="0093243B">
        <w:rPr>
          <w:rFonts w:asciiTheme="minorHAnsi" w:hAnsiTheme="minorHAnsi"/>
          <w:lang w:val="sq-AL"/>
        </w:rPr>
        <w:t>Ky r</w:t>
      </w:r>
      <w:r w:rsidR="0093243B" w:rsidRPr="0093243B">
        <w:rPr>
          <w:rFonts w:asciiTheme="minorHAnsi" w:hAnsiTheme="minorHAnsi"/>
          <w:lang w:val="sq-AL"/>
        </w:rPr>
        <w:t>ishikim u pergatit si pergjigje ndaj situates se vecante te krijuar nga kriza energjitike dhe ajo e cmimeve te karburanteve dh</w:t>
      </w:r>
      <w:r w:rsidR="00986E85">
        <w:rPr>
          <w:rFonts w:asciiTheme="minorHAnsi" w:hAnsiTheme="minorHAnsi"/>
          <w:lang w:val="sq-AL"/>
        </w:rPr>
        <w:t>e mallrave te konsumit te gjere, por duke vijuar t</w:t>
      </w:r>
      <w:r w:rsidR="009647C4">
        <w:rPr>
          <w:rFonts w:asciiTheme="minorHAnsi" w:hAnsiTheme="minorHAnsi"/>
          <w:lang w:val="sq-AL"/>
        </w:rPr>
        <w:t>ë</w:t>
      </w:r>
      <w:r w:rsidR="00986E85">
        <w:rPr>
          <w:rFonts w:asciiTheme="minorHAnsi" w:hAnsiTheme="minorHAnsi"/>
          <w:lang w:val="sq-AL"/>
        </w:rPr>
        <w:t xml:space="preserve"> </w:t>
      </w:r>
      <w:r w:rsidR="00986E85" w:rsidRPr="00986E85">
        <w:rPr>
          <w:rFonts w:asciiTheme="minorHAnsi" w:hAnsiTheme="minorHAnsi"/>
          <w:lang w:val="sq-AL"/>
        </w:rPr>
        <w:t>ruaje objektivin e konsolidimit fiskal duke mbajtur te pandryshuar nivelin e deficitit buxhetor. Mbi kete baze</w:t>
      </w:r>
      <w:r w:rsidR="00986E85">
        <w:rPr>
          <w:rFonts w:asciiTheme="minorHAnsi" w:hAnsiTheme="minorHAnsi"/>
          <w:lang w:val="sq-AL"/>
        </w:rPr>
        <w:t>,</w:t>
      </w:r>
      <w:r w:rsidR="00986E85" w:rsidRPr="00986E85">
        <w:rPr>
          <w:rFonts w:asciiTheme="minorHAnsi" w:hAnsiTheme="minorHAnsi"/>
          <w:lang w:val="sq-AL"/>
        </w:rPr>
        <w:t xml:space="preserve"> efektet e perballimit te krizes energjitike dhe te rritjes se cmimeve te mallrave te konsumit </w:t>
      </w:r>
      <w:r w:rsidR="00986E85">
        <w:rPr>
          <w:rFonts w:asciiTheme="minorHAnsi" w:hAnsiTheme="minorHAnsi"/>
          <w:lang w:val="sq-AL"/>
        </w:rPr>
        <w:t>u p</w:t>
      </w:r>
      <w:r w:rsidR="009647C4">
        <w:rPr>
          <w:rFonts w:asciiTheme="minorHAnsi" w:hAnsiTheme="minorHAnsi"/>
          <w:lang w:val="sq-AL"/>
        </w:rPr>
        <w:t>ë</w:t>
      </w:r>
      <w:r w:rsidR="00986E85">
        <w:rPr>
          <w:rFonts w:asciiTheme="minorHAnsi" w:hAnsiTheme="minorHAnsi"/>
          <w:lang w:val="sq-AL"/>
        </w:rPr>
        <w:t>rballuan n</w:t>
      </w:r>
      <w:r w:rsidR="00986E85" w:rsidRPr="00986E85">
        <w:rPr>
          <w:rFonts w:asciiTheme="minorHAnsi" w:hAnsiTheme="minorHAnsi"/>
          <w:lang w:val="sq-AL"/>
        </w:rPr>
        <w:t>epermjet dy instrumentave; rialokimit te shpenzimeve buxhetore  dhe rritjes se te ardhurave.</w:t>
      </w:r>
    </w:p>
    <w:p w:rsidR="00986E85" w:rsidRPr="00986E85" w:rsidRDefault="00986E85" w:rsidP="003F6B21">
      <w:pPr>
        <w:pStyle w:val="ListParagraph"/>
        <w:numPr>
          <w:ilvl w:val="1"/>
          <w:numId w:val="40"/>
        </w:numPr>
        <w:tabs>
          <w:tab w:val="left" w:pos="450"/>
        </w:tabs>
        <w:spacing w:line="276" w:lineRule="auto"/>
        <w:ind w:left="450"/>
        <w:jc w:val="both"/>
        <w:rPr>
          <w:rFonts w:asciiTheme="minorHAnsi" w:hAnsiTheme="minorHAnsi"/>
          <w:i/>
          <w:noProof/>
          <w:lang w:val="sq-AL"/>
        </w:rPr>
      </w:pPr>
      <w:r w:rsidRPr="00986E85">
        <w:rPr>
          <w:rFonts w:asciiTheme="minorHAnsi" w:hAnsiTheme="minorHAnsi"/>
          <w:i/>
          <w:noProof/>
          <w:lang w:val="sq-AL"/>
        </w:rPr>
        <w:t xml:space="preserve">Te ardhurat e buxhetit te shtetit me kete Akt Normativ </w:t>
      </w:r>
      <w:r>
        <w:rPr>
          <w:rFonts w:asciiTheme="minorHAnsi" w:hAnsiTheme="minorHAnsi"/>
          <w:i/>
          <w:noProof/>
          <w:lang w:val="sq-AL"/>
        </w:rPr>
        <w:t xml:space="preserve">u </w:t>
      </w:r>
      <w:r w:rsidRPr="00986E85">
        <w:rPr>
          <w:rFonts w:asciiTheme="minorHAnsi" w:hAnsiTheme="minorHAnsi"/>
          <w:i/>
          <w:noProof/>
          <w:lang w:val="sq-AL"/>
        </w:rPr>
        <w:t>rriten me 10 miliarde leke mbeshtetur ne performancen pozitive të realizimit të planit te te ardhurave tatimore dhe doganore nga administrata fiskale, per 2</w:t>
      </w:r>
      <w:r w:rsidR="00376BEC">
        <w:rPr>
          <w:rFonts w:asciiTheme="minorHAnsi" w:hAnsiTheme="minorHAnsi"/>
          <w:i/>
          <w:noProof/>
          <w:lang w:val="sq-AL"/>
        </w:rPr>
        <w:t>M</w:t>
      </w:r>
      <w:r w:rsidRPr="00986E85">
        <w:rPr>
          <w:rFonts w:asciiTheme="minorHAnsi" w:hAnsiTheme="minorHAnsi"/>
          <w:i/>
          <w:noProof/>
          <w:lang w:val="sq-AL"/>
        </w:rPr>
        <w:t xml:space="preserve"> 2022 dhe ne parashikimet per realizimin e tyre deri ne fund te vitit.</w:t>
      </w:r>
    </w:p>
    <w:p w:rsidR="00376BEC" w:rsidRPr="00376BEC" w:rsidRDefault="00376BEC" w:rsidP="00376BEC">
      <w:pPr>
        <w:pStyle w:val="ListParagraph"/>
        <w:tabs>
          <w:tab w:val="left" w:pos="450"/>
        </w:tabs>
        <w:spacing w:line="276" w:lineRule="auto"/>
        <w:ind w:left="450"/>
        <w:jc w:val="both"/>
        <w:rPr>
          <w:rFonts w:asciiTheme="minorHAnsi" w:hAnsiTheme="minorHAnsi"/>
          <w:i/>
          <w:noProof/>
          <w:sz w:val="8"/>
          <w:szCs w:val="8"/>
          <w:lang w:val="sq-AL"/>
        </w:rPr>
      </w:pPr>
    </w:p>
    <w:p w:rsidR="00986E85" w:rsidRPr="00986E85" w:rsidRDefault="00986E85" w:rsidP="003F6B21">
      <w:pPr>
        <w:pStyle w:val="ListParagraph"/>
        <w:numPr>
          <w:ilvl w:val="1"/>
          <w:numId w:val="40"/>
        </w:numPr>
        <w:tabs>
          <w:tab w:val="left" w:pos="450"/>
        </w:tabs>
        <w:spacing w:line="276" w:lineRule="auto"/>
        <w:ind w:left="450"/>
        <w:jc w:val="both"/>
        <w:rPr>
          <w:rFonts w:asciiTheme="minorHAnsi" w:hAnsiTheme="minorHAnsi"/>
          <w:i/>
          <w:noProof/>
          <w:lang w:val="sq-AL"/>
        </w:rPr>
      </w:pPr>
      <w:r w:rsidRPr="00986E85">
        <w:rPr>
          <w:rFonts w:asciiTheme="minorHAnsi" w:hAnsiTheme="minorHAnsi"/>
          <w:i/>
          <w:noProof/>
          <w:lang w:val="sq-AL"/>
        </w:rPr>
        <w:t xml:space="preserve">Shpenzimet buxhetore </w:t>
      </w:r>
      <w:r>
        <w:rPr>
          <w:rFonts w:asciiTheme="minorHAnsi" w:hAnsiTheme="minorHAnsi"/>
          <w:i/>
          <w:noProof/>
          <w:lang w:val="sq-AL"/>
        </w:rPr>
        <w:t>u</w:t>
      </w:r>
      <w:r w:rsidRPr="00986E85">
        <w:rPr>
          <w:rFonts w:asciiTheme="minorHAnsi" w:hAnsiTheme="minorHAnsi"/>
          <w:i/>
          <w:noProof/>
          <w:lang w:val="sq-AL"/>
        </w:rPr>
        <w:t xml:space="preserve"> rialokua</w:t>
      </w:r>
      <w:r>
        <w:rPr>
          <w:rFonts w:asciiTheme="minorHAnsi" w:hAnsiTheme="minorHAnsi"/>
          <w:i/>
          <w:noProof/>
          <w:lang w:val="sq-AL"/>
        </w:rPr>
        <w:t>n</w:t>
      </w:r>
      <w:r w:rsidRPr="00986E85">
        <w:rPr>
          <w:rFonts w:asciiTheme="minorHAnsi" w:hAnsiTheme="minorHAnsi"/>
          <w:i/>
          <w:noProof/>
          <w:lang w:val="sq-AL"/>
        </w:rPr>
        <w:t>/shkurtua</w:t>
      </w:r>
      <w:r>
        <w:rPr>
          <w:rFonts w:asciiTheme="minorHAnsi" w:hAnsiTheme="minorHAnsi"/>
          <w:i/>
          <w:noProof/>
          <w:lang w:val="sq-AL"/>
        </w:rPr>
        <w:t>n</w:t>
      </w:r>
      <w:r w:rsidRPr="00986E85">
        <w:rPr>
          <w:rFonts w:asciiTheme="minorHAnsi" w:hAnsiTheme="minorHAnsi"/>
          <w:i/>
          <w:noProof/>
          <w:lang w:val="sq-AL"/>
        </w:rPr>
        <w:t xml:space="preserve"> ne masen 16 miliarde leke, duke synuar shpenzimet jo prioritare, shpenzimet administrative dhe shpenzime te vleresuara qe mund te shtyhen ne vitet ne vijim.</w:t>
      </w:r>
    </w:p>
    <w:p w:rsidR="00986E85" w:rsidRPr="002B0076" w:rsidRDefault="00986E85" w:rsidP="0093243B">
      <w:pPr>
        <w:spacing w:line="276" w:lineRule="auto"/>
        <w:jc w:val="both"/>
        <w:rPr>
          <w:rFonts w:asciiTheme="minorHAnsi" w:hAnsiTheme="minorHAnsi"/>
          <w:lang w:val="sq-AL"/>
        </w:rPr>
      </w:pPr>
    </w:p>
    <w:p w:rsidR="0093243B" w:rsidRPr="0093243B" w:rsidRDefault="00376BEC" w:rsidP="0093243B">
      <w:pPr>
        <w:spacing w:line="276" w:lineRule="auto"/>
        <w:jc w:val="both"/>
        <w:rPr>
          <w:rFonts w:asciiTheme="minorHAnsi" w:hAnsiTheme="minorHAnsi"/>
          <w:lang w:val="sq-AL"/>
        </w:rPr>
      </w:pPr>
      <w:r>
        <w:rPr>
          <w:rFonts w:asciiTheme="minorHAnsi" w:hAnsiTheme="minorHAnsi"/>
          <w:lang w:val="sq-AL"/>
        </w:rPr>
        <w:t>Konkretisht, Akti Normativ</w:t>
      </w:r>
      <w:r w:rsidR="0093243B" w:rsidRPr="0093243B">
        <w:rPr>
          <w:rFonts w:asciiTheme="minorHAnsi" w:hAnsiTheme="minorHAnsi"/>
          <w:lang w:val="sq-AL"/>
        </w:rPr>
        <w:t xml:space="preserve"> </w:t>
      </w:r>
      <w:r w:rsidR="002B0076">
        <w:rPr>
          <w:rFonts w:asciiTheme="minorHAnsi" w:hAnsiTheme="minorHAnsi"/>
          <w:lang w:val="sq-AL"/>
        </w:rPr>
        <w:t xml:space="preserve">nr.3/2022 </w:t>
      </w:r>
      <w:r w:rsidR="00D16876">
        <w:rPr>
          <w:rFonts w:asciiTheme="minorHAnsi" w:hAnsiTheme="minorHAnsi"/>
          <w:lang w:val="sq-AL"/>
        </w:rPr>
        <w:t xml:space="preserve">pati </w:t>
      </w:r>
      <w:r w:rsidR="0093243B" w:rsidRPr="0093243B">
        <w:rPr>
          <w:rFonts w:asciiTheme="minorHAnsi" w:hAnsiTheme="minorHAnsi"/>
          <w:lang w:val="sq-AL"/>
        </w:rPr>
        <w:t>si synim kryesor:</w:t>
      </w:r>
    </w:p>
    <w:p w:rsidR="002B0076" w:rsidRPr="002B0076" w:rsidRDefault="002B0076" w:rsidP="002B0076">
      <w:pPr>
        <w:pStyle w:val="ListParagraph"/>
        <w:tabs>
          <w:tab w:val="left" w:pos="450"/>
        </w:tabs>
        <w:spacing w:line="276" w:lineRule="auto"/>
        <w:ind w:left="450"/>
        <w:jc w:val="both"/>
        <w:rPr>
          <w:rFonts w:asciiTheme="minorHAnsi" w:hAnsiTheme="minorHAnsi"/>
          <w:i/>
          <w:noProof/>
          <w:sz w:val="12"/>
          <w:szCs w:val="16"/>
          <w:lang w:val="sq-AL"/>
        </w:rPr>
      </w:pPr>
    </w:p>
    <w:p w:rsidR="0093243B" w:rsidRPr="0093243B" w:rsidRDefault="0093243B" w:rsidP="003F6B21">
      <w:pPr>
        <w:pStyle w:val="ListParagraph"/>
        <w:numPr>
          <w:ilvl w:val="1"/>
          <w:numId w:val="40"/>
        </w:numPr>
        <w:tabs>
          <w:tab w:val="left" w:pos="450"/>
        </w:tabs>
        <w:spacing w:line="276" w:lineRule="auto"/>
        <w:ind w:left="450"/>
        <w:jc w:val="both"/>
        <w:rPr>
          <w:rFonts w:asciiTheme="minorHAnsi" w:hAnsiTheme="minorHAnsi"/>
          <w:i/>
          <w:noProof/>
          <w:lang w:val="sq-AL"/>
        </w:rPr>
      </w:pPr>
      <w:r w:rsidRPr="0093243B">
        <w:rPr>
          <w:rFonts w:asciiTheme="minorHAnsi" w:hAnsiTheme="minorHAnsi"/>
          <w:i/>
          <w:noProof/>
          <w:lang w:val="sq-AL"/>
        </w:rPr>
        <w:t xml:space="preserve">Akordimin e mbështetjes buxhetore për sektorin e energjisë, ne shumen </w:t>
      </w:r>
      <w:r w:rsidRPr="005651CB">
        <w:rPr>
          <w:rFonts w:asciiTheme="minorHAnsi" w:hAnsiTheme="minorHAnsi"/>
          <w:i/>
          <w:noProof/>
          <w:lang w:val="sq-AL"/>
        </w:rPr>
        <w:t>20 miliardë lekë</w:t>
      </w:r>
      <w:r w:rsidR="005651CB">
        <w:rPr>
          <w:rFonts w:asciiTheme="minorHAnsi" w:hAnsiTheme="minorHAnsi"/>
          <w:i/>
          <w:noProof/>
          <w:lang w:val="sq-AL"/>
        </w:rPr>
        <w:t>,</w:t>
      </w:r>
      <w:r w:rsidR="005651CB" w:rsidRPr="005651CB">
        <w:rPr>
          <w:rFonts w:asciiTheme="minorHAnsi" w:hAnsiTheme="minorHAnsi"/>
          <w:i/>
          <w:noProof/>
          <w:lang w:val="sq-AL"/>
        </w:rPr>
        <w:t xml:space="preserve"> e cila përdoret nepermjet Vendimeve te Keshillit te Ministrave, ne perputhje me situaten energjitike</w:t>
      </w:r>
    </w:p>
    <w:p w:rsidR="005651CB" w:rsidRPr="002B0076" w:rsidRDefault="005651CB" w:rsidP="005651CB">
      <w:pPr>
        <w:pStyle w:val="ListParagraph"/>
        <w:tabs>
          <w:tab w:val="left" w:pos="450"/>
        </w:tabs>
        <w:spacing w:line="276" w:lineRule="auto"/>
        <w:ind w:left="450"/>
        <w:jc w:val="both"/>
        <w:rPr>
          <w:rFonts w:asciiTheme="minorHAnsi" w:hAnsiTheme="minorHAnsi"/>
          <w:i/>
          <w:noProof/>
          <w:sz w:val="12"/>
          <w:szCs w:val="8"/>
          <w:lang w:val="sq-AL"/>
        </w:rPr>
      </w:pPr>
    </w:p>
    <w:p w:rsidR="00D16876" w:rsidRPr="00D16876" w:rsidRDefault="00D16876" w:rsidP="003F6B21">
      <w:pPr>
        <w:pStyle w:val="ListParagraph"/>
        <w:numPr>
          <w:ilvl w:val="1"/>
          <w:numId w:val="40"/>
        </w:numPr>
        <w:tabs>
          <w:tab w:val="left" w:pos="450"/>
        </w:tabs>
        <w:spacing w:line="276" w:lineRule="auto"/>
        <w:ind w:left="450"/>
        <w:jc w:val="both"/>
        <w:rPr>
          <w:rFonts w:asciiTheme="minorHAnsi" w:hAnsiTheme="minorHAnsi"/>
          <w:i/>
          <w:noProof/>
          <w:lang w:val="sq-AL"/>
        </w:rPr>
      </w:pPr>
      <w:r w:rsidRPr="00D16876">
        <w:rPr>
          <w:rFonts w:asciiTheme="minorHAnsi" w:hAnsiTheme="minorHAnsi"/>
          <w:i/>
          <w:noProof/>
          <w:lang w:val="sq-AL"/>
        </w:rPr>
        <w:t>Financimin e nje pakete ndihme per konsumatoret per te perballuar pasojat e rritjes se cmimeve te konsumit, n</w:t>
      </w:r>
      <w:r w:rsidR="009647C4">
        <w:rPr>
          <w:rFonts w:asciiTheme="minorHAnsi" w:hAnsiTheme="minorHAnsi"/>
          <w:i/>
          <w:noProof/>
          <w:lang w:val="sq-AL"/>
        </w:rPr>
        <w:t>ë</w:t>
      </w:r>
      <w:r w:rsidRPr="00D16876">
        <w:rPr>
          <w:rFonts w:asciiTheme="minorHAnsi" w:hAnsiTheme="minorHAnsi"/>
          <w:i/>
          <w:noProof/>
          <w:lang w:val="sq-AL"/>
        </w:rPr>
        <w:t>p</w:t>
      </w:r>
      <w:r w:rsidR="009647C4">
        <w:rPr>
          <w:rFonts w:asciiTheme="minorHAnsi" w:hAnsiTheme="minorHAnsi"/>
          <w:i/>
          <w:noProof/>
          <w:lang w:val="sq-AL"/>
        </w:rPr>
        <w:t>ë</w:t>
      </w:r>
      <w:r w:rsidRPr="00D16876">
        <w:rPr>
          <w:rFonts w:asciiTheme="minorHAnsi" w:hAnsiTheme="minorHAnsi"/>
          <w:i/>
          <w:noProof/>
          <w:lang w:val="sq-AL"/>
        </w:rPr>
        <w:t>rmjet nj</w:t>
      </w:r>
      <w:r w:rsidR="009647C4">
        <w:rPr>
          <w:rFonts w:asciiTheme="minorHAnsi" w:hAnsiTheme="minorHAnsi"/>
          <w:i/>
          <w:noProof/>
          <w:lang w:val="sq-AL"/>
        </w:rPr>
        <w:t>ë</w:t>
      </w:r>
      <w:r w:rsidRPr="00D16876">
        <w:rPr>
          <w:rFonts w:asciiTheme="minorHAnsi" w:hAnsiTheme="minorHAnsi"/>
          <w:i/>
          <w:noProof/>
          <w:lang w:val="sq-AL"/>
        </w:rPr>
        <w:t xml:space="preserve"> fondi kontigjencë për Paketën e Rezistencës Sociale ndaj pasojave të krizës, me kosto 6 miliardë lekë</w:t>
      </w:r>
      <w:r w:rsidR="005651CB">
        <w:rPr>
          <w:rFonts w:asciiTheme="minorHAnsi" w:hAnsiTheme="minorHAnsi"/>
          <w:i/>
          <w:noProof/>
          <w:lang w:val="sq-AL"/>
        </w:rPr>
        <w:t>,</w:t>
      </w:r>
      <w:r w:rsidRPr="00D16876">
        <w:rPr>
          <w:rFonts w:asciiTheme="minorHAnsi" w:hAnsiTheme="minorHAnsi"/>
          <w:i/>
          <w:noProof/>
          <w:lang w:val="sq-AL"/>
        </w:rPr>
        <w:t xml:space="preserve"> e cila përdoret me VKM për zbutjen e efekteve të krizës aktuale, në mbështetje të: </w:t>
      </w:r>
    </w:p>
    <w:p w:rsidR="00D16876" w:rsidRPr="00D16876" w:rsidRDefault="00D16876" w:rsidP="003F6B21">
      <w:pPr>
        <w:pStyle w:val="ListParagraph"/>
        <w:numPr>
          <w:ilvl w:val="1"/>
          <w:numId w:val="39"/>
        </w:numPr>
        <w:tabs>
          <w:tab w:val="left" w:pos="426"/>
        </w:tabs>
        <w:spacing w:line="276" w:lineRule="auto"/>
        <w:jc w:val="both"/>
        <w:rPr>
          <w:rFonts w:asciiTheme="minorHAnsi" w:hAnsiTheme="minorHAnsi"/>
          <w:i/>
          <w:noProof/>
          <w:lang w:val="sq-AL"/>
        </w:rPr>
      </w:pPr>
      <w:r w:rsidRPr="00D16876">
        <w:rPr>
          <w:rFonts w:asciiTheme="minorHAnsi" w:hAnsiTheme="minorHAnsi"/>
          <w:i/>
          <w:noProof/>
          <w:lang w:val="sq-AL"/>
        </w:rPr>
        <w:t>Shtresave në nevojë</w:t>
      </w:r>
      <w:r w:rsidR="005651CB">
        <w:rPr>
          <w:rFonts w:asciiTheme="minorHAnsi" w:hAnsiTheme="minorHAnsi"/>
          <w:i/>
          <w:noProof/>
          <w:lang w:val="sq-AL"/>
        </w:rPr>
        <w:t>,</w:t>
      </w:r>
      <w:r w:rsidR="005651CB" w:rsidRPr="005651CB">
        <w:t xml:space="preserve"> </w:t>
      </w:r>
      <w:r w:rsidR="005651CB" w:rsidRPr="005651CB">
        <w:rPr>
          <w:rFonts w:asciiTheme="minorHAnsi" w:hAnsiTheme="minorHAnsi"/>
          <w:i/>
          <w:noProof/>
          <w:lang w:val="sq-AL"/>
        </w:rPr>
        <w:t>rreth 5mld lekë</w:t>
      </w:r>
    </w:p>
    <w:p w:rsidR="00D16876" w:rsidRPr="00D16876" w:rsidRDefault="00D16876" w:rsidP="003F6B21">
      <w:pPr>
        <w:pStyle w:val="ListParagraph"/>
        <w:numPr>
          <w:ilvl w:val="1"/>
          <w:numId w:val="39"/>
        </w:numPr>
        <w:tabs>
          <w:tab w:val="left" w:pos="426"/>
        </w:tabs>
        <w:spacing w:line="276" w:lineRule="auto"/>
        <w:jc w:val="both"/>
        <w:rPr>
          <w:rFonts w:asciiTheme="minorHAnsi" w:hAnsiTheme="minorHAnsi"/>
          <w:i/>
          <w:noProof/>
          <w:lang w:val="sq-AL"/>
        </w:rPr>
      </w:pPr>
      <w:r w:rsidRPr="00D16876">
        <w:rPr>
          <w:rFonts w:asciiTheme="minorHAnsi" w:hAnsiTheme="minorHAnsi"/>
          <w:i/>
          <w:noProof/>
          <w:lang w:val="sq-AL"/>
        </w:rPr>
        <w:t>Sektorit të transportit publik</w:t>
      </w:r>
      <w:r w:rsidR="005651CB">
        <w:rPr>
          <w:rFonts w:asciiTheme="minorHAnsi" w:hAnsiTheme="minorHAnsi"/>
          <w:i/>
          <w:noProof/>
          <w:lang w:val="sq-AL"/>
        </w:rPr>
        <w:t xml:space="preserve">, </w:t>
      </w:r>
      <w:r w:rsidR="005651CB" w:rsidRPr="005651CB">
        <w:rPr>
          <w:rFonts w:asciiTheme="minorHAnsi" w:hAnsiTheme="minorHAnsi"/>
          <w:i/>
          <w:noProof/>
          <w:lang w:val="sq-AL"/>
        </w:rPr>
        <w:t>rreth 0.5mld lekë</w:t>
      </w:r>
    </w:p>
    <w:p w:rsidR="00D16876" w:rsidRDefault="00D16876" w:rsidP="003F6B21">
      <w:pPr>
        <w:pStyle w:val="ListParagraph"/>
        <w:numPr>
          <w:ilvl w:val="1"/>
          <w:numId w:val="39"/>
        </w:numPr>
        <w:tabs>
          <w:tab w:val="left" w:pos="426"/>
        </w:tabs>
        <w:spacing w:line="276" w:lineRule="auto"/>
        <w:jc w:val="both"/>
        <w:rPr>
          <w:rFonts w:asciiTheme="minorHAnsi" w:hAnsiTheme="minorHAnsi"/>
          <w:i/>
          <w:noProof/>
          <w:lang w:val="sq-AL"/>
        </w:rPr>
      </w:pPr>
      <w:r w:rsidRPr="00D16876">
        <w:rPr>
          <w:rFonts w:asciiTheme="minorHAnsi" w:hAnsiTheme="minorHAnsi"/>
          <w:i/>
          <w:noProof/>
          <w:lang w:val="sq-AL"/>
        </w:rPr>
        <w:t>Sektorit të bujqësisë</w:t>
      </w:r>
      <w:r w:rsidR="005651CB">
        <w:rPr>
          <w:rFonts w:asciiTheme="minorHAnsi" w:hAnsiTheme="minorHAnsi"/>
          <w:i/>
          <w:noProof/>
          <w:lang w:val="sq-AL"/>
        </w:rPr>
        <w:t xml:space="preserve">, </w:t>
      </w:r>
      <w:r w:rsidR="005651CB" w:rsidRPr="005651CB">
        <w:rPr>
          <w:rFonts w:asciiTheme="minorHAnsi" w:hAnsiTheme="minorHAnsi"/>
          <w:i/>
          <w:noProof/>
          <w:lang w:val="sq-AL"/>
        </w:rPr>
        <w:t>rreth 0.5mld lekë</w:t>
      </w:r>
      <w:r w:rsidRPr="00D16876">
        <w:rPr>
          <w:rFonts w:asciiTheme="minorHAnsi" w:hAnsiTheme="minorHAnsi"/>
          <w:i/>
          <w:noProof/>
          <w:lang w:val="sq-AL"/>
        </w:rPr>
        <w:t xml:space="preserve"> </w:t>
      </w:r>
    </w:p>
    <w:p w:rsidR="005651CB" w:rsidRPr="005651CB" w:rsidRDefault="005651CB" w:rsidP="005651CB">
      <w:pPr>
        <w:pStyle w:val="ListParagraph"/>
        <w:tabs>
          <w:tab w:val="left" w:pos="450"/>
        </w:tabs>
        <w:spacing w:line="276" w:lineRule="auto"/>
        <w:ind w:left="450"/>
        <w:jc w:val="both"/>
        <w:rPr>
          <w:rFonts w:asciiTheme="minorHAnsi" w:hAnsiTheme="minorHAnsi"/>
          <w:i/>
          <w:noProof/>
          <w:lang w:val="sq-AL"/>
        </w:rPr>
      </w:pPr>
      <w:r>
        <w:rPr>
          <w:rFonts w:asciiTheme="minorHAnsi" w:hAnsiTheme="minorHAnsi"/>
          <w:i/>
          <w:noProof/>
          <w:lang w:val="sq-AL"/>
        </w:rPr>
        <w:t>Nga kjo Paket</w:t>
      </w:r>
      <w:r w:rsidR="009647C4">
        <w:rPr>
          <w:rFonts w:asciiTheme="minorHAnsi" w:hAnsiTheme="minorHAnsi"/>
          <w:i/>
          <w:noProof/>
          <w:lang w:val="sq-AL"/>
        </w:rPr>
        <w:t>ë</w:t>
      </w:r>
      <w:r>
        <w:rPr>
          <w:rFonts w:asciiTheme="minorHAnsi" w:hAnsiTheme="minorHAnsi"/>
          <w:i/>
          <w:noProof/>
          <w:lang w:val="sq-AL"/>
        </w:rPr>
        <w:t xml:space="preserve"> p</w:t>
      </w:r>
      <w:r w:rsidR="009647C4">
        <w:rPr>
          <w:rFonts w:asciiTheme="minorHAnsi" w:hAnsiTheme="minorHAnsi"/>
          <w:i/>
          <w:noProof/>
          <w:lang w:val="sq-AL"/>
        </w:rPr>
        <w:t>ë</w:t>
      </w:r>
      <w:r>
        <w:rPr>
          <w:rFonts w:asciiTheme="minorHAnsi" w:hAnsiTheme="minorHAnsi"/>
          <w:i/>
          <w:noProof/>
          <w:lang w:val="sq-AL"/>
        </w:rPr>
        <w:t xml:space="preserve">rfituan </w:t>
      </w:r>
      <w:r w:rsidRPr="005651CB">
        <w:rPr>
          <w:rFonts w:asciiTheme="minorHAnsi" w:hAnsiTheme="minorHAnsi"/>
          <w:i/>
          <w:noProof/>
          <w:lang w:val="sq-AL"/>
        </w:rPr>
        <w:t>shtresat me vulnerable te shoqerise si pensionistet me te ardhura te ulta, pensionistet e vetmuar, te paaftet, familjet ne ndihme ekonomike etj.</w:t>
      </w:r>
      <w:r>
        <w:rPr>
          <w:rFonts w:asciiTheme="minorHAnsi" w:hAnsiTheme="minorHAnsi"/>
          <w:i/>
          <w:noProof/>
          <w:lang w:val="sq-AL"/>
        </w:rPr>
        <w:t xml:space="preserve"> </w:t>
      </w:r>
      <w:r w:rsidRPr="005651CB">
        <w:rPr>
          <w:rFonts w:asciiTheme="minorHAnsi" w:hAnsiTheme="minorHAnsi"/>
          <w:i/>
          <w:noProof/>
          <w:lang w:val="sq-AL"/>
        </w:rPr>
        <w:t>Gjithashtu kjo pakete ndihmo</w:t>
      </w:r>
      <w:r>
        <w:rPr>
          <w:rFonts w:asciiTheme="minorHAnsi" w:hAnsiTheme="minorHAnsi"/>
          <w:i/>
          <w:noProof/>
          <w:lang w:val="sq-AL"/>
        </w:rPr>
        <w:t>i</w:t>
      </w:r>
      <w:r w:rsidRPr="005651CB">
        <w:rPr>
          <w:rFonts w:asciiTheme="minorHAnsi" w:hAnsiTheme="minorHAnsi"/>
          <w:i/>
          <w:noProof/>
          <w:lang w:val="sq-AL"/>
        </w:rPr>
        <w:t xml:space="preserve"> sektorin e transportit publik dhe ate te mekanikes ne bujqesi, per shkak te rritjes se cmimit te naftes ne nivele teper te larta e te paperballueshme.</w:t>
      </w:r>
    </w:p>
    <w:p w:rsidR="002B0076" w:rsidRDefault="002B0076" w:rsidP="002B0076">
      <w:pPr>
        <w:pStyle w:val="ListParagraph"/>
        <w:tabs>
          <w:tab w:val="left" w:pos="450"/>
        </w:tabs>
        <w:spacing w:line="276" w:lineRule="auto"/>
        <w:ind w:left="450"/>
        <w:jc w:val="both"/>
        <w:rPr>
          <w:rFonts w:asciiTheme="minorHAnsi" w:hAnsiTheme="minorHAnsi"/>
          <w:i/>
          <w:noProof/>
          <w:szCs w:val="16"/>
          <w:lang w:val="sq-AL"/>
        </w:rPr>
      </w:pPr>
    </w:p>
    <w:p w:rsidR="002B0076" w:rsidRDefault="002B0076" w:rsidP="002B0076">
      <w:pPr>
        <w:pStyle w:val="ListParagraph"/>
        <w:tabs>
          <w:tab w:val="left" w:pos="450"/>
        </w:tabs>
        <w:spacing w:line="276" w:lineRule="auto"/>
        <w:ind w:left="450"/>
        <w:jc w:val="both"/>
        <w:rPr>
          <w:rFonts w:asciiTheme="minorHAnsi" w:hAnsiTheme="minorHAnsi"/>
          <w:i/>
          <w:noProof/>
          <w:szCs w:val="16"/>
          <w:lang w:val="sq-AL"/>
        </w:rPr>
      </w:pPr>
    </w:p>
    <w:p w:rsidR="002B0076" w:rsidRDefault="002B0076" w:rsidP="002B0076">
      <w:pPr>
        <w:pStyle w:val="ListParagraph"/>
        <w:tabs>
          <w:tab w:val="left" w:pos="450"/>
        </w:tabs>
        <w:spacing w:line="276" w:lineRule="auto"/>
        <w:ind w:left="450"/>
        <w:jc w:val="both"/>
        <w:rPr>
          <w:rFonts w:asciiTheme="minorHAnsi" w:hAnsiTheme="minorHAnsi"/>
          <w:i/>
          <w:noProof/>
          <w:szCs w:val="16"/>
          <w:lang w:val="sq-AL"/>
        </w:rPr>
      </w:pPr>
    </w:p>
    <w:p w:rsidR="002B0076" w:rsidRPr="002B0076" w:rsidRDefault="002B0076" w:rsidP="002B0076">
      <w:pPr>
        <w:pStyle w:val="ListParagraph"/>
        <w:tabs>
          <w:tab w:val="left" w:pos="450"/>
        </w:tabs>
        <w:spacing w:line="276" w:lineRule="auto"/>
        <w:ind w:left="450"/>
        <w:jc w:val="both"/>
        <w:rPr>
          <w:rFonts w:asciiTheme="minorHAnsi" w:hAnsiTheme="minorHAnsi"/>
          <w:i/>
          <w:noProof/>
          <w:szCs w:val="16"/>
          <w:lang w:val="sq-AL"/>
        </w:rPr>
      </w:pPr>
    </w:p>
    <w:p w:rsidR="00D16876" w:rsidRDefault="00D16876" w:rsidP="003F6B21">
      <w:pPr>
        <w:pStyle w:val="ListParagraph"/>
        <w:numPr>
          <w:ilvl w:val="1"/>
          <w:numId w:val="40"/>
        </w:numPr>
        <w:tabs>
          <w:tab w:val="left" w:pos="450"/>
        </w:tabs>
        <w:spacing w:line="276" w:lineRule="auto"/>
        <w:ind w:left="450"/>
        <w:jc w:val="both"/>
        <w:rPr>
          <w:rFonts w:asciiTheme="minorHAnsi" w:hAnsiTheme="minorHAnsi"/>
          <w:i/>
          <w:noProof/>
          <w:lang w:val="sq-AL"/>
        </w:rPr>
      </w:pPr>
      <w:r w:rsidRPr="00D16876">
        <w:rPr>
          <w:rFonts w:asciiTheme="minorHAnsi" w:hAnsiTheme="minorHAnsi"/>
          <w:i/>
          <w:noProof/>
          <w:lang w:val="sq-AL"/>
        </w:rPr>
        <w:lastRenderedPageBreak/>
        <w:t xml:space="preserve">Reflektimin në kahun e të ardhurave të një rritje në masën 10 miliardë lekë. Kjo rritje vjen e bazuar ne performancen pozitive të realizimit të planit te te ardhurave tatimore dhe doganore nga administrata fiskale, per 2 mujorin 2022. </w:t>
      </w:r>
    </w:p>
    <w:p w:rsidR="00D16876" w:rsidRPr="00D16876" w:rsidRDefault="00D16876" w:rsidP="003F6B21">
      <w:pPr>
        <w:pStyle w:val="ListParagraph"/>
        <w:numPr>
          <w:ilvl w:val="1"/>
          <w:numId w:val="39"/>
        </w:numPr>
        <w:tabs>
          <w:tab w:val="left" w:pos="450"/>
        </w:tabs>
        <w:spacing w:line="276" w:lineRule="auto"/>
        <w:jc w:val="both"/>
        <w:rPr>
          <w:rFonts w:asciiTheme="minorHAnsi" w:hAnsiTheme="minorHAnsi"/>
          <w:i/>
          <w:noProof/>
          <w:lang w:val="sq-AL"/>
        </w:rPr>
      </w:pPr>
      <w:r w:rsidRPr="00D16876">
        <w:rPr>
          <w:rFonts w:asciiTheme="minorHAnsi" w:hAnsiTheme="minorHAnsi"/>
          <w:i/>
          <w:noProof/>
          <w:lang w:val="sq-AL"/>
        </w:rPr>
        <w:t xml:space="preserve">Propozimi për këtë rritje, </w:t>
      </w:r>
      <w:r>
        <w:rPr>
          <w:rFonts w:asciiTheme="minorHAnsi" w:hAnsiTheme="minorHAnsi"/>
          <w:i/>
          <w:noProof/>
          <w:lang w:val="sq-AL"/>
        </w:rPr>
        <w:t>erdhi</w:t>
      </w:r>
      <w:r w:rsidRPr="00D16876">
        <w:rPr>
          <w:rFonts w:asciiTheme="minorHAnsi" w:hAnsiTheme="minorHAnsi"/>
          <w:i/>
          <w:noProof/>
          <w:lang w:val="sq-AL"/>
        </w:rPr>
        <w:t xml:space="preserve"> si rrjedhojë e një analize të mirëfilltë nga ana e MFE, </w:t>
      </w:r>
      <w:r w:rsidR="005651CB">
        <w:rPr>
          <w:rFonts w:asciiTheme="minorHAnsi" w:hAnsiTheme="minorHAnsi"/>
          <w:i/>
          <w:noProof/>
          <w:lang w:val="sq-AL"/>
        </w:rPr>
        <w:t>e cila d</w:t>
      </w:r>
      <w:r w:rsidR="009647C4">
        <w:rPr>
          <w:rFonts w:asciiTheme="minorHAnsi" w:hAnsiTheme="minorHAnsi"/>
          <w:i/>
          <w:noProof/>
          <w:lang w:val="sq-AL"/>
        </w:rPr>
        <w:t>ë</w:t>
      </w:r>
      <w:r w:rsidR="005651CB">
        <w:rPr>
          <w:rFonts w:asciiTheme="minorHAnsi" w:hAnsiTheme="minorHAnsi"/>
          <w:i/>
          <w:noProof/>
          <w:lang w:val="sq-AL"/>
        </w:rPr>
        <w:t>shmoi</w:t>
      </w:r>
      <w:r w:rsidRPr="00D16876">
        <w:rPr>
          <w:rFonts w:asciiTheme="minorHAnsi" w:hAnsiTheme="minorHAnsi"/>
          <w:i/>
          <w:noProof/>
          <w:lang w:val="sq-AL"/>
        </w:rPr>
        <w:t xml:space="preserve"> </w:t>
      </w:r>
      <w:r w:rsidR="005651CB">
        <w:rPr>
          <w:rFonts w:asciiTheme="minorHAnsi" w:hAnsiTheme="minorHAnsi"/>
          <w:i/>
          <w:noProof/>
          <w:lang w:val="sq-AL"/>
        </w:rPr>
        <w:t>nj</w:t>
      </w:r>
      <w:r w:rsidR="009647C4">
        <w:rPr>
          <w:rFonts w:asciiTheme="minorHAnsi" w:hAnsiTheme="minorHAnsi"/>
          <w:i/>
          <w:noProof/>
          <w:lang w:val="sq-AL"/>
        </w:rPr>
        <w:t>ë</w:t>
      </w:r>
      <w:r w:rsidRPr="00D16876">
        <w:rPr>
          <w:rFonts w:asciiTheme="minorHAnsi" w:hAnsiTheme="minorHAnsi"/>
          <w:i/>
          <w:noProof/>
          <w:lang w:val="sq-AL"/>
        </w:rPr>
        <w:t xml:space="preserve"> rritje </w:t>
      </w:r>
      <w:r w:rsidR="005651CB">
        <w:rPr>
          <w:rFonts w:asciiTheme="minorHAnsi" w:hAnsiTheme="minorHAnsi"/>
          <w:i/>
          <w:noProof/>
          <w:lang w:val="sq-AL"/>
        </w:rPr>
        <w:t>t</w:t>
      </w:r>
      <w:r w:rsidR="009647C4">
        <w:rPr>
          <w:rFonts w:asciiTheme="minorHAnsi" w:hAnsiTheme="minorHAnsi"/>
          <w:i/>
          <w:noProof/>
          <w:lang w:val="sq-AL"/>
        </w:rPr>
        <w:t>ë</w:t>
      </w:r>
      <w:r w:rsidRPr="00D16876">
        <w:rPr>
          <w:rFonts w:asciiTheme="minorHAnsi" w:hAnsiTheme="minorHAnsi"/>
          <w:i/>
          <w:noProof/>
          <w:lang w:val="sq-AL"/>
        </w:rPr>
        <w:t xml:space="preserve"> të ardhurave si rezultat i mireadministrimit, luftës ndaj informalitetit dhe kontrollit të zinxhirit të transaksioneve ndërmjet operatorëve duke u fokusuar ne ato segmente dhe tatimpagues që kontribuojnë më shumë tek të ardhurat, </w:t>
      </w:r>
      <w:r w:rsidR="005651CB">
        <w:rPr>
          <w:rFonts w:asciiTheme="minorHAnsi" w:hAnsiTheme="minorHAnsi"/>
          <w:i/>
          <w:noProof/>
          <w:lang w:val="sq-AL"/>
        </w:rPr>
        <w:t xml:space="preserve">dhe </w:t>
      </w:r>
      <w:r w:rsidRPr="00D16876">
        <w:rPr>
          <w:rFonts w:asciiTheme="minorHAnsi" w:hAnsiTheme="minorHAnsi"/>
          <w:i/>
          <w:noProof/>
          <w:lang w:val="sq-AL"/>
        </w:rPr>
        <w:t>duke reflektuar në këtë menyrë rimëkëmbjen e ekonomisë së vendit tonë pas krizës dhe pasojave që shkakt</w:t>
      </w:r>
      <w:r w:rsidR="005651CB">
        <w:rPr>
          <w:rFonts w:asciiTheme="minorHAnsi" w:hAnsiTheme="minorHAnsi"/>
          <w:i/>
          <w:noProof/>
          <w:lang w:val="sq-AL"/>
        </w:rPr>
        <w:t>oi</w:t>
      </w:r>
      <w:r w:rsidRPr="00D16876">
        <w:rPr>
          <w:rFonts w:asciiTheme="minorHAnsi" w:hAnsiTheme="minorHAnsi"/>
          <w:i/>
          <w:noProof/>
          <w:lang w:val="sq-AL"/>
        </w:rPr>
        <w:t xml:space="preserve"> tërmeti, shoqeruar kjo me rritjen ekonomike.</w:t>
      </w:r>
    </w:p>
    <w:p w:rsidR="005040AD" w:rsidRPr="00DB1190" w:rsidRDefault="005040AD" w:rsidP="002B0076">
      <w:pPr>
        <w:spacing w:line="276" w:lineRule="auto"/>
        <w:jc w:val="both"/>
        <w:rPr>
          <w:rFonts w:asciiTheme="minorHAnsi" w:hAnsiTheme="minorHAnsi"/>
          <w:lang w:val="sq-AL"/>
        </w:rPr>
      </w:pPr>
      <w:r w:rsidRPr="00436FFA">
        <w:rPr>
          <w:rFonts w:asciiTheme="minorHAnsi" w:hAnsiTheme="minorHAnsi"/>
          <w:lang w:val="sq-AL"/>
        </w:rPr>
        <w:t xml:space="preserve">Është me rëndësi </w:t>
      </w:r>
      <w:r>
        <w:rPr>
          <w:rFonts w:asciiTheme="minorHAnsi" w:hAnsiTheme="minorHAnsi"/>
          <w:lang w:val="sq-AL"/>
        </w:rPr>
        <w:t>të</w:t>
      </w:r>
      <w:r w:rsidRPr="00436FFA">
        <w:rPr>
          <w:rFonts w:asciiTheme="minorHAnsi" w:hAnsiTheme="minorHAnsi"/>
          <w:lang w:val="sq-AL"/>
        </w:rPr>
        <w:t xml:space="preserve"> </w:t>
      </w:r>
      <w:r>
        <w:rPr>
          <w:rFonts w:asciiTheme="minorHAnsi" w:hAnsiTheme="minorHAnsi"/>
          <w:lang w:val="sq-AL"/>
        </w:rPr>
        <w:t>t</w:t>
      </w:r>
      <w:r w:rsidRPr="00436FFA">
        <w:rPr>
          <w:rFonts w:asciiTheme="minorHAnsi" w:hAnsiTheme="minorHAnsi"/>
          <w:lang w:val="sq-AL"/>
        </w:rPr>
        <w:t>heksoj</w:t>
      </w:r>
      <w:r>
        <w:rPr>
          <w:rFonts w:asciiTheme="minorHAnsi" w:hAnsiTheme="minorHAnsi"/>
          <w:lang w:val="sq-AL"/>
        </w:rPr>
        <w:t>më</w:t>
      </w:r>
      <w:r w:rsidRPr="00436FFA">
        <w:rPr>
          <w:rFonts w:asciiTheme="minorHAnsi" w:hAnsiTheme="minorHAnsi"/>
          <w:lang w:val="sq-AL"/>
        </w:rPr>
        <w:t xml:space="preserve"> se, përtej rialokimit mes zërave dhe balancimit të rritjes së shpenzimeve prioritare</w:t>
      </w:r>
      <w:r w:rsidR="00986E85">
        <w:rPr>
          <w:rFonts w:asciiTheme="minorHAnsi" w:hAnsiTheme="minorHAnsi"/>
          <w:lang w:val="sq-AL"/>
        </w:rPr>
        <w:t xml:space="preserve"> p</w:t>
      </w:r>
      <w:r w:rsidR="009647C4">
        <w:rPr>
          <w:rFonts w:asciiTheme="minorHAnsi" w:hAnsiTheme="minorHAnsi"/>
          <w:lang w:val="sq-AL"/>
        </w:rPr>
        <w:t>ë</w:t>
      </w:r>
      <w:r w:rsidR="00986E85">
        <w:rPr>
          <w:rFonts w:asciiTheme="minorHAnsi" w:hAnsiTheme="minorHAnsi"/>
          <w:lang w:val="sq-AL"/>
        </w:rPr>
        <w:t>rmes rritjes s</w:t>
      </w:r>
      <w:r w:rsidR="009647C4">
        <w:rPr>
          <w:rFonts w:asciiTheme="minorHAnsi" w:hAnsiTheme="minorHAnsi"/>
          <w:lang w:val="sq-AL"/>
        </w:rPr>
        <w:t>ë</w:t>
      </w:r>
      <w:r w:rsidR="00986E85">
        <w:rPr>
          <w:rFonts w:asciiTheme="minorHAnsi" w:hAnsiTheme="minorHAnsi"/>
          <w:lang w:val="sq-AL"/>
        </w:rPr>
        <w:t xml:space="preserve"> t</w:t>
      </w:r>
      <w:r w:rsidR="009647C4">
        <w:rPr>
          <w:rFonts w:asciiTheme="minorHAnsi" w:hAnsiTheme="minorHAnsi"/>
          <w:lang w:val="sq-AL"/>
        </w:rPr>
        <w:t>ë</w:t>
      </w:r>
      <w:r w:rsidR="00986E85">
        <w:rPr>
          <w:rFonts w:asciiTheme="minorHAnsi" w:hAnsiTheme="minorHAnsi"/>
          <w:lang w:val="sq-AL"/>
        </w:rPr>
        <w:t xml:space="preserve"> ardhurave</w:t>
      </w:r>
      <w:r w:rsidRPr="00436FFA">
        <w:rPr>
          <w:rFonts w:asciiTheme="minorHAnsi" w:hAnsiTheme="minorHAnsi"/>
          <w:lang w:val="sq-AL"/>
        </w:rPr>
        <w:t>, ky akt normativ nuk prek</w:t>
      </w:r>
      <w:r>
        <w:rPr>
          <w:rFonts w:asciiTheme="minorHAnsi" w:hAnsiTheme="minorHAnsi"/>
          <w:lang w:val="sq-AL"/>
        </w:rPr>
        <w:t>u</w:t>
      </w:r>
      <w:r w:rsidRPr="00436FFA">
        <w:rPr>
          <w:rFonts w:asciiTheme="minorHAnsi" w:hAnsiTheme="minorHAnsi"/>
          <w:lang w:val="sq-AL"/>
        </w:rPr>
        <w:t xml:space="preserve"> defi</w:t>
      </w:r>
      <w:r w:rsidR="00C107A2">
        <w:rPr>
          <w:rFonts w:asciiTheme="minorHAnsi" w:hAnsiTheme="minorHAnsi"/>
          <w:lang w:val="sq-AL"/>
        </w:rPr>
        <w:t>ç</w:t>
      </w:r>
      <w:r w:rsidRPr="00436FFA">
        <w:rPr>
          <w:rFonts w:asciiTheme="minorHAnsi" w:hAnsiTheme="minorHAnsi"/>
          <w:lang w:val="sq-AL"/>
        </w:rPr>
        <w:t>iti</w:t>
      </w:r>
      <w:r w:rsidR="00C107A2">
        <w:rPr>
          <w:rFonts w:asciiTheme="minorHAnsi" w:hAnsiTheme="minorHAnsi"/>
          <w:lang w:val="sq-AL"/>
        </w:rPr>
        <w:t>n</w:t>
      </w:r>
      <w:r w:rsidRPr="00436FFA">
        <w:rPr>
          <w:rFonts w:asciiTheme="minorHAnsi" w:hAnsiTheme="minorHAnsi"/>
          <w:lang w:val="sq-AL"/>
        </w:rPr>
        <w:t xml:space="preserve"> buxhetor </w:t>
      </w:r>
      <w:r w:rsidR="00C107A2">
        <w:rPr>
          <w:rFonts w:asciiTheme="minorHAnsi" w:hAnsiTheme="minorHAnsi"/>
          <w:lang w:val="sq-AL"/>
        </w:rPr>
        <w:t>i</w:t>
      </w:r>
      <w:r w:rsidRPr="00436FFA">
        <w:rPr>
          <w:rFonts w:asciiTheme="minorHAnsi" w:hAnsiTheme="minorHAnsi"/>
          <w:lang w:val="sq-AL"/>
        </w:rPr>
        <w:t xml:space="preserve"> cil</w:t>
      </w:r>
      <w:r w:rsidR="00C107A2">
        <w:rPr>
          <w:rFonts w:asciiTheme="minorHAnsi" w:hAnsiTheme="minorHAnsi"/>
          <w:lang w:val="sq-AL"/>
        </w:rPr>
        <w:t>i</w:t>
      </w:r>
      <w:r w:rsidRPr="00436FFA">
        <w:rPr>
          <w:rFonts w:asciiTheme="minorHAnsi" w:hAnsiTheme="minorHAnsi"/>
          <w:lang w:val="sq-AL"/>
        </w:rPr>
        <w:t xml:space="preserve"> mbet</w:t>
      </w:r>
      <w:r w:rsidR="00C107A2">
        <w:rPr>
          <w:rFonts w:asciiTheme="minorHAnsi" w:hAnsiTheme="minorHAnsi"/>
          <w:lang w:val="sq-AL"/>
        </w:rPr>
        <w:t>i</w:t>
      </w:r>
      <w:r w:rsidRPr="00436FFA">
        <w:rPr>
          <w:rFonts w:asciiTheme="minorHAnsi" w:hAnsiTheme="minorHAnsi"/>
          <w:lang w:val="sq-AL"/>
        </w:rPr>
        <w:t xml:space="preserve"> </w:t>
      </w:r>
      <w:r w:rsidR="00C107A2">
        <w:rPr>
          <w:rFonts w:asciiTheme="minorHAnsi" w:hAnsiTheme="minorHAnsi"/>
          <w:lang w:val="sq-AL"/>
        </w:rPr>
        <w:t>i</w:t>
      </w:r>
      <w:r w:rsidRPr="00436FFA">
        <w:rPr>
          <w:rFonts w:asciiTheme="minorHAnsi" w:hAnsiTheme="minorHAnsi"/>
          <w:lang w:val="sq-AL"/>
        </w:rPr>
        <w:t xml:space="preserve"> pandryshuar</w:t>
      </w:r>
    </w:p>
    <w:p w:rsidR="00051316" w:rsidRPr="002B0076" w:rsidRDefault="00051316" w:rsidP="00CB678B">
      <w:pPr>
        <w:spacing w:line="276" w:lineRule="auto"/>
        <w:jc w:val="both"/>
        <w:rPr>
          <w:rFonts w:asciiTheme="minorHAnsi" w:hAnsiTheme="minorHAnsi"/>
          <w:sz w:val="8"/>
          <w:szCs w:val="8"/>
          <w:u w:val="single"/>
          <w:lang w:val="sq-AL"/>
        </w:rPr>
      </w:pPr>
    </w:p>
    <w:p w:rsidR="00E74AAC" w:rsidRDefault="002B0076" w:rsidP="00CB678B">
      <w:pPr>
        <w:spacing w:line="276" w:lineRule="auto"/>
        <w:jc w:val="both"/>
        <w:rPr>
          <w:rFonts w:asciiTheme="minorHAnsi" w:hAnsiTheme="minorHAnsi"/>
          <w:u w:val="single"/>
          <w:lang w:val="sq-AL"/>
        </w:rPr>
      </w:pPr>
      <w:r w:rsidRPr="0065598A">
        <w:rPr>
          <w:rFonts w:asciiTheme="minorHAnsi" w:hAnsiTheme="minorHAnsi"/>
          <w:lang w:val="sq-AL"/>
        </w:rPr>
        <w:t>Shpenzimet</w:t>
      </w:r>
      <w:r w:rsidRPr="0065598A">
        <w:rPr>
          <w:rFonts w:asciiTheme="minorHAnsi" w:hAnsiTheme="minorHAnsi"/>
          <w:noProof/>
          <w:lang w:val="sq-AL"/>
        </w:rPr>
        <w:t xml:space="preserve"> e përgjithshme për vitin 20</w:t>
      </w:r>
      <w:r>
        <w:rPr>
          <w:rFonts w:asciiTheme="minorHAnsi" w:hAnsiTheme="minorHAnsi"/>
          <w:noProof/>
          <w:lang w:val="sq-AL"/>
        </w:rPr>
        <w:t>22</w:t>
      </w:r>
      <w:r w:rsidRPr="0065598A">
        <w:rPr>
          <w:rFonts w:asciiTheme="minorHAnsi" w:hAnsiTheme="minorHAnsi"/>
          <w:noProof/>
          <w:lang w:val="sq-AL"/>
        </w:rPr>
        <w:t>, vlerësuar mbi bazën e ecurisë dhe performancës së tyre gjatë periudhës Janar-Maj 20</w:t>
      </w:r>
      <w:r>
        <w:rPr>
          <w:rFonts w:asciiTheme="minorHAnsi" w:hAnsiTheme="minorHAnsi"/>
          <w:noProof/>
          <w:lang w:val="sq-AL"/>
        </w:rPr>
        <w:t>22</w:t>
      </w:r>
      <w:r w:rsidRPr="0065598A">
        <w:rPr>
          <w:rFonts w:asciiTheme="minorHAnsi" w:hAnsiTheme="minorHAnsi"/>
          <w:noProof/>
          <w:lang w:val="sq-AL"/>
        </w:rPr>
        <w:t xml:space="preserve">, paraqesin një pritshmëri përgjithësisht në linjë me parashikimet </w:t>
      </w:r>
      <w:r>
        <w:rPr>
          <w:rFonts w:asciiTheme="minorHAnsi" w:hAnsiTheme="minorHAnsi"/>
          <w:noProof/>
          <w:lang w:val="sq-AL"/>
        </w:rPr>
        <w:t>e Ministrisë së Financave dhe Ekonomisë, sipas drejtimeve të politikave kryesore.</w:t>
      </w:r>
      <w:r w:rsidRPr="007E571D">
        <w:rPr>
          <w:rFonts w:asciiTheme="minorHAnsi" w:hAnsiTheme="minorHAnsi"/>
          <w:noProof/>
          <w:lang w:val="sq-AL"/>
        </w:rPr>
        <w:t xml:space="preserve"> Sidoqoftë, një parashikim më i saktë lidhur me pritshmërinë deri në fund të vitit 20</w:t>
      </w:r>
      <w:r>
        <w:rPr>
          <w:rFonts w:asciiTheme="minorHAnsi" w:hAnsiTheme="minorHAnsi"/>
          <w:noProof/>
          <w:lang w:val="sq-AL"/>
        </w:rPr>
        <w:t>22</w:t>
      </w:r>
      <w:r w:rsidRPr="007E571D">
        <w:rPr>
          <w:rFonts w:asciiTheme="minorHAnsi" w:hAnsiTheme="minorHAnsi"/>
          <w:noProof/>
          <w:lang w:val="sq-AL"/>
        </w:rPr>
        <w:t xml:space="preserve"> </w:t>
      </w:r>
      <w:r>
        <w:rPr>
          <w:rFonts w:asciiTheme="minorHAnsi" w:hAnsiTheme="minorHAnsi"/>
          <w:noProof/>
          <w:lang w:val="sq-AL"/>
        </w:rPr>
        <w:t>të</w:t>
      </w:r>
      <w:r w:rsidRPr="007E571D">
        <w:rPr>
          <w:rFonts w:asciiTheme="minorHAnsi" w:hAnsiTheme="minorHAnsi"/>
          <w:noProof/>
          <w:lang w:val="sq-AL"/>
        </w:rPr>
        <w:t xml:space="preserve"> realizmit të </w:t>
      </w:r>
      <w:r>
        <w:rPr>
          <w:rFonts w:asciiTheme="minorHAnsi" w:hAnsiTheme="minorHAnsi"/>
          <w:noProof/>
          <w:lang w:val="sq-AL"/>
        </w:rPr>
        <w:t>shpenzimeve, sidomos investimeve publike,</w:t>
      </w:r>
      <w:r w:rsidRPr="007E571D">
        <w:rPr>
          <w:rFonts w:asciiTheme="minorHAnsi" w:hAnsiTheme="minorHAnsi"/>
          <w:noProof/>
          <w:lang w:val="sq-AL"/>
        </w:rPr>
        <w:t xml:space="preserve"> do të jetë i mundur vetëm pas analizës së ecurisë 9 mujore të tyre. Kjo, duke konsideruar tremujorin e fundit të çdo viti buxhetor</w:t>
      </w:r>
      <w:r>
        <w:rPr>
          <w:rFonts w:asciiTheme="minorHAnsi" w:hAnsiTheme="minorHAnsi"/>
          <w:noProof/>
          <w:lang w:val="sq-AL"/>
        </w:rPr>
        <w:t>,</w:t>
      </w:r>
      <w:r w:rsidRPr="007E571D">
        <w:rPr>
          <w:rFonts w:asciiTheme="minorHAnsi" w:hAnsiTheme="minorHAnsi"/>
          <w:noProof/>
          <w:lang w:val="sq-AL"/>
        </w:rPr>
        <w:t xml:space="preserve"> si periudhën me performancë më të lartë përsa i përket investimeve publike në tërësi dhe atyre në infrastrukturë në veçanti</w:t>
      </w:r>
    </w:p>
    <w:p w:rsidR="00E812EF" w:rsidRPr="00051316" w:rsidRDefault="002570C3" w:rsidP="00B95810">
      <w:pPr>
        <w:pStyle w:val="Heading1"/>
        <w:numPr>
          <w:ilvl w:val="0"/>
          <w:numId w:val="1"/>
        </w:numPr>
        <w:spacing w:line="276" w:lineRule="auto"/>
        <w:ind w:left="720"/>
        <w:jc w:val="both"/>
        <w:rPr>
          <w:sz w:val="32"/>
          <w:u w:val="none"/>
        </w:rPr>
      </w:pPr>
      <w:bookmarkStart w:id="74" w:name="_Toc107496991"/>
      <w:r w:rsidRPr="00051316">
        <w:rPr>
          <w:sz w:val="32"/>
          <w:u w:val="none"/>
        </w:rPr>
        <w:t xml:space="preserve">BORXHI </w:t>
      </w:r>
      <w:r w:rsidR="00A14825" w:rsidRPr="00051316">
        <w:rPr>
          <w:sz w:val="32"/>
          <w:u w:val="none"/>
        </w:rPr>
        <w:t>PUBLIK</w:t>
      </w:r>
      <w:bookmarkEnd w:id="74"/>
      <w:r w:rsidR="00A14825" w:rsidRPr="00051316">
        <w:rPr>
          <w:sz w:val="32"/>
          <w:u w:val="none"/>
        </w:rPr>
        <w:t xml:space="preserve"> </w:t>
      </w:r>
      <w:bookmarkEnd w:id="0"/>
    </w:p>
    <w:p w:rsidR="00A666F4" w:rsidRPr="00A666F4" w:rsidRDefault="00A666F4" w:rsidP="00A666F4">
      <w:pPr>
        <w:spacing w:line="276" w:lineRule="auto"/>
        <w:jc w:val="both"/>
        <w:rPr>
          <w:rFonts w:asciiTheme="minorHAnsi" w:eastAsia="MS Mincho" w:hAnsiTheme="minorHAnsi"/>
          <w:sz w:val="8"/>
          <w:szCs w:val="8"/>
          <w:highlight w:val="yellow"/>
          <w:lang w:val="sq-AL"/>
        </w:rPr>
      </w:pPr>
    </w:p>
    <w:p w:rsidR="00051316" w:rsidRPr="00D52A22" w:rsidRDefault="00051316" w:rsidP="00051316">
      <w:pPr>
        <w:shd w:val="clear" w:color="auto" w:fill="FFFFFF"/>
        <w:tabs>
          <w:tab w:val="left" w:pos="8647"/>
          <w:tab w:val="left" w:pos="8789"/>
        </w:tabs>
        <w:spacing w:line="276" w:lineRule="auto"/>
        <w:ind w:right="-46"/>
        <w:jc w:val="both"/>
        <w:rPr>
          <w:rFonts w:asciiTheme="minorHAnsi" w:eastAsia="Calibri" w:hAnsiTheme="minorHAnsi"/>
          <w:noProof/>
          <w:lang w:eastAsia="ja-JP"/>
        </w:rPr>
      </w:pPr>
      <w:r w:rsidRPr="00D52A22">
        <w:rPr>
          <w:rFonts w:asciiTheme="minorHAnsi" w:eastAsia="Calibri" w:hAnsiTheme="minorHAnsi"/>
          <w:noProof/>
          <w:lang w:eastAsia="ja-JP"/>
        </w:rPr>
        <w:t xml:space="preserve">Borxhi publik gjatë tremujorit të parë të vitit 2022 përgjithësisht u karakterizua nga një ecuri pozitive, duke qenë në përputhje me objektivat makro-fiskale, buxhetin e planifikuar për vitin 2022 dhe objektivat e Strategjisë Afatmesme të Menaxhimit të Borxhit </w:t>
      </w:r>
      <w:r w:rsidRPr="00D52A22">
        <w:rPr>
          <w:rFonts w:asciiTheme="minorHAnsi" w:eastAsia="Calibri" w:hAnsiTheme="minorHAnsi"/>
          <w:i/>
          <w:noProof/>
          <w:lang w:eastAsia="ja-JP"/>
        </w:rPr>
        <w:t>(SAMB).</w:t>
      </w:r>
    </w:p>
    <w:p w:rsidR="00051316" w:rsidRPr="00051316" w:rsidRDefault="00051316" w:rsidP="00051316">
      <w:pPr>
        <w:shd w:val="clear" w:color="auto" w:fill="FFFFFF"/>
        <w:tabs>
          <w:tab w:val="left" w:pos="8647"/>
          <w:tab w:val="left" w:pos="8789"/>
        </w:tabs>
        <w:spacing w:line="276" w:lineRule="auto"/>
        <w:ind w:right="-46"/>
        <w:jc w:val="both"/>
        <w:rPr>
          <w:rFonts w:asciiTheme="minorHAnsi" w:eastAsia="Calibri" w:hAnsiTheme="minorHAnsi"/>
          <w:i/>
          <w:noProof/>
          <w:sz w:val="8"/>
          <w:szCs w:val="8"/>
          <w:lang w:eastAsia="ja-JP"/>
        </w:rPr>
      </w:pPr>
    </w:p>
    <w:p w:rsidR="00051316" w:rsidRPr="00D52A22" w:rsidRDefault="00051316" w:rsidP="00051316">
      <w:pPr>
        <w:pStyle w:val="ListParagraph"/>
        <w:tabs>
          <w:tab w:val="left" w:pos="8789"/>
        </w:tabs>
        <w:spacing w:line="276" w:lineRule="auto"/>
        <w:ind w:left="0" w:right="-46"/>
        <w:jc w:val="both"/>
        <w:rPr>
          <w:rFonts w:asciiTheme="minorHAnsi" w:hAnsiTheme="minorHAnsi"/>
          <w:noProof/>
        </w:rPr>
      </w:pPr>
      <w:r w:rsidRPr="00D52A22">
        <w:rPr>
          <w:rFonts w:asciiTheme="minorHAnsi" w:hAnsiTheme="minorHAnsi"/>
          <w:noProof/>
        </w:rPr>
        <w:t xml:space="preserve">Huamarrja në tremujorin e parë është realizuar në linjë me buxhetin e vitit 2022 dhe përgjithësisht në përputhje me objektivat strategjikë për ruajtjen e qëndrueshmërisë së raporteve ndërmjet kostos dhe risqeve. Nëpërmjet burimeve të huamarrjes u mundësua rifinancimi i borxhit ekzistues, si edhe financimi i deficitit të planifikuar për vitin 2022. Gjatë këtij tremujori nevojat për huamarrje kanë qenë pothuajse në të njëjtin nivel me tremujorin e vitit 2021. </w:t>
      </w:r>
    </w:p>
    <w:p w:rsidR="00051316" w:rsidRPr="00051316" w:rsidRDefault="00051316" w:rsidP="00051316">
      <w:pPr>
        <w:shd w:val="clear" w:color="auto" w:fill="FFFFFF"/>
        <w:tabs>
          <w:tab w:val="left" w:pos="8647"/>
          <w:tab w:val="left" w:pos="8789"/>
        </w:tabs>
        <w:spacing w:line="276" w:lineRule="auto"/>
        <w:ind w:right="-46"/>
        <w:jc w:val="both"/>
        <w:rPr>
          <w:rFonts w:asciiTheme="minorHAnsi" w:eastAsia="Calibri" w:hAnsiTheme="minorHAnsi"/>
          <w:noProof/>
          <w:sz w:val="8"/>
          <w:szCs w:val="8"/>
          <w:lang w:eastAsia="ja-JP"/>
        </w:rPr>
      </w:pPr>
    </w:p>
    <w:p w:rsidR="00051316" w:rsidRPr="00D52A22" w:rsidRDefault="00051316" w:rsidP="00051316">
      <w:pPr>
        <w:pStyle w:val="Default"/>
        <w:spacing w:line="276" w:lineRule="auto"/>
        <w:ind w:right="-46"/>
        <w:jc w:val="both"/>
        <w:rPr>
          <w:rFonts w:asciiTheme="minorHAnsi" w:hAnsiTheme="minorHAnsi"/>
          <w:noProof/>
        </w:rPr>
      </w:pPr>
      <w:r w:rsidRPr="00D52A22">
        <w:rPr>
          <w:rFonts w:asciiTheme="minorHAnsi" w:eastAsia="Calibri" w:hAnsiTheme="minorHAnsi"/>
          <w:noProof/>
          <w:color w:val="auto"/>
        </w:rPr>
        <w:t xml:space="preserve">Gjatë periudhës janar-mars 2022, menaxhimi i borxhit ka vijuar përpjekjet në drejtim të reduktimit të mëtejshëm të ekspozimit ndaj risqeve duke mbajtur koston nën kontroll. Një përpjekje e tillë, në vite atipike të nevojave të larta për financim nuk është e lehtë të realizohet. Përmirësimi i strukturës së borxhit, kryesisht në aspektin e reduktimit të ekspozimit ndaj riskut të rifinancimit dhe riskut të normave të interesit do vijojë të mbetet fokusi kryesor në menaxhimin e borxhit, në mënyrë që tregues të këtyre risqeve të tregojnë përmirësim në periudhat në vijim. </w:t>
      </w:r>
    </w:p>
    <w:p w:rsidR="00051316" w:rsidRPr="00051316" w:rsidRDefault="00051316" w:rsidP="00051316">
      <w:pPr>
        <w:shd w:val="clear" w:color="auto" w:fill="FFFFFF"/>
        <w:tabs>
          <w:tab w:val="left" w:pos="8647"/>
          <w:tab w:val="left" w:pos="8789"/>
        </w:tabs>
        <w:spacing w:line="276" w:lineRule="auto"/>
        <w:ind w:right="-46"/>
        <w:jc w:val="both"/>
        <w:rPr>
          <w:rFonts w:asciiTheme="minorHAnsi" w:eastAsia="Calibri" w:hAnsiTheme="minorHAnsi"/>
          <w:noProof/>
          <w:sz w:val="8"/>
          <w:szCs w:val="8"/>
          <w:highlight w:val="yellow"/>
          <w:lang w:eastAsia="ja-JP"/>
        </w:rPr>
      </w:pPr>
    </w:p>
    <w:p w:rsidR="00051316" w:rsidRPr="00051316" w:rsidRDefault="00051316" w:rsidP="00051316">
      <w:pPr>
        <w:shd w:val="clear" w:color="auto" w:fill="FFFFFF"/>
        <w:tabs>
          <w:tab w:val="left" w:pos="8647"/>
          <w:tab w:val="left" w:pos="8789"/>
        </w:tabs>
        <w:spacing w:line="276" w:lineRule="auto"/>
        <w:ind w:right="-46"/>
        <w:jc w:val="both"/>
        <w:rPr>
          <w:rFonts w:asciiTheme="minorHAnsi" w:eastAsia="Calibri" w:hAnsiTheme="minorHAnsi"/>
          <w:noProof/>
          <w:lang w:eastAsia="ja-JP"/>
        </w:rPr>
      </w:pPr>
      <w:r w:rsidRPr="00D52A22">
        <w:rPr>
          <w:rFonts w:asciiTheme="minorHAnsi" w:eastAsia="Calibri" w:hAnsiTheme="minorHAnsi"/>
          <w:noProof/>
          <w:lang w:eastAsia="ja-JP"/>
        </w:rPr>
        <w:t>Në përputhje me objektivat e Strategjisë Afatmesme të Menaxhimit të Borxhit, gjatë tremujorit të parë të vitit 2022 u vijua me aktivitete në drejtim të zhvillimit të tregut të titujve shtetërorë.</w:t>
      </w:r>
      <w:r>
        <w:rPr>
          <w:rFonts w:asciiTheme="minorHAnsi" w:eastAsia="Calibri" w:hAnsiTheme="minorHAnsi"/>
          <w:noProof/>
          <w:lang w:eastAsia="ja-JP"/>
        </w:rPr>
        <w:t xml:space="preserve"> </w:t>
      </w:r>
      <w:r w:rsidRPr="00D52A22">
        <w:rPr>
          <w:rFonts w:asciiTheme="minorHAnsi" w:hAnsiTheme="minorHAnsi"/>
          <w:noProof/>
          <w:color w:val="000000"/>
        </w:rPr>
        <w:t>Në vazhdim të angazhimit të ndërmarrë në lidhje me përmirësimin e mëtejshëm të tregut primar dhe zhvillimin e tregut sekondar të titujve shtetërorë, përgjatë tremujorit të parë 2022 është vijuar me praktikat që kontribuojnë në krijimin e madhësive referencë dhe konsolidimin e kurbës së yield-it.</w:t>
      </w:r>
    </w:p>
    <w:p w:rsidR="00D7570A" w:rsidRDefault="00D7570A" w:rsidP="004F651C">
      <w:pPr>
        <w:spacing w:line="276" w:lineRule="auto"/>
        <w:jc w:val="both"/>
        <w:rPr>
          <w:rFonts w:asciiTheme="minorHAnsi" w:eastAsia="MS Mincho" w:hAnsiTheme="minorHAnsi"/>
          <w:lang w:val="sq-AL"/>
        </w:rPr>
      </w:pPr>
    </w:p>
    <w:p w:rsidR="00591367" w:rsidRDefault="00CB4875" w:rsidP="002334F6">
      <w:pPr>
        <w:pStyle w:val="Heading2"/>
      </w:pPr>
      <w:bookmarkStart w:id="75" w:name="_Toc107496992"/>
      <w:r w:rsidRPr="0065598A">
        <w:lastRenderedPageBreak/>
        <w:t>I</w:t>
      </w:r>
      <w:r w:rsidR="006C73CF" w:rsidRPr="0065598A">
        <w:t>V.1</w:t>
      </w:r>
      <w:r w:rsidR="006C73CF" w:rsidRPr="0065598A">
        <w:tab/>
        <w:t xml:space="preserve">Stoku i Borxhit </w:t>
      </w:r>
      <w:r w:rsidR="00996855" w:rsidRPr="0065598A">
        <w:t>Publik</w:t>
      </w:r>
      <w:bookmarkEnd w:id="75"/>
    </w:p>
    <w:p w:rsidR="004F651C" w:rsidRDefault="00051316" w:rsidP="004F651C">
      <w:pPr>
        <w:spacing w:line="276" w:lineRule="auto"/>
        <w:jc w:val="both"/>
        <w:rPr>
          <w:rFonts w:asciiTheme="minorHAnsi" w:hAnsiTheme="minorHAnsi"/>
          <w:lang w:val="sq-AL"/>
        </w:rPr>
      </w:pPr>
      <w:r w:rsidRPr="00D52A22">
        <w:rPr>
          <w:rFonts w:asciiTheme="minorHAnsi" w:hAnsiTheme="minorHAnsi"/>
          <w:noProof/>
        </w:rPr>
        <w:t>Në fund të muajit mars 2022, borxhi publik u vlerësua në nivelin 1,399.2 miliard Lekë ose 69.6% e PBB . Në terma nominal, stoku i borxhit publik është rritur me rreth 16.2 miliard Lekë krahasuar me fundin e vitit 2021, nga të cilat 4.0 miliard Lekë i korrespondojnë borxhit të brendshëm dhe 12.2 miliard Lekë borxhit të jashtëm. Në vitet në vijim, duke filluar nga  ky vit,  raporti i borxhit publik ndaj PBB do të planifikohet më i ulët se niveli i vlerësuar për vitin pararendës, deri atëherë kur niveli borxhit të arrijë dhe qëndrojë poshtë nivelit 45% e PBB</w:t>
      </w:r>
      <w:r w:rsidR="004F651C" w:rsidRPr="00591367">
        <w:rPr>
          <w:rFonts w:asciiTheme="minorHAnsi" w:hAnsiTheme="minorHAnsi"/>
          <w:lang w:val="sq-AL"/>
        </w:rPr>
        <w:t xml:space="preserve">. </w:t>
      </w:r>
    </w:p>
    <w:p w:rsidR="004F651C" w:rsidRPr="004F651C" w:rsidRDefault="004F651C" w:rsidP="004F651C">
      <w:pPr>
        <w:ind w:right="-46"/>
        <w:rPr>
          <w:rFonts w:asciiTheme="minorHAnsi" w:hAnsiTheme="minorHAnsi"/>
          <w:i/>
          <w:noProof/>
          <w:sz w:val="8"/>
          <w:szCs w:val="8"/>
        </w:rPr>
      </w:pPr>
    </w:p>
    <w:p w:rsidR="004F651C" w:rsidRPr="004F651C" w:rsidRDefault="004F651C" w:rsidP="004F651C">
      <w:pPr>
        <w:spacing w:line="276" w:lineRule="auto"/>
        <w:ind w:right="-46"/>
        <w:rPr>
          <w:rFonts w:asciiTheme="minorHAnsi" w:hAnsiTheme="minorHAnsi"/>
          <w:i/>
          <w:noProof/>
          <w:sz w:val="22"/>
        </w:rPr>
      </w:pPr>
      <w:bookmarkStart w:id="76" w:name="_Toc107498125"/>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B2B9B">
        <w:rPr>
          <w:rFonts w:asciiTheme="minorHAnsi" w:hAnsiTheme="minorHAnsi"/>
          <w:i/>
          <w:noProof/>
          <w:sz w:val="22"/>
        </w:rPr>
        <w:t>34</w:t>
      </w:r>
      <w:r w:rsidRPr="004F651C">
        <w:rPr>
          <w:rFonts w:asciiTheme="minorHAnsi" w:hAnsiTheme="minorHAnsi"/>
          <w:i/>
          <w:noProof/>
          <w:sz w:val="22"/>
        </w:rPr>
        <w:fldChar w:fldCharType="end"/>
      </w:r>
      <w:r w:rsidRPr="004F651C">
        <w:rPr>
          <w:rFonts w:asciiTheme="minorHAnsi" w:hAnsiTheme="minorHAnsi"/>
          <w:i/>
          <w:noProof/>
          <w:sz w:val="22"/>
        </w:rPr>
        <w:t>: Borxhi publik në vlerë absolute dhe relative ndaj PBB (201</w:t>
      </w:r>
      <w:r w:rsidR="00051316">
        <w:rPr>
          <w:rFonts w:asciiTheme="minorHAnsi" w:hAnsiTheme="minorHAnsi"/>
          <w:i/>
          <w:noProof/>
          <w:sz w:val="22"/>
        </w:rPr>
        <w:t>7</w:t>
      </w:r>
      <w:r w:rsidRPr="004F651C">
        <w:rPr>
          <w:rFonts w:asciiTheme="minorHAnsi" w:hAnsiTheme="minorHAnsi"/>
          <w:i/>
          <w:noProof/>
          <w:sz w:val="22"/>
        </w:rPr>
        <w:t>–Mars 202</w:t>
      </w:r>
      <w:r w:rsidR="00051316">
        <w:rPr>
          <w:rFonts w:asciiTheme="minorHAnsi" w:hAnsiTheme="minorHAnsi"/>
          <w:i/>
          <w:noProof/>
          <w:sz w:val="22"/>
        </w:rPr>
        <w:t>2</w:t>
      </w:r>
      <w:r w:rsidRPr="004F651C">
        <w:rPr>
          <w:rFonts w:asciiTheme="minorHAnsi" w:hAnsiTheme="minorHAnsi"/>
          <w:i/>
          <w:noProof/>
          <w:sz w:val="22"/>
        </w:rPr>
        <w:t>)</w:t>
      </w:r>
      <w:bookmarkEnd w:id="76"/>
    </w:p>
    <w:p w:rsidR="00051316" w:rsidRPr="00D52A22" w:rsidRDefault="00051316" w:rsidP="00051316">
      <w:pPr>
        <w:pStyle w:val="ListParagraph"/>
        <w:spacing w:line="276" w:lineRule="auto"/>
        <w:ind w:left="0" w:right="-188"/>
        <w:jc w:val="center"/>
        <w:rPr>
          <w:rFonts w:asciiTheme="minorHAnsi" w:hAnsiTheme="minorHAnsi"/>
          <w:noProof/>
        </w:rPr>
      </w:pPr>
      <w:r w:rsidRPr="00D52A22">
        <w:rPr>
          <w:rFonts w:asciiTheme="minorHAnsi" w:hAnsiTheme="minorHAnsi"/>
          <w:noProof/>
        </w:rPr>
        <w:drawing>
          <wp:inline distT="0" distB="0" distL="0" distR="0" wp14:anchorId="64980D6D" wp14:editId="3848012A">
            <wp:extent cx="6066790" cy="2042160"/>
            <wp:effectExtent l="0" t="0" r="10160" b="15240"/>
            <wp:docPr id="38" name="Chart 3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F651C" w:rsidRPr="00591367" w:rsidRDefault="00ED2C0C" w:rsidP="004F651C">
      <w:pPr>
        <w:tabs>
          <w:tab w:val="left" w:pos="540"/>
        </w:tabs>
        <w:spacing w:line="276" w:lineRule="auto"/>
        <w:rPr>
          <w:rFonts w:asciiTheme="minorHAnsi" w:hAnsiTheme="minorHAnsi"/>
          <w:i/>
          <w:sz w:val="20"/>
          <w:lang w:val="sq-AL"/>
        </w:rPr>
      </w:pPr>
      <w:r>
        <w:rPr>
          <w:rFonts w:asciiTheme="minorHAnsi" w:hAnsiTheme="minorHAnsi"/>
          <w:i/>
          <w:sz w:val="20"/>
          <w:lang w:val="sq-AL"/>
        </w:rPr>
        <w:tab/>
      </w:r>
      <w:r w:rsidR="00FD3343">
        <w:rPr>
          <w:rFonts w:asciiTheme="minorHAnsi" w:hAnsiTheme="minorHAnsi"/>
          <w:i/>
          <w:sz w:val="20"/>
          <w:lang w:val="sq-AL"/>
        </w:rPr>
        <w:t>Burimi: Ministria e Financave dhe Ekonomisë (2022)</w:t>
      </w:r>
    </w:p>
    <w:p w:rsidR="004F651C" w:rsidRDefault="004F651C" w:rsidP="004F651C">
      <w:pPr>
        <w:tabs>
          <w:tab w:val="left" w:pos="540"/>
        </w:tabs>
        <w:spacing w:line="276" w:lineRule="auto"/>
        <w:jc w:val="both"/>
        <w:rPr>
          <w:rFonts w:asciiTheme="minorHAnsi" w:eastAsia="MS Mincho" w:hAnsiTheme="minorHAnsi"/>
          <w:lang w:val="sq-AL"/>
        </w:rPr>
      </w:pPr>
    </w:p>
    <w:p w:rsidR="004F651C" w:rsidRDefault="00ED2C0C" w:rsidP="004F651C">
      <w:pPr>
        <w:tabs>
          <w:tab w:val="left" w:pos="540"/>
        </w:tabs>
        <w:spacing w:line="276" w:lineRule="auto"/>
        <w:jc w:val="both"/>
        <w:rPr>
          <w:rFonts w:asciiTheme="minorHAnsi" w:eastAsia="MS Mincho" w:hAnsiTheme="minorHAnsi"/>
          <w:lang w:val="sq-AL"/>
        </w:rPr>
      </w:pPr>
      <w:r w:rsidRPr="00D52A22">
        <w:rPr>
          <w:rFonts w:asciiTheme="minorHAnsi" w:hAnsiTheme="minorHAnsi"/>
          <w:noProof/>
        </w:rPr>
        <w:t>Niveli i borxhit të brendshëm dhe atij të jashtëm në raport me totalin e borxhit publik janë përkatësisht rreth 50.5% dhe 49.5%, duke ruajtur pothuajse të njëjtin raport si në fund të vitit 2021. Për sa i përket kompozimit të portofolit të borxhit publik sipas instrumenteve, më shumë se gjysmën e peshës vazhdojnë ta mbajnë instrumentet e tregtueshme (bono thesari, obligacione, abond), ndjekur nga huatë e huaja me destinacion financimin e projekteve dhe huatë në formën e mbështetjes buxhetore</w:t>
      </w:r>
      <w:r w:rsidR="004F651C" w:rsidRPr="00591367">
        <w:rPr>
          <w:rFonts w:asciiTheme="minorHAnsi" w:eastAsia="MS Mincho" w:hAnsiTheme="minorHAnsi"/>
          <w:lang w:val="sq-AL"/>
        </w:rPr>
        <w:t>.</w:t>
      </w:r>
      <w:r>
        <w:rPr>
          <w:rFonts w:asciiTheme="minorHAnsi" w:eastAsia="MS Mincho" w:hAnsiTheme="minorHAnsi"/>
          <w:lang w:val="sq-AL"/>
        </w:rPr>
        <w:t xml:space="preserve"> </w:t>
      </w:r>
      <w:r w:rsidRPr="00D52A22">
        <w:rPr>
          <w:rFonts w:asciiTheme="minorHAnsi" w:hAnsiTheme="minorHAnsi"/>
          <w:noProof/>
        </w:rPr>
        <w:t xml:space="preserve">Borxhi i pushtetit lokal vazhdon të qëndrojë në nivele të ulëta </w:t>
      </w:r>
      <w:r w:rsidRPr="00D52A22">
        <w:rPr>
          <w:rFonts w:asciiTheme="minorHAnsi" w:hAnsiTheme="minorHAnsi"/>
          <w:i/>
          <w:noProof/>
        </w:rPr>
        <w:t>(rreth 286.6 milion Lekë)</w:t>
      </w:r>
      <w:r w:rsidRPr="00D52A22">
        <w:rPr>
          <w:rFonts w:asciiTheme="minorHAnsi" w:hAnsiTheme="minorHAnsi"/>
          <w:noProof/>
        </w:rPr>
        <w:t>, kryesisht për shkak të kapaciteteve të ulëta që kanë njësitë e qeverisjes vendore për të akumuluar borxh të ri. Gjatë tremujorit të parë të vitit 2022 nuk ka pasur asnjë kërkesë nga njësitë e qeverisjes vendore për huamarrje të re</w:t>
      </w:r>
    </w:p>
    <w:p w:rsidR="004F651C" w:rsidRPr="00591367" w:rsidRDefault="004F651C" w:rsidP="004F651C">
      <w:pPr>
        <w:spacing w:line="276" w:lineRule="auto"/>
        <w:ind w:right="-46"/>
        <w:jc w:val="both"/>
        <w:rPr>
          <w:rFonts w:asciiTheme="minorHAnsi" w:eastAsia="MS Mincho" w:hAnsiTheme="minorHAnsi"/>
          <w:sz w:val="8"/>
          <w:szCs w:val="8"/>
          <w:lang w:val="sq-AL"/>
        </w:rPr>
      </w:pPr>
    </w:p>
    <w:p w:rsidR="004F651C" w:rsidRPr="004F651C" w:rsidRDefault="004F651C" w:rsidP="004F651C">
      <w:pPr>
        <w:spacing w:line="276" w:lineRule="auto"/>
        <w:ind w:right="-46"/>
        <w:rPr>
          <w:rFonts w:asciiTheme="minorHAnsi" w:hAnsiTheme="minorHAnsi"/>
          <w:i/>
          <w:noProof/>
          <w:sz w:val="22"/>
        </w:rPr>
      </w:pPr>
      <w:bookmarkStart w:id="77" w:name="_Toc107498126"/>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B2B9B">
        <w:rPr>
          <w:rFonts w:asciiTheme="minorHAnsi" w:hAnsiTheme="minorHAnsi"/>
          <w:i/>
          <w:noProof/>
          <w:sz w:val="22"/>
        </w:rPr>
        <w:t>35</w:t>
      </w:r>
      <w:r w:rsidRPr="004F651C">
        <w:rPr>
          <w:rFonts w:asciiTheme="minorHAnsi" w:hAnsiTheme="minorHAnsi"/>
          <w:i/>
          <w:noProof/>
          <w:sz w:val="22"/>
        </w:rPr>
        <w:fldChar w:fldCharType="end"/>
      </w:r>
      <w:r w:rsidRPr="004F651C">
        <w:rPr>
          <w:rFonts w:asciiTheme="minorHAnsi" w:hAnsiTheme="minorHAnsi"/>
          <w:i/>
          <w:noProof/>
          <w:sz w:val="22"/>
        </w:rPr>
        <w:t>: Përbërja e borxhit të qeverisjes qendrore në raport me totalin (201</w:t>
      </w:r>
      <w:r w:rsidR="00ED2C0C">
        <w:rPr>
          <w:rFonts w:asciiTheme="minorHAnsi" w:hAnsiTheme="minorHAnsi"/>
          <w:i/>
          <w:noProof/>
          <w:sz w:val="22"/>
        </w:rPr>
        <w:t>7</w:t>
      </w:r>
      <w:r w:rsidRPr="004F651C">
        <w:rPr>
          <w:rFonts w:asciiTheme="minorHAnsi" w:hAnsiTheme="minorHAnsi"/>
          <w:i/>
          <w:noProof/>
          <w:sz w:val="22"/>
        </w:rPr>
        <w:t>-Mars 202</w:t>
      </w:r>
      <w:r w:rsidR="00ED2C0C">
        <w:rPr>
          <w:rFonts w:asciiTheme="minorHAnsi" w:hAnsiTheme="minorHAnsi"/>
          <w:i/>
          <w:noProof/>
          <w:sz w:val="22"/>
        </w:rPr>
        <w:t>2</w:t>
      </w:r>
      <w:r w:rsidRPr="004F651C">
        <w:rPr>
          <w:rFonts w:asciiTheme="minorHAnsi" w:hAnsiTheme="minorHAnsi"/>
          <w:i/>
          <w:noProof/>
          <w:sz w:val="22"/>
        </w:rPr>
        <w:t>)</w:t>
      </w:r>
      <w:bookmarkEnd w:id="77"/>
    </w:p>
    <w:p w:rsidR="004F651C" w:rsidRPr="00EB3166" w:rsidRDefault="00ED2C0C" w:rsidP="004F651C">
      <w:pPr>
        <w:spacing w:line="276" w:lineRule="auto"/>
        <w:ind w:right="-46"/>
        <w:jc w:val="center"/>
        <w:rPr>
          <w:rFonts w:asciiTheme="minorHAnsi" w:hAnsiTheme="minorHAnsi"/>
          <w:i/>
          <w:noProof/>
        </w:rPr>
      </w:pPr>
      <w:r w:rsidRPr="00D52A22">
        <w:rPr>
          <w:rFonts w:asciiTheme="minorHAnsi" w:hAnsiTheme="minorHAnsi"/>
          <w:noProof/>
        </w:rPr>
        <w:drawing>
          <wp:inline distT="0" distB="0" distL="0" distR="0" wp14:anchorId="3D6177AF" wp14:editId="5F393CBB">
            <wp:extent cx="6089650" cy="1974850"/>
            <wp:effectExtent l="0" t="0" r="6350" b="6350"/>
            <wp:docPr id="14" name="Chart 1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F651C" w:rsidRPr="00591367" w:rsidRDefault="00FD3343" w:rsidP="004F651C">
      <w:pPr>
        <w:tabs>
          <w:tab w:val="left" w:pos="540"/>
        </w:tabs>
        <w:spacing w:line="276" w:lineRule="auto"/>
        <w:rPr>
          <w:rFonts w:asciiTheme="minorHAnsi" w:hAnsiTheme="minorHAnsi"/>
          <w:i/>
          <w:sz w:val="20"/>
          <w:lang w:val="sq-AL"/>
        </w:rPr>
      </w:pPr>
      <w:r>
        <w:rPr>
          <w:rFonts w:asciiTheme="minorHAnsi" w:hAnsiTheme="minorHAnsi"/>
          <w:i/>
          <w:sz w:val="20"/>
          <w:lang w:val="sq-AL"/>
        </w:rPr>
        <w:t>Burimi: Ministria e Financave dhe Ekonomisë (2022)</w:t>
      </w:r>
    </w:p>
    <w:p w:rsidR="007000D1" w:rsidRDefault="007000D1" w:rsidP="004F651C">
      <w:pPr>
        <w:spacing w:line="276" w:lineRule="auto"/>
        <w:jc w:val="both"/>
        <w:rPr>
          <w:rFonts w:asciiTheme="minorHAnsi" w:hAnsiTheme="minorHAnsi"/>
          <w:i/>
          <w:u w:val="single"/>
          <w:lang w:val="sq-AL"/>
        </w:rPr>
      </w:pPr>
    </w:p>
    <w:p w:rsidR="00325B8D" w:rsidRDefault="00325B8D" w:rsidP="004F651C">
      <w:pPr>
        <w:spacing w:line="276" w:lineRule="auto"/>
        <w:jc w:val="both"/>
        <w:rPr>
          <w:rFonts w:asciiTheme="minorHAnsi" w:hAnsiTheme="minorHAnsi"/>
          <w:i/>
          <w:u w:val="single"/>
          <w:lang w:val="sq-AL"/>
        </w:rPr>
      </w:pPr>
    </w:p>
    <w:p w:rsidR="00325B8D" w:rsidRDefault="00325B8D" w:rsidP="004F651C">
      <w:pPr>
        <w:spacing w:line="276" w:lineRule="auto"/>
        <w:jc w:val="both"/>
        <w:rPr>
          <w:rFonts w:asciiTheme="minorHAnsi" w:hAnsiTheme="minorHAnsi"/>
          <w:i/>
          <w:u w:val="single"/>
          <w:lang w:val="sq-AL"/>
        </w:rPr>
      </w:pPr>
    </w:p>
    <w:p w:rsidR="004F651C" w:rsidRPr="00D43A95" w:rsidRDefault="004F651C" w:rsidP="004F651C">
      <w:pPr>
        <w:spacing w:line="276" w:lineRule="auto"/>
        <w:jc w:val="both"/>
        <w:rPr>
          <w:rFonts w:asciiTheme="minorHAnsi" w:hAnsiTheme="minorHAnsi"/>
          <w:i/>
          <w:u w:val="single"/>
          <w:lang w:val="sq-AL"/>
        </w:rPr>
      </w:pPr>
      <w:r w:rsidRPr="00D43A95">
        <w:rPr>
          <w:rFonts w:asciiTheme="minorHAnsi" w:hAnsiTheme="minorHAnsi"/>
          <w:i/>
          <w:u w:val="single"/>
          <w:lang w:val="sq-AL"/>
        </w:rPr>
        <w:lastRenderedPageBreak/>
        <w:t>Përbërja e Borxhit Shtetëror</w:t>
      </w:r>
    </w:p>
    <w:p w:rsidR="004F651C" w:rsidRDefault="00ED2C0C" w:rsidP="004F651C">
      <w:pPr>
        <w:tabs>
          <w:tab w:val="left" w:pos="9000"/>
        </w:tabs>
        <w:spacing w:line="276" w:lineRule="auto"/>
        <w:ind w:right="-46"/>
        <w:jc w:val="both"/>
        <w:rPr>
          <w:rFonts w:asciiTheme="minorHAnsi" w:hAnsiTheme="minorHAnsi"/>
          <w:noProof/>
        </w:rPr>
      </w:pPr>
      <w:r w:rsidRPr="00D52A22">
        <w:rPr>
          <w:rFonts w:asciiTheme="minorHAnsi" w:hAnsiTheme="minorHAnsi"/>
          <w:noProof/>
        </w:rPr>
        <w:t>Gjatë periudhës janar-mars të vitit 2022 portofoli i borxhit shtetëror vazhdon të dominohet me mbi 50% nga titujt shtetërorë të tregtuar në tregun vendas, në përputhje me objektivat strategjikë për mbajtjen nën kontroll të riskut të kursit të këmbimit</w:t>
      </w:r>
      <w:r w:rsidR="004F651C" w:rsidRPr="00591367">
        <w:rPr>
          <w:rFonts w:asciiTheme="minorHAnsi" w:hAnsiTheme="minorHAnsi"/>
          <w:noProof/>
        </w:rPr>
        <w:t>.</w:t>
      </w:r>
    </w:p>
    <w:p w:rsidR="004F651C" w:rsidRPr="00591367" w:rsidRDefault="004F651C" w:rsidP="004F651C">
      <w:pPr>
        <w:pStyle w:val="ListParagraph"/>
        <w:tabs>
          <w:tab w:val="left" w:pos="9000"/>
        </w:tabs>
        <w:spacing w:line="276" w:lineRule="auto"/>
        <w:ind w:right="-188"/>
        <w:jc w:val="both"/>
        <w:rPr>
          <w:rFonts w:asciiTheme="minorHAnsi" w:hAnsiTheme="minorHAnsi"/>
          <w:noProof/>
          <w:sz w:val="8"/>
          <w:szCs w:val="8"/>
        </w:rPr>
      </w:pPr>
    </w:p>
    <w:p w:rsidR="004F651C" w:rsidRPr="004F651C" w:rsidRDefault="004F651C" w:rsidP="004F651C">
      <w:pPr>
        <w:spacing w:line="276" w:lineRule="auto"/>
        <w:ind w:left="-1418" w:right="-188" w:firstLine="1418"/>
        <w:rPr>
          <w:rFonts w:asciiTheme="minorHAnsi" w:hAnsiTheme="minorHAnsi"/>
          <w:i/>
          <w:noProof/>
          <w:sz w:val="22"/>
        </w:rPr>
      </w:pPr>
      <w:bookmarkStart w:id="78" w:name="_Toc107498127"/>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B2B9B">
        <w:rPr>
          <w:rFonts w:asciiTheme="minorHAnsi" w:hAnsiTheme="minorHAnsi"/>
          <w:i/>
          <w:noProof/>
          <w:sz w:val="22"/>
        </w:rPr>
        <w:t>36</w:t>
      </w:r>
      <w:r w:rsidRPr="004F651C">
        <w:rPr>
          <w:rFonts w:asciiTheme="minorHAnsi" w:hAnsiTheme="minorHAnsi"/>
          <w:i/>
          <w:noProof/>
          <w:sz w:val="22"/>
        </w:rPr>
        <w:fldChar w:fldCharType="end"/>
      </w:r>
      <w:r w:rsidRPr="004F651C">
        <w:rPr>
          <w:rFonts w:asciiTheme="minorHAnsi" w:hAnsiTheme="minorHAnsi"/>
          <w:i/>
          <w:noProof/>
          <w:sz w:val="22"/>
        </w:rPr>
        <w:t>: Kompozimi i portofolit të borxhit shtetëror sipas instrumenteve (201</w:t>
      </w:r>
      <w:r w:rsidR="00ED2C0C">
        <w:rPr>
          <w:rFonts w:asciiTheme="minorHAnsi" w:hAnsiTheme="minorHAnsi"/>
          <w:i/>
          <w:noProof/>
          <w:sz w:val="22"/>
        </w:rPr>
        <w:t>7</w:t>
      </w:r>
      <w:r w:rsidRPr="004F651C">
        <w:rPr>
          <w:rFonts w:asciiTheme="minorHAnsi" w:hAnsiTheme="minorHAnsi"/>
          <w:i/>
          <w:noProof/>
          <w:sz w:val="22"/>
        </w:rPr>
        <w:t>–Mars 202</w:t>
      </w:r>
      <w:r w:rsidR="00ED2C0C">
        <w:rPr>
          <w:rFonts w:asciiTheme="minorHAnsi" w:hAnsiTheme="minorHAnsi"/>
          <w:i/>
          <w:noProof/>
          <w:sz w:val="22"/>
        </w:rPr>
        <w:t>2</w:t>
      </w:r>
      <w:r w:rsidRPr="004F651C">
        <w:rPr>
          <w:rFonts w:asciiTheme="minorHAnsi" w:hAnsiTheme="minorHAnsi"/>
          <w:i/>
          <w:noProof/>
          <w:sz w:val="22"/>
        </w:rPr>
        <w:t>)</w:t>
      </w:r>
      <w:bookmarkEnd w:id="78"/>
    </w:p>
    <w:p w:rsidR="004F651C" w:rsidRPr="00EB3166" w:rsidRDefault="00150CE9" w:rsidP="004F651C">
      <w:pPr>
        <w:spacing w:line="276" w:lineRule="auto"/>
        <w:ind w:left="-1418" w:right="-188" w:firstLine="1418"/>
        <w:jc w:val="center"/>
        <w:rPr>
          <w:rFonts w:asciiTheme="minorHAnsi" w:eastAsia="MS Mincho" w:hAnsiTheme="minorHAnsi"/>
          <w:i/>
          <w:noProof/>
          <w:lang w:val="sq-AL"/>
        </w:rPr>
      </w:pPr>
      <w:r w:rsidRPr="00D52A22">
        <w:rPr>
          <w:rFonts w:asciiTheme="minorHAnsi" w:hAnsiTheme="minorHAnsi"/>
          <w:noProof/>
        </w:rPr>
        <w:drawing>
          <wp:inline distT="0" distB="0" distL="0" distR="0" wp14:anchorId="31DBA8B4" wp14:editId="52E3C1E7">
            <wp:extent cx="6150610" cy="2289068"/>
            <wp:effectExtent l="0" t="0" r="2540" b="16510"/>
            <wp:docPr id="45" name="Chart 45">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F651C" w:rsidRPr="00591367" w:rsidRDefault="00FD3343" w:rsidP="004F651C">
      <w:pPr>
        <w:spacing w:line="276" w:lineRule="auto"/>
        <w:ind w:right="-188" w:firstLine="720"/>
        <w:rPr>
          <w:rFonts w:asciiTheme="minorHAnsi" w:hAnsiTheme="minorHAnsi"/>
          <w:i/>
          <w:noProof/>
          <w:sz w:val="20"/>
          <w:szCs w:val="20"/>
        </w:rPr>
      </w:pPr>
      <w:r>
        <w:rPr>
          <w:rFonts w:asciiTheme="minorHAnsi" w:hAnsiTheme="minorHAnsi"/>
          <w:i/>
          <w:noProof/>
          <w:sz w:val="20"/>
          <w:szCs w:val="20"/>
        </w:rPr>
        <w:t>Burimi: Ministria e Financave dhe Ekonomisë (2022)</w:t>
      </w:r>
    </w:p>
    <w:p w:rsidR="004F651C" w:rsidRPr="00325B8D" w:rsidRDefault="004F651C" w:rsidP="004F651C">
      <w:pPr>
        <w:spacing w:line="276" w:lineRule="auto"/>
        <w:jc w:val="both"/>
        <w:rPr>
          <w:rFonts w:asciiTheme="minorHAnsi" w:eastAsia="MS Mincho" w:hAnsiTheme="minorHAnsi"/>
          <w:sz w:val="16"/>
          <w:szCs w:val="8"/>
          <w:lang w:val="sq-AL"/>
        </w:rPr>
      </w:pPr>
    </w:p>
    <w:p w:rsidR="004F651C" w:rsidRDefault="00150CE9" w:rsidP="004F651C">
      <w:pPr>
        <w:spacing w:line="276" w:lineRule="auto"/>
        <w:jc w:val="both"/>
        <w:rPr>
          <w:rFonts w:asciiTheme="minorHAnsi" w:eastAsia="MS Mincho" w:hAnsiTheme="minorHAnsi"/>
          <w:lang w:val="sq-AL"/>
        </w:rPr>
      </w:pPr>
      <w:r w:rsidRPr="00D52A22">
        <w:rPr>
          <w:rFonts w:asciiTheme="minorHAnsi" w:hAnsiTheme="minorHAnsi"/>
          <w:noProof/>
        </w:rPr>
        <w:t>Për sa i përket kompozimit të borxhit të brendshëm, pesha e titujve afatgjatë ka pësuar një rritje të lehtë në krahasim me atë të fundit të vitit 2021. Ndërkohë, pesha e titujve me norma interesi të ndryshueshme është reduktuar edhe përgjatë këtij tremujori, pasi edhe gjatë kësaj periudhe nuk ka patur emetime të titujve me norma interesi të ndryshueshme, në përputhje me objektivat për reduktimin e riskut të normave të interesit dhe shmangien e fragmentimit të kërkesës për titujt me maturitet të ngjashëm</w:t>
      </w:r>
      <w:r w:rsidR="004F651C" w:rsidRPr="00591367">
        <w:rPr>
          <w:rFonts w:asciiTheme="minorHAnsi" w:eastAsia="MS Mincho" w:hAnsiTheme="minorHAnsi"/>
          <w:lang w:val="sq-AL"/>
        </w:rPr>
        <w:t>.</w:t>
      </w:r>
    </w:p>
    <w:p w:rsidR="004F651C" w:rsidRPr="004F651C" w:rsidRDefault="004F651C" w:rsidP="004F651C">
      <w:pPr>
        <w:spacing w:line="276" w:lineRule="auto"/>
        <w:jc w:val="both"/>
        <w:rPr>
          <w:rFonts w:asciiTheme="minorHAnsi" w:hAnsiTheme="minorHAnsi"/>
          <w:b/>
          <w:bCs/>
          <w:i/>
          <w:noProof/>
          <w:sz w:val="8"/>
          <w:szCs w:val="8"/>
        </w:rPr>
      </w:pPr>
    </w:p>
    <w:p w:rsidR="004F651C" w:rsidRPr="00E74AAC" w:rsidRDefault="004F651C" w:rsidP="00462131">
      <w:pPr>
        <w:spacing w:line="276" w:lineRule="auto"/>
        <w:ind w:right="-188"/>
        <w:rPr>
          <w:rFonts w:asciiTheme="minorHAnsi" w:hAnsiTheme="minorHAnsi"/>
          <w:i/>
          <w:noProof/>
          <w:sz w:val="16"/>
        </w:rPr>
      </w:pPr>
      <w:bookmarkStart w:id="79" w:name="_Toc107498128"/>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B2B9B">
        <w:rPr>
          <w:rFonts w:asciiTheme="minorHAnsi" w:hAnsiTheme="minorHAnsi"/>
          <w:i/>
          <w:noProof/>
          <w:sz w:val="22"/>
        </w:rPr>
        <w:t>37</w:t>
      </w:r>
      <w:r w:rsidRPr="004F651C">
        <w:rPr>
          <w:rFonts w:asciiTheme="minorHAnsi" w:hAnsiTheme="minorHAnsi"/>
          <w:i/>
          <w:noProof/>
          <w:sz w:val="22"/>
        </w:rPr>
        <w:fldChar w:fldCharType="end"/>
      </w:r>
      <w:r w:rsidRPr="00E74AAC">
        <w:rPr>
          <w:rFonts w:asciiTheme="minorHAnsi" w:hAnsiTheme="minorHAnsi"/>
          <w:i/>
          <w:noProof/>
          <w:sz w:val="20"/>
        </w:rPr>
        <w:t xml:space="preserve">: </w:t>
      </w:r>
      <w:r w:rsidRPr="00E74AAC">
        <w:rPr>
          <w:rFonts w:asciiTheme="minorHAnsi" w:hAnsiTheme="minorHAnsi"/>
          <w:i/>
          <w:noProof/>
          <w:sz w:val="18"/>
          <w:szCs w:val="20"/>
        </w:rPr>
        <w:t>Kompozimi i borxhit të brendshëm shtetëror</w:t>
      </w:r>
      <w:r w:rsidR="00150CE9" w:rsidRPr="00E74AAC">
        <w:rPr>
          <w:rFonts w:asciiTheme="minorHAnsi" w:hAnsiTheme="minorHAnsi"/>
          <w:i/>
          <w:noProof/>
          <w:sz w:val="18"/>
          <w:szCs w:val="20"/>
        </w:rPr>
        <w:t xml:space="preserve"> sipas maturitetit të titujve dhe tipit të interesit</w:t>
      </w:r>
      <w:r w:rsidRPr="00E74AAC">
        <w:rPr>
          <w:rFonts w:asciiTheme="minorHAnsi" w:hAnsiTheme="minorHAnsi"/>
          <w:i/>
          <w:noProof/>
          <w:sz w:val="18"/>
          <w:szCs w:val="20"/>
        </w:rPr>
        <w:t xml:space="preserve"> (201</w:t>
      </w:r>
      <w:r w:rsidR="00150CE9" w:rsidRPr="00E74AAC">
        <w:rPr>
          <w:rFonts w:asciiTheme="minorHAnsi" w:hAnsiTheme="minorHAnsi"/>
          <w:i/>
          <w:noProof/>
          <w:sz w:val="18"/>
          <w:szCs w:val="20"/>
        </w:rPr>
        <w:t>7</w:t>
      </w:r>
      <w:r w:rsidRPr="00E74AAC">
        <w:rPr>
          <w:rFonts w:asciiTheme="minorHAnsi" w:hAnsiTheme="minorHAnsi"/>
          <w:i/>
          <w:noProof/>
          <w:sz w:val="18"/>
          <w:szCs w:val="20"/>
        </w:rPr>
        <w:t>-Mars 202</w:t>
      </w:r>
      <w:r w:rsidR="00150CE9" w:rsidRPr="00E74AAC">
        <w:rPr>
          <w:rFonts w:asciiTheme="minorHAnsi" w:hAnsiTheme="minorHAnsi"/>
          <w:i/>
          <w:noProof/>
          <w:sz w:val="18"/>
          <w:szCs w:val="20"/>
        </w:rPr>
        <w:t>2</w:t>
      </w:r>
      <w:r w:rsidRPr="00E74AAC">
        <w:rPr>
          <w:rFonts w:asciiTheme="minorHAnsi" w:hAnsiTheme="minorHAnsi"/>
          <w:i/>
          <w:noProof/>
          <w:sz w:val="18"/>
          <w:szCs w:val="20"/>
        </w:rPr>
        <w:t>)</w:t>
      </w:r>
      <w:bookmarkEnd w:id="79"/>
    </w:p>
    <w:p w:rsidR="004F651C" w:rsidRPr="00591367" w:rsidRDefault="00D978A4" w:rsidP="004F651C">
      <w:pPr>
        <w:spacing w:line="276" w:lineRule="auto"/>
        <w:jc w:val="both"/>
        <w:rPr>
          <w:rFonts w:asciiTheme="minorHAnsi" w:hAnsiTheme="minorHAnsi"/>
          <w:b/>
          <w:sz w:val="8"/>
          <w:szCs w:val="8"/>
          <w:lang w:val="sq-AL"/>
        </w:rPr>
      </w:pPr>
      <w:r w:rsidRPr="00D52A22">
        <w:rPr>
          <w:rFonts w:asciiTheme="minorHAnsi" w:hAnsiTheme="minorHAnsi"/>
          <w:noProof/>
        </w:rPr>
        <w:drawing>
          <wp:anchor distT="0" distB="0" distL="114300" distR="114300" simplePos="0" relativeHeight="251674112" behindDoc="1" locked="0" layoutInCell="1" allowOverlap="1" wp14:anchorId="0692A3D2" wp14:editId="42A36E27">
            <wp:simplePos x="0" y="0"/>
            <wp:positionH relativeFrom="column">
              <wp:posOffset>3128010</wp:posOffset>
            </wp:positionH>
            <wp:positionV relativeFrom="paragraph">
              <wp:posOffset>70485</wp:posOffset>
            </wp:positionV>
            <wp:extent cx="2965450" cy="1866900"/>
            <wp:effectExtent l="0" t="0" r="6350" b="0"/>
            <wp:wrapTight wrapText="bothSides">
              <wp:wrapPolygon edited="0">
                <wp:start x="0" y="0"/>
                <wp:lineTo x="0" y="21380"/>
                <wp:lineTo x="21507" y="21380"/>
                <wp:lineTo x="21507" y="0"/>
                <wp:lineTo x="0" y="0"/>
              </wp:wrapPolygon>
            </wp:wrapTight>
            <wp:docPr id="47" name="Chart 47">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D52A22">
        <w:rPr>
          <w:rFonts w:asciiTheme="minorHAnsi" w:hAnsiTheme="minorHAnsi"/>
          <w:noProof/>
        </w:rPr>
        <w:drawing>
          <wp:anchor distT="0" distB="0" distL="114300" distR="114300" simplePos="0" relativeHeight="251672064" behindDoc="1" locked="0" layoutInCell="1" allowOverlap="1" wp14:anchorId="12C5B738" wp14:editId="4612AC25">
            <wp:simplePos x="0" y="0"/>
            <wp:positionH relativeFrom="column">
              <wp:posOffset>49530</wp:posOffset>
            </wp:positionH>
            <wp:positionV relativeFrom="paragraph">
              <wp:posOffset>70485</wp:posOffset>
            </wp:positionV>
            <wp:extent cx="2940685" cy="1866900"/>
            <wp:effectExtent l="0" t="0" r="12065" b="0"/>
            <wp:wrapTight wrapText="bothSides">
              <wp:wrapPolygon edited="0">
                <wp:start x="0" y="0"/>
                <wp:lineTo x="0" y="21380"/>
                <wp:lineTo x="21549" y="21380"/>
                <wp:lineTo x="21549" y="0"/>
                <wp:lineTo x="0" y="0"/>
              </wp:wrapPolygon>
            </wp:wrapTight>
            <wp:docPr id="46" name="Chart 46">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p>
    <w:p w:rsidR="004F651C" w:rsidRPr="00847FA6" w:rsidRDefault="00FD3343" w:rsidP="004F651C">
      <w:pPr>
        <w:spacing w:line="276" w:lineRule="auto"/>
        <w:rPr>
          <w:rFonts w:asciiTheme="minorHAnsi" w:hAnsiTheme="minorHAnsi"/>
          <w:i/>
          <w:lang w:val="sq-AL"/>
        </w:rPr>
      </w:pPr>
      <w:r>
        <w:rPr>
          <w:rFonts w:asciiTheme="minorHAnsi" w:eastAsia="MS Mincho" w:hAnsiTheme="minorHAnsi"/>
          <w:i/>
          <w:sz w:val="20"/>
          <w:lang w:val="sq-AL"/>
        </w:rPr>
        <w:t>Burimi: Ministria e Financave dhe Ekonomisë (2022)</w:t>
      </w:r>
    </w:p>
    <w:p w:rsidR="004F651C" w:rsidRPr="00325B8D" w:rsidRDefault="004F651C" w:rsidP="004F651C">
      <w:pPr>
        <w:tabs>
          <w:tab w:val="left" w:pos="1916"/>
        </w:tabs>
        <w:spacing w:line="276" w:lineRule="auto"/>
        <w:jc w:val="both"/>
        <w:rPr>
          <w:rFonts w:asciiTheme="minorHAnsi" w:hAnsiTheme="minorHAnsi"/>
          <w:sz w:val="20"/>
          <w:szCs w:val="12"/>
          <w:lang w:val="sq-AL"/>
        </w:rPr>
      </w:pPr>
    </w:p>
    <w:p w:rsidR="004F651C" w:rsidRDefault="00150CE9" w:rsidP="004F651C">
      <w:pPr>
        <w:tabs>
          <w:tab w:val="left" w:pos="1916"/>
        </w:tabs>
        <w:spacing w:line="276" w:lineRule="auto"/>
        <w:jc w:val="both"/>
        <w:rPr>
          <w:rFonts w:asciiTheme="minorHAnsi" w:hAnsiTheme="minorHAnsi"/>
          <w:lang w:val="sq-AL"/>
        </w:rPr>
      </w:pPr>
      <w:r w:rsidRPr="00D52A22">
        <w:rPr>
          <w:rFonts w:asciiTheme="minorHAnsi" w:hAnsiTheme="minorHAnsi"/>
          <w:noProof/>
        </w:rPr>
        <w:t>Në portofolin e borxhit të jashtëm, mbi 60% të peshës e mban borxhi me normë interesi fikse. Ndërkohë, për sa i përket kompozimit sipas instrumenteve, pavarësisht diversifikimit të portofolit drejt instrumenteve të tregtueshme (p.sh. Eurobond-i), peshën më të madhe vazhdojnë ta mbajnë kreditë me burim kreditorët dypalësh dhe shumëpalësh, me destinacion financimin e projekteve me natyrë zhvillimore</w:t>
      </w:r>
      <w:r w:rsidR="004F651C" w:rsidRPr="00591367">
        <w:rPr>
          <w:rFonts w:asciiTheme="minorHAnsi" w:hAnsiTheme="minorHAnsi"/>
          <w:lang w:val="sq-AL"/>
        </w:rPr>
        <w:t xml:space="preserve">. </w:t>
      </w:r>
    </w:p>
    <w:p w:rsidR="004F651C" w:rsidRPr="0035044A" w:rsidRDefault="004F651C" w:rsidP="004F651C">
      <w:pPr>
        <w:tabs>
          <w:tab w:val="left" w:pos="1916"/>
        </w:tabs>
        <w:spacing w:line="276" w:lineRule="auto"/>
        <w:jc w:val="both"/>
        <w:rPr>
          <w:rFonts w:asciiTheme="minorHAnsi" w:hAnsiTheme="minorHAnsi"/>
          <w:sz w:val="8"/>
          <w:szCs w:val="8"/>
          <w:lang w:val="sq-AL"/>
        </w:rPr>
      </w:pPr>
    </w:p>
    <w:p w:rsidR="004F651C" w:rsidRPr="004F651C" w:rsidRDefault="00D978A4" w:rsidP="00864A9D">
      <w:pPr>
        <w:pStyle w:val="Caption"/>
        <w:spacing w:after="0"/>
        <w:rPr>
          <w:rFonts w:asciiTheme="minorHAnsi" w:hAnsiTheme="minorHAnsi"/>
          <w:i/>
          <w:sz w:val="22"/>
          <w:szCs w:val="22"/>
          <w:lang w:val="sq-AL"/>
        </w:rPr>
      </w:pPr>
      <w:bookmarkStart w:id="80" w:name="_Toc107498129"/>
      <w:r w:rsidRPr="00D52A22">
        <w:rPr>
          <w:rFonts w:asciiTheme="minorHAnsi" w:hAnsiTheme="minorHAnsi"/>
          <w:b w:val="0"/>
          <w:noProof/>
          <w:sz w:val="24"/>
          <w:szCs w:val="24"/>
        </w:rPr>
        <w:lastRenderedPageBreak/>
        <w:drawing>
          <wp:anchor distT="0" distB="0" distL="114300" distR="114300" simplePos="0" relativeHeight="251678208" behindDoc="1" locked="0" layoutInCell="1" allowOverlap="1" wp14:anchorId="5562E83F" wp14:editId="4E74ACCD">
            <wp:simplePos x="0" y="0"/>
            <wp:positionH relativeFrom="column">
              <wp:posOffset>3097530</wp:posOffset>
            </wp:positionH>
            <wp:positionV relativeFrom="paragraph">
              <wp:posOffset>250190</wp:posOffset>
            </wp:positionV>
            <wp:extent cx="2940050" cy="1981200"/>
            <wp:effectExtent l="0" t="0" r="12700" b="0"/>
            <wp:wrapTight wrapText="bothSides">
              <wp:wrapPolygon edited="0">
                <wp:start x="0" y="0"/>
                <wp:lineTo x="0" y="21392"/>
                <wp:lineTo x="21553" y="21392"/>
                <wp:lineTo x="21553" y="0"/>
                <wp:lineTo x="0" y="0"/>
              </wp:wrapPolygon>
            </wp:wrapTight>
            <wp:docPr id="274" name="Chart 274">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Pr="00D52A22">
        <w:rPr>
          <w:rFonts w:asciiTheme="minorHAnsi" w:hAnsiTheme="minorHAnsi"/>
          <w:noProof/>
          <w:sz w:val="24"/>
          <w:szCs w:val="24"/>
        </w:rPr>
        <w:drawing>
          <wp:anchor distT="0" distB="0" distL="114300" distR="114300" simplePos="0" relativeHeight="251676160" behindDoc="1" locked="0" layoutInCell="1" allowOverlap="1" wp14:anchorId="6D160E3C" wp14:editId="022D04DE">
            <wp:simplePos x="0" y="0"/>
            <wp:positionH relativeFrom="column">
              <wp:posOffset>49530</wp:posOffset>
            </wp:positionH>
            <wp:positionV relativeFrom="paragraph">
              <wp:posOffset>257810</wp:posOffset>
            </wp:positionV>
            <wp:extent cx="2940050" cy="1973580"/>
            <wp:effectExtent l="0" t="0" r="12700" b="7620"/>
            <wp:wrapTight wrapText="bothSides">
              <wp:wrapPolygon edited="0">
                <wp:start x="0" y="0"/>
                <wp:lineTo x="0" y="21475"/>
                <wp:lineTo x="21553" y="21475"/>
                <wp:lineTo x="21553" y="0"/>
                <wp:lineTo x="0" y="0"/>
              </wp:wrapPolygon>
            </wp:wrapTight>
            <wp:docPr id="48" name="Chart 48">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4F651C" w:rsidRPr="004F651C">
        <w:rPr>
          <w:rFonts w:asciiTheme="minorHAnsi" w:hAnsiTheme="minorHAnsi"/>
          <w:b w:val="0"/>
          <w:bCs w:val="0"/>
          <w:i/>
          <w:noProof/>
          <w:color w:val="auto"/>
          <w:sz w:val="22"/>
          <w:szCs w:val="22"/>
        </w:rPr>
        <w:t xml:space="preserve">Grafiku </w:t>
      </w:r>
      <w:r w:rsidR="004F651C" w:rsidRPr="004F651C">
        <w:rPr>
          <w:rFonts w:asciiTheme="minorHAnsi" w:hAnsiTheme="minorHAnsi"/>
          <w:b w:val="0"/>
          <w:bCs w:val="0"/>
          <w:i/>
          <w:noProof/>
          <w:color w:val="auto"/>
          <w:sz w:val="22"/>
          <w:szCs w:val="22"/>
        </w:rPr>
        <w:fldChar w:fldCharType="begin"/>
      </w:r>
      <w:r w:rsidR="004F651C" w:rsidRPr="004F651C">
        <w:rPr>
          <w:rFonts w:asciiTheme="minorHAnsi" w:hAnsiTheme="minorHAnsi"/>
          <w:b w:val="0"/>
          <w:bCs w:val="0"/>
          <w:i/>
          <w:noProof/>
          <w:color w:val="auto"/>
          <w:sz w:val="22"/>
          <w:szCs w:val="22"/>
        </w:rPr>
        <w:instrText xml:space="preserve"> SEQ Grafiku \* ARABIC </w:instrText>
      </w:r>
      <w:r w:rsidR="004F651C" w:rsidRPr="004F651C">
        <w:rPr>
          <w:rFonts w:asciiTheme="minorHAnsi" w:hAnsiTheme="minorHAnsi"/>
          <w:b w:val="0"/>
          <w:bCs w:val="0"/>
          <w:i/>
          <w:noProof/>
          <w:color w:val="auto"/>
          <w:sz w:val="22"/>
          <w:szCs w:val="22"/>
        </w:rPr>
        <w:fldChar w:fldCharType="separate"/>
      </w:r>
      <w:r w:rsidR="003B2B9B">
        <w:rPr>
          <w:rFonts w:asciiTheme="minorHAnsi" w:hAnsiTheme="minorHAnsi"/>
          <w:b w:val="0"/>
          <w:bCs w:val="0"/>
          <w:i/>
          <w:noProof/>
          <w:color w:val="auto"/>
          <w:sz w:val="22"/>
          <w:szCs w:val="22"/>
        </w:rPr>
        <w:t>38</w:t>
      </w:r>
      <w:r w:rsidR="004F651C" w:rsidRPr="004F651C">
        <w:rPr>
          <w:rFonts w:asciiTheme="minorHAnsi" w:hAnsiTheme="minorHAnsi"/>
          <w:b w:val="0"/>
          <w:bCs w:val="0"/>
          <w:i/>
          <w:noProof/>
          <w:color w:val="auto"/>
          <w:sz w:val="22"/>
          <w:szCs w:val="22"/>
        </w:rPr>
        <w:fldChar w:fldCharType="end"/>
      </w:r>
      <w:r w:rsidR="004F651C" w:rsidRPr="004F651C">
        <w:rPr>
          <w:rFonts w:asciiTheme="minorHAnsi" w:hAnsiTheme="minorHAnsi"/>
          <w:b w:val="0"/>
          <w:bCs w:val="0"/>
          <w:i/>
          <w:noProof/>
          <w:color w:val="auto"/>
          <w:sz w:val="22"/>
          <w:szCs w:val="22"/>
        </w:rPr>
        <w:t>: Kompozimi i borxhit të jashtëm shtetëror sipas interesit&amp;instrumenteve (201</w:t>
      </w:r>
      <w:r w:rsidR="00864A9D">
        <w:rPr>
          <w:rFonts w:asciiTheme="minorHAnsi" w:hAnsiTheme="minorHAnsi"/>
          <w:b w:val="0"/>
          <w:bCs w:val="0"/>
          <w:i/>
          <w:noProof/>
          <w:color w:val="auto"/>
          <w:sz w:val="22"/>
          <w:szCs w:val="22"/>
        </w:rPr>
        <w:t>7</w:t>
      </w:r>
      <w:r w:rsidR="004F651C" w:rsidRPr="004F651C">
        <w:rPr>
          <w:rFonts w:asciiTheme="minorHAnsi" w:hAnsiTheme="minorHAnsi"/>
          <w:b w:val="0"/>
          <w:bCs w:val="0"/>
          <w:i/>
          <w:noProof/>
          <w:color w:val="auto"/>
          <w:sz w:val="22"/>
          <w:szCs w:val="22"/>
        </w:rPr>
        <w:t>-Mars 202</w:t>
      </w:r>
      <w:r w:rsidR="00864A9D">
        <w:rPr>
          <w:rFonts w:asciiTheme="minorHAnsi" w:hAnsiTheme="minorHAnsi"/>
          <w:b w:val="0"/>
          <w:bCs w:val="0"/>
          <w:i/>
          <w:noProof/>
          <w:color w:val="auto"/>
          <w:sz w:val="22"/>
          <w:szCs w:val="22"/>
        </w:rPr>
        <w:t>2</w:t>
      </w:r>
      <w:r w:rsidR="004F651C" w:rsidRPr="004F651C">
        <w:rPr>
          <w:rFonts w:asciiTheme="minorHAnsi" w:hAnsiTheme="minorHAnsi"/>
          <w:b w:val="0"/>
          <w:bCs w:val="0"/>
          <w:i/>
          <w:noProof/>
          <w:color w:val="auto"/>
          <w:sz w:val="22"/>
          <w:szCs w:val="22"/>
        </w:rPr>
        <w:t>)</w:t>
      </w:r>
      <w:bookmarkEnd w:id="80"/>
    </w:p>
    <w:p w:rsidR="004F651C" w:rsidRDefault="00FD3343" w:rsidP="00D978A4">
      <w:pPr>
        <w:rPr>
          <w:rFonts w:asciiTheme="minorHAnsi" w:hAnsiTheme="minorHAnsi"/>
          <w:i/>
          <w:sz w:val="20"/>
          <w:lang w:val="sq-AL"/>
        </w:rPr>
      </w:pPr>
      <w:r>
        <w:rPr>
          <w:rFonts w:asciiTheme="minorHAnsi" w:eastAsia="MS Mincho" w:hAnsiTheme="minorHAnsi"/>
          <w:i/>
          <w:sz w:val="20"/>
          <w:lang w:val="sq-AL"/>
        </w:rPr>
        <w:t>Burimi: Ministria e Financave dhe Ekonomisë (2022)</w:t>
      </w:r>
    </w:p>
    <w:p w:rsidR="0035044A" w:rsidRDefault="0035044A" w:rsidP="004F651C">
      <w:pPr>
        <w:spacing w:line="276" w:lineRule="auto"/>
        <w:rPr>
          <w:rFonts w:asciiTheme="minorHAnsi" w:hAnsiTheme="minorHAnsi"/>
          <w:i/>
          <w:sz w:val="20"/>
          <w:lang w:val="sq-AL"/>
        </w:rPr>
      </w:pPr>
    </w:p>
    <w:p w:rsidR="00D85320" w:rsidRPr="0065598A" w:rsidRDefault="006654D7" w:rsidP="002334F6">
      <w:pPr>
        <w:pStyle w:val="Heading2"/>
      </w:pPr>
      <w:bookmarkStart w:id="81" w:name="_Toc107496993"/>
      <w:r w:rsidRPr="0065598A">
        <w:t>I</w:t>
      </w:r>
      <w:r w:rsidR="00D85320" w:rsidRPr="0065598A">
        <w:t>V.2</w:t>
      </w:r>
      <w:r w:rsidR="00D85320" w:rsidRPr="0065598A">
        <w:tab/>
        <w:t>Menaxhimi i Borxhit</w:t>
      </w:r>
      <w:bookmarkEnd w:id="81"/>
    </w:p>
    <w:p w:rsidR="00513A75" w:rsidRPr="00D808F4" w:rsidRDefault="00D808F4" w:rsidP="00D808F4">
      <w:pPr>
        <w:tabs>
          <w:tab w:val="left" w:pos="360"/>
        </w:tabs>
        <w:spacing w:line="276" w:lineRule="auto"/>
        <w:jc w:val="both"/>
        <w:rPr>
          <w:rFonts w:asciiTheme="minorHAnsi" w:hAnsiTheme="minorHAnsi"/>
          <w:lang w:val="sq-AL"/>
        </w:rPr>
      </w:pPr>
      <w:r w:rsidRPr="00D808F4">
        <w:rPr>
          <w:rFonts w:asciiTheme="minorHAnsi" w:hAnsiTheme="minorHAnsi"/>
          <w:lang w:val="sq-AL"/>
        </w:rPr>
        <w:t>Huamarrja gjatë tremujorit të parë 2022 u realizua në linjë me buxhetin e vitit 2022. Nëpërmjet huamarrjes u mundësua rifinancimi i borxhit ekzistues, si edhe financimi i deficitit të planifikuar për vitin 2022. Huamarrja në terma bruto u realizua në vlerën 119.6 miliard Lekë, nga të cilat 92.8% (ose 111.0 miliard Lekë) u financuan nëpërmjet burimeve të brendshme dhe 7.2% (ose 8.6 miliard Lekë) nëpërmjet burimeve të huaja</w:t>
      </w:r>
      <w:r w:rsidR="00513A75" w:rsidRPr="00EB0002">
        <w:rPr>
          <w:rFonts w:asciiTheme="minorHAnsi" w:hAnsiTheme="minorHAnsi"/>
          <w:lang w:val="sq-AL"/>
        </w:rPr>
        <w:t xml:space="preserve">. </w:t>
      </w:r>
    </w:p>
    <w:p w:rsidR="00D808F4" w:rsidRPr="00D978A4" w:rsidRDefault="00D808F4" w:rsidP="00D808F4">
      <w:pPr>
        <w:tabs>
          <w:tab w:val="left" w:pos="360"/>
        </w:tabs>
        <w:spacing w:line="276" w:lineRule="auto"/>
        <w:jc w:val="both"/>
        <w:rPr>
          <w:rFonts w:asciiTheme="minorHAnsi" w:hAnsiTheme="minorHAnsi"/>
          <w:sz w:val="20"/>
          <w:lang w:val="sq-AL"/>
        </w:rPr>
      </w:pP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Huamarrja e Brendshme</w:t>
      </w:r>
    </w:p>
    <w:p w:rsidR="00513A75" w:rsidRDefault="00D978A4" w:rsidP="00D978A4">
      <w:pPr>
        <w:tabs>
          <w:tab w:val="left" w:pos="360"/>
        </w:tabs>
        <w:jc w:val="both"/>
        <w:rPr>
          <w:rFonts w:asciiTheme="minorHAnsi" w:hAnsiTheme="minorHAnsi"/>
          <w:lang w:val="sq-AL"/>
        </w:rPr>
      </w:pPr>
      <w:r w:rsidRPr="00D52A22">
        <w:rPr>
          <w:rFonts w:asciiTheme="minorHAnsi" w:eastAsia="MS Mincho" w:hAnsiTheme="minorHAnsi"/>
          <w:noProof/>
        </w:rPr>
        <w:t xml:space="preserve">Gjatë periudhës janar-mars 2022, Ministria e Financave dhe Ekonomisë ka emetuar në tregun e brendshëm tituj shtetërorë në vlerën 111 miliard Lekë, nga të cilat 69.9 miliard Lekë nëpërmjet titujve afatshkurtër dhe 41.1 miliard Lekë nëpërmjet titujve afatgjatë. Huamarrja ka shërbyer totalisht për rifinancimin e titujve ekzistues ndërkohë që financimi neto ka rezultuar në vlerën -1.8 </w:t>
      </w:r>
      <w:r>
        <w:rPr>
          <w:rFonts w:asciiTheme="minorHAnsi" w:eastAsia="MS Mincho" w:hAnsiTheme="minorHAnsi"/>
          <w:noProof/>
        </w:rPr>
        <w:t>miliard</w:t>
      </w:r>
      <w:r w:rsidR="009647C4">
        <w:rPr>
          <w:rFonts w:asciiTheme="minorHAnsi" w:eastAsia="MS Mincho" w:hAnsiTheme="minorHAnsi"/>
          <w:noProof/>
        </w:rPr>
        <w:t>ë</w:t>
      </w:r>
      <w:r w:rsidRPr="00D52A22">
        <w:rPr>
          <w:rFonts w:asciiTheme="minorHAnsi" w:eastAsia="MS Mincho" w:hAnsiTheme="minorHAnsi"/>
          <w:noProof/>
        </w:rPr>
        <w:t xml:space="preserve"> Lekë</w:t>
      </w:r>
      <w:r w:rsidR="00513A75" w:rsidRPr="00EB0002">
        <w:rPr>
          <w:rFonts w:asciiTheme="minorHAnsi" w:hAnsiTheme="minorHAnsi"/>
          <w:lang w:val="sq-AL"/>
        </w:rPr>
        <w:t>.</w:t>
      </w:r>
      <w:r w:rsidR="00513A75">
        <w:rPr>
          <w:rFonts w:asciiTheme="minorHAnsi" w:hAnsiTheme="minorHAnsi"/>
          <w:lang w:val="sq-AL"/>
        </w:rPr>
        <w:t xml:space="preserve"> </w:t>
      </w:r>
    </w:p>
    <w:p w:rsidR="00513A75" w:rsidRPr="00D978A4" w:rsidRDefault="00513A75" w:rsidP="00513A75">
      <w:pPr>
        <w:tabs>
          <w:tab w:val="left" w:pos="360"/>
        </w:tabs>
        <w:spacing w:line="276" w:lineRule="auto"/>
        <w:jc w:val="both"/>
        <w:rPr>
          <w:rFonts w:asciiTheme="minorHAnsi" w:hAnsiTheme="minorHAnsi"/>
          <w:i/>
          <w:noProof/>
          <w:sz w:val="20"/>
        </w:rPr>
      </w:pPr>
      <w:bookmarkStart w:id="82" w:name="_Toc107496747"/>
      <w:r w:rsidRPr="00D978A4">
        <w:rPr>
          <w:rFonts w:asciiTheme="minorHAnsi" w:hAnsiTheme="minorHAnsi"/>
          <w:i/>
          <w:noProof/>
          <w:sz w:val="22"/>
        </w:rPr>
        <w:t xml:space="preserve">Tabela </w:t>
      </w:r>
      <w:r w:rsidRPr="00D978A4">
        <w:rPr>
          <w:rFonts w:asciiTheme="minorHAnsi" w:hAnsiTheme="minorHAnsi"/>
          <w:i/>
          <w:noProof/>
          <w:sz w:val="22"/>
        </w:rPr>
        <w:fldChar w:fldCharType="begin"/>
      </w:r>
      <w:r w:rsidRPr="00D978A4">
        <w:rPr>
          <w:rFonts w:asciiTheme="minorHAnsi" w:hAnsiTheme="minorHAnsi"/>
          <w:i/>
          <w:noProof/>
          <w:sz w:val="22"/>
        </w:rPr>
        <w:instrText xml:space="preserve"> SEQ Tabela \* ARABIC </w:instrText>
      </w:r>
      <w:r w:rsidRPr="00D978A4">
        <w:rPr>
          <w:rFonts w:asciiTheme="minorHAnsi" w:hAnsiTheme="minorHAnsi"/>
          <w:i/>
          <w:noProof/>
          <w:sz w:val="22"/>
        </w:rPr>
        <w:fldChar w:fldCharType="separate"/>
      </w:r>
      <w:r w:rsidR="003B2B9B">
        <w:rPr>
          <w:rFonts w:asciiTheme="minorHAnsi" w:hAnsiTheme="minorHAnsi"/>
          <w:i/>
          <w:noProof/>
          <w:sz w:val="22"/>
        </w:rPr>
        <w:t>11</w:t>
      </w:r>
      <w:r w:rsidRPr="00D978A4">
        <w:rPr>
          <w:rFonts w:asciiTheme="minorHAnsi" w:hAnsiTheme="minorHAnsi"/>
          <w:i/>
          <w:noProof/>
          <w:sz w:val="22"/>
        </w:rPr>
        <w:fldChar w:fldCharType="end"/>
      </w:r>
      <w:r w:rsidRPr="00D978A4">
        <w:rPr>
          <w:rFonts w:asciiTheme="minorHAnsi" w:hAnsiTheme="minorHAnsi"/>
          <w:i/>
          <w:noProof/>
          <w:sz w:val="22"/>
        </w:rPr>
        <w:t xml:space="preserve">: Huamarrja shtetërore nga burime të brendshme në terma bruto&amp;neto </w:t>
      </w:r>
      <w:r w:rsidRPr="00D978A4">
        <w:rPr>
          <w:rFonts w:asciiTheme="minorHAnsi" w:hAnsiTheme="minorHAnsi"/>
          <w:i/>
          <w:noProof/>
          <w:sz w:val="20"/>
        </w:rPr>
        <w:t>(Janar-Mars 202</w:t>
      </w:r>
      <w:r w:rsidR="00D978A4">
        <w:rPr>
          <w:rFonts w:asciiTheme="minorHAnsi" w:hAnsiTheme="minorHAnsi"/>
          <w:i/>
          <w:noProof/>
          <w:sz w:val="20"/>
        </w:rPr>
        <w:t>2</w:t>
      </w:r>
      <w:r w:rsidRPr="00D978A4">
        <w:rPr>
          <w:rFonts w:asciiTheme="minorHAnsi" w:hAnsiTheme="minorHAnsi"/>
          <w:i/>
          <w:noProof/>
          <w:sz w:val="20"/>
        </w:rPr>
        <w:t>)</w:t>
      </w:r>
      <w:bookmarkEnd w:id="82"/>
    </w:p>
    <w:tbl>
      <w:tblPr>
        <w:tblW w:w="9181" w:type="dxa"/>
        <w:jc w:val="center"/>
        <w:tblLook w:val="04A0" w:firstRow="1" w:lastRow="0" w:firstColumn="1" w:lastColumn="0" w:noHBand="0" w:noVBand="1"/>
      </w:tblPr>
      <w:tblGrid>
        <w:gridCol w:w="4050"/>
        <w:gridCol w:w="1542"/>
        <w:gridCol w:w="1611"/>
        <w:gridCol w:w="1978"/>
      </w:tblGrid>
      <w:tr w:rsidR="00D978A4" w:rsidRPr="00D52A22" w:rsidTr="00D978A4">
        <w:trPr>
          <w:trHeight w:val="238"/>
          <w:jc w:val="center"/>
        </w:trPr>
        <w:tc>
          <w:tcPr>
            <w:tcW w:w="4050" w:type="dxa"/>
            <w:vMerge w:val="restart"/>
            <w:tcBorders>
              <w:top w:val="nil"/>
              <w:left w:val="nil"/>
              <w:bottom w:val="single" w:sz="8" w:space="0" w:color="FFFFFF"/>
              <w:right w:val="single" w:sz="8" w:space="0" w:color="FFFFFF"/>
            </w:tcBorders>
            <w:shd w:val="clear" w:color="000000" w:fill="4F81BD"/>
            <w:noWrap/>
            <w:vAlign w:val="center"/>
            <w:hideMark/>
          </w:tcPr>
          <w:p w:rsidR="00D978A4" w:rsidRPr="00D52A22" w:rsidRDefault="00D978A4" w:rsidP="00D978A4">
            <w:pPr>
              <w:jc w:val="center"/>
              <w:rPr>
                <w:rFonts w:asciiTheme="minorHAnsi" w:hAnsiTheme="minorHAnsi"/>
                <w:b/>
                <w:bCs/>
                <w:color w:val="FFFFFF"/>
                <w:sz w:val="18"/>
              </w:rPr>
            </w:pPr>
            <w:r w:rsidRPr="00D52A22">
              <w:rPr>
                <w:rFonts w:asciiTheme="minorHAnsi" w:hAnsiTheme="minorHAnsi"/>
                <w:b/>
                <w:bCs/>
                <w:color w:val="FFFFFF"/>
                <w:sz w:val="18"/>
              </w:rPr>
              <w:t>Lloji i Titullit</w:t>
            </w:r>
          </w:p>
        </w:tc>
        <w:tc>
          <w:tcPr>
            <w:tcW w:w="5131" w:type="dxa"/>
            <w:gridSpan w:val="3"/>
            <w:tcBorders>
              <w:top w:val="nil"/>
              <w:left w:val="nil"/>
              <w:bottom w:val="single" w:sz="8" w:space="0" w:color="FFFFFF"/>
              <w:right w:val="nil"/>
            </w:tcBorders>
            <w:shd w:val="clear" w:color="000000" w:fill="4F81BD"/>
            <w:noWrap/>
            <w:vAlign w:val="center"/>
            <w:hideMark/>
          </w:tcPr>
          <w:p w:rsidR="00D978A4" w:rsidRPr="00D52A22" w:rsidRDefault="00D978A4" w:rsidP="00D978A4">
            <w:pPr>
              <w:jc w:val="center"/>
              <w:rPr>
                <w:rFonts w:asciiTheme="minorHAnsi" w:hAnsiTheme="minorHAnsi"/>
                <w:b/>
                <w:bCs/>
                <w:color w:val="FFFFFF"/>
                <w:sz w:val="18"/>
              </w:rPr>
            </w:pPr>
            <w:r w:rsidRPr="00D52A22">
              <w:rPr>
                <w:rFonts w:asciiTheme="minorHAnsi" w:hAnsiTheme="minorHAnsi"/>
                <w:b/>
                <w:bCs/>
                <w:color w:val="FFFFFF"/>
                <w:sz w:val="18"/>
              </w:rPr>
              <w:t>TM1 2022</w:t>
            </w:r>
          </w:p>
        </w:tc>
      </w:tr>
      <w:tr w:rsidR="00D978A4" w:rsidRPr="00D52A22" w:rsidTr="00D978A4">
        <w:trPr>
          <w:trHeight w:val="592"/>
          <w:jc w:val="center"/>
        </w:trPr>
        <w:tc>
          <w:tcPr>
            <w:tcW w:w="4050" w:type="dxa"/>
            <w:vMerge/>
            <w:tcBorders>
              <w:top w:val="nil"/>
              <w:left w:val="nil"/>
              <w:bottom w:val="single" w:sz="8" w:space="0" w:color="FFFFFF"/>
              <w:right w:val="single" w:sz="8" w:space="0" w:color="FFFFFF"/>
            </w:tcBorders>
            <w:vAlign w:val="center"/>
            <w:hideMark/>
          </w:tcPr>
          <w:p w:rsidR="00D978A4" w:rsidRPr="00D52A22" w:rsidRDefault="00D978A4" w:rsidP="00D978A4">
            <w:pPr>
              <w:rPr>
                <w:rFonts w:asciiTheme="minorHAnsi" w:hAnsiTheme="minorHAnsi"/>
                <w:b/>
                <w:bCs/>
                <w:color w:val="FFFFFF"/>
                <w:sz w:val="18"/>
              </w:rPr>
            </w:pPr>
          </w:p>
        </w:tc>
        <w:tc>
          <w:tcPr>
            <w:tcW w:w="1542" w:type="dxa"/>
            <w:tcBorders>
              <w:top w:val="single" w:sz="8" w:space="0" w:color="FFFFFF"/>
              <w:left w:val="nil"/>
              <w:bottom w:val="single" w:sz="8" w:space="0" w:color="FFFFFF"/>
              <w:right w:val="nil"/>
            </w:tcBorders>
            <w:shd w:val="clear" w:color="000000" w:fill="4F81BD"/>
            <w:vAlign w:val="center"/>
            <w:hideMark/>
          </w:tcPr>
          <w:p w:rsidR="00D978A4" w:rsidRPr="00D52A22" w:rsidRDefault="00D978A4" w:rsidP="00D978A4">
            <w:pPr>
              <w:jc w:val="center"/>
              <w:rPr>
                <w:rFonts w:asciiTheme="minorHAnsi" w:hAnsiTheme="minorHAnsi"/>
                <w:b/>
                <w:bCs/>
                <w:color w:val="FFFFFF"/>
                <w:sz w:val="18"/>
              </w:rPr>
            </w:pPr>
            <w:r w:rsidRPr="00D52A22">
              <w:rPr>
                <w:rFonts w:asciiTheme="minorHAnsi" w:hAnsiTheme="minorHAnsi"/>
                <w:b/>
                <w:bCs/>
                <w:color w:val="FFFFFF"/>
                <w:sz w:val="18"/>
              </w:rPr>
              <w:t xml:space="preserve">Emetim                                          </w:t>
            </w:r>
            <w:r w:rsidRPr="00D52A22">
              <w:rPr>
                <w:rFonts w:asciiTheme="minorHAnsi" w:hAnsiTheme="minorHAnsi"/>
                <w:i/>
                <w:iCs/>
                <w:color w:val="FFFFFF"/>
                <w:sz w:val="18"/>
              </w:rPr>
              <w:t>(në mld Lekë)</w:t>
            </w:r>
          </w:p>
        </w:tc>
        <w:tc>
          <w:tcPr>
            <w:tcW w:w="1611" w:type="dxa"/>
            <w:tcBorders>
              <w:top w:val="single" w:sz="8" w:space="0" w:color="FFFFFF"/>
              <w:left w:val="single" w:sz="8" w:space="0" w:color="FFFFFF"/>
              <w:bottom w:val="single" w:sz="8" w:space="0" w:color="FFFFFF"/>
              <w:right w:val="nil"/>
            </w:tcBorders>
            <w:shd w:val="clear" w:color="000000" w:fill="4F81BD"/>
            <w:vAlign w:val="center"/>
            <w:hideMark/>
          </w:tcPr>
          <w:p w:rsidR="00D978A4" w:rsidRPr="00D52A22" w:rsidRDefault="00D978A4" w:rsidP="00D978A4">
            <w:pPr>
              <w:jc w:val="center"/>
              <w:rPr>
                <w:rFonts w:asciiTheme="minorHAnsi" w:hAnsiTheme="minorHAnsi"/>
                <w:b/>
                <w:bCs/>
                <w:color w:val="FFFFFF"/>
                <w:sz w:val="18"/>
              </w:rPr>
            </w:pPr>
            <w:r w:rsidRPr="00D52A22">
              <w:rPr>
                <w:rFonts w:asciiTheme="minorHAnsi" w:hAnsiTheme="minorHAnsi"/>
                <w:b/>
                <w:bCs/>
                <w:color w:val="FFFFFF"/>
                <w:sz w:val="18"/>
              </w:rPr>
              <w:t xml:space="preserve">Maturim                                        </w:t>
            </w:r>
            <w:r w:rsidRPr="00D52A22">
              <w:rPr>
                <w:rFonts w:asciiTheme="minorHAnsi" w:hAnsiTheme="minorHAnsi"/>
                <w:i/>
                <w:iCs/>
                <w:color w:val="FFFFFF"/>
                <w:sz w:val="18"/>
              </w:rPr>
              <w:t>(në mld Lekë)</w:t>
            </w:r>
          </w:p>
        </w:tc>
        <w:tc>
          <w:tcPr>
            <w:tcW w:w="1977" w:type="dxa"/>
            <w:tcBorders>
              <w:top w:val="single" w:sz="8" w:space="0" w:color="FFFFFF"/>
              <w:left w:val="single" w:sz="8" w:space="0" w:color="FFFFFF"/>
              <w:bottom w:val="single" w:sz="8" w:space="0" w:color="FFFFFF"/>
              <w:right w:val="single" w:sz="8" w:space="0" w:color="FFFFFF"/>
            </w:tcBorders>
            <w:shd w:val="clear" w:color="000000" w:fill="4F81BD"/>
            <w:vAlign w:val="center"/>
            <w:hideMark/>
          </w:tcPr>
          <w:p w:rsidR="00D978A4" w:rsidRPr="00D52A22" w:rsidRDefault="00D978A4" w:rsidP="00D978A4">
            <w:pPr>
              <w:jc w:val="center"/>
              <w:rPr>
                <w:rFonts w:asciiTheme="minorHAnsi" w:hAnsiTheme="minorHAnsi"/>
                <w:b/>
                <w:bCs/>
                <w:color w:val="FFFFFF"/>
                <w:sz w:val="18"/>
              </w:rPr>
            </w:pPr>
            <w:r w:rsidRPr="00D52A22">
              <w:rPr>
                <w:rFonts w:asciiTheme="minorHAnsi" w:hAnsiTheme="minorHAnsi"/>
                <w:b/>
                <w:bCs/>
                <w:color w:val="FFFFFF"/>
                <w:sz w:val="18"/>
              </w:rPr>
              <w:t xml:space="preserve">Huamarrja Neto                                       </w:t>
            </w:r>
            <w:r w:rsidRPr="00D52A22">
              <w:rPr>
                <w:rFonts w:asciiTheme="minorHAnsi" w:hAnsiTheme="minorHAnsi"/>
                <w:i/>
                <w:iCs/>
                <w:color w:val="FFFFFF"/>
                <w:sz w:val="18"/>
              </w:rPr>
              <w:t>(në mld Lekë)</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b/>
                <w:bCs/>
                <w:sz w:val="18"/>
              </w:rPr>
            </w:pPr>
            <w:r w:rsidRPr="00D52A22">
              <w:rPr>
                <w:rFonts w:asciiTheme="minorHAnsi" w:hAnsiTheme="minorHAnsi"/>
                <w:b/>
                <w:bCs/>
                <w:sz w:val="18"/>
              </w:rPr>
              <w:t>Tituj Afatshkurtër</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69.9</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72.7</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-2.7</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Bono Thesari në Lekë</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69.9</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72.7</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-2.7</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b/>
                <w:bCs/>
                <w:color w:val="000000"/>
                <w:sz w:val="18"/>
              </w:rPr>
            </w:pPr>
            <w:r w:rsidRPr="00D52A22">
              <w:rPr>
                <w:rFonts w:asciiTheme="minorHAnsi" w:hAnsiTheme="minorHAnsi"/>
                <w:b/>
                <w:bCs/>
                <w:color w:val="000000"/>
                <w:sz w:val="18"/>
              </w:rPr>
              <w:t>Tituj Afatgjatë</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color w:val="000000"/>
                <w:sz w:val="18"/>
              </w:rPr>
            </w:pPr>
            <w:r w:rsidRPr="00D52A22">
              <w:rPr>
                <w:rFonts w:asciiTheme="minorHAnsi" w:hAnsiTheme="minorHAnsi"/>
                <w:b/>
                <w:bCs/>
                <w:color w:val="000000"/>
                <w:sz w:val="18"/>
              </w:rPr>
              <w:t>41.1</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color w:val="000000"/>
                <w:sz w:val="18"/>
              </w:rPr>
            </w:pPr>
            <w:r w:rsidRPr="00D52A22">
              <w:rPr>
                <w:rFonts w:asciiTheme="minorHAnsi" w:hAnsiTheme="minorHAnsi"/>
                <w:b/>
                <w:bCs/>
                <w:color w:val="000000"/>
                <w:sz w:val="18"/>
              </w:rPr>
              <w:t>40.1</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1.0</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2 vjeçare</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13.6</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11.9</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1.6</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2 vjeçare në Euro</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0.0</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0.0</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0.0</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3 vjeçare</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10.0</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18.2</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-8.2</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5 vjeçare</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6.3</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6.5</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-0.2</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7 vjeçare</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3.5</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3.5</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0.0</w:t>
            </w:r>
          </w:p>
        </w:tc>
      </w:tr>
      <w:tr w:rsidR="00D978A4" w:rsidRPr="00D52A22" w:rsidTr="00D978A4">
        <w:trPr>
          <w:trHeight w:val="227"/>
          <w:jc w:val="center"/>
        </w:trPr>
        <w:tc>
          <w:tcPr>
            <w:tcW w:w="4050" w:type="dxa"/>
            <w:tcBorders>
              <w:top w:val="nil"/>
              <w:left w:val="nil"/>
              <w:bottom w:val="nil"/>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10 vjeçare</w:t>
            </w:r>
          </w:p>
        </w:tc>
        <w:tc>
          <w:tcPr>
            <w:tcW w:w="1542"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5.5</w:t>
            </w:r>
          </w:p>
        </w:tc>
        <w:tc>
          <w:tcPr>
            <w:tcW w:w="1611"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0.0</w:t>
            </w:r>
          </w:p>
        </w:tc>
        <w:tc>
          <w:tcPr>
            <w:tcW w:w="1977" w:type="dxa"/>
            <w:tcBorders>
              <w:top w:val="nil"/>
              <w:left w:val="nil"/>
              <w:bottom w:val="nil"/>
              <w:right w:val="nil"/>
            </w:tcBorders>
            <w:shd w:val="clear" w:color="000000" w:fill="FFFFFF"/>
            <w:noWrap/>
            <w:vAlign w:val="bottom"/>
            <w:hideMark/>
          </w:tcPr>
          <w:p w:rsidR="00D978A4" w:rsidRPr="00D52A22" w:rsidRDefault="00D978A4" w:rsidP="00D978A4">
            <w:pPr>
              <w:jc w:val="center"/>
              <w:rPr>
                <w:rFonts w:asciiTheme="minorHAnsi" w:hAnsiTheme="minorHAnsi"/>
                <w:sz w:val="18"/>
              </w:rPr>
            </w:pPr>
            <w:r w:rsidRPr="00D52A22">
              <w:rPr>
                <w:rFonts w:asciiTheme="minorHAnsi" w:hAnsiTheme="minorHAnsi"/>
                <w:sz w:val="18"/>
              </w:rPr>
              <w:t>5.5</w:t>
            </w:r>
          </w:p>
        </w:tc>
      </w:tr>
      <w:tr w:rsidR="00D978A4" w:rsidRPr="00D52A22" w:rsidTr="00D978A4">
        <w:trPr>
          <w:trHeight w:val="238"/>
          <w:jc w:val="center"/>
        </w:trPr>
        <w:tc>
          <w:tcPr>
            <w:tcW w:w="4050" w:type="dxa"/>
            <w:tcBorders>
              <w:top w:val="nil"/>
              <w:left w:val="nil"/>
              <w:bottom w:val="single" w:sz="8" w:space="0" w:color="auto"/>
              <w:right w:val="single" w:sz="8" w:space="0" w:color="FFFFFF"/>
            </w:tcBorders>
            <w:shd w:val="clear" w:color="000000" w:fill="FFFFFF"/>
            <w:noWrap/>
            <w:vAlign w:val="bottom"/>
            <w:hideMark/>
          </w:tcPr>
          <w:p w:rsidR="00D978A4" w:rsidRPr="00D52A22" w:rsidRDefault="00D978A4" w:rsidP="00D978A4">
            <w:pPr>
              <w:rPr>
                <w:rFonts w:asciiTheme="minorHAnsi" w:hAnsiTheme="minorHAnsi"/>
                <w:color w:val="000000"/>
                <w:sz w:val="18"/>
              </w:rPr>
            </w:pPr>
            <w:r w:rsidRPr="00D52A22">
              <w:rPr>
                <w:rFonts w:asciiTheme="minorHAnsi" w:hAnsiTheme="minorHAnsi"/>
                <w:color w:val="000000"/>
                <w:sz w:val="18"/>
              </w:rPr>
              <w:t xml:space="preserve">    Obligacione 15 vjeçare</w:t>
            </w:r>
          </w:p>
        </w:tc>
        <w:tc>
          <w:tcPr>
            <w:tcW w:w="1542"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2.3</w:t>
            </w:r>
          </w:p>
        </w:tc>
        <w:tc>
          <w:tcPr>
            <w:tcW w:w="1611"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0.0</w:t>
            </w:r>
          </w:p>
        </w:tc>
        <w:tc>
          <w:tcPr>
            <w:tcW w:w="1977"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color w:val="000000"/>
                <w:sz w:val="18"/>
              </w:rPr>
            </w:pPr>
            <w:r w:rsidRPr="00D52A22">
              <w:rPr>
                <w:rFonts w:asciiTheme="minorHAnsi" w:hAnsiTheme="minorHAnsi"/>
                <w:color w:val="000000"/>
                <w:sz w:val="18"/>
              </w:rPr>
              <w:t>2.3</w:t>
            </w:r>
          </w:p>
        </w:tc>
      </w:tr>
      <w:tr w:rsidR="00D978A4" w:rsidRPr="00D52A22" w:rsidTr="00D978A4">
        <w:trPr>
          <w:trHeight w:val="238"/>
          <w:jc w:val="center"/>
        </w:trPr>
        <w:tc>
          <w:tcPr>
            <w:tcW w:w="4050" w:type="dxa"/>
            <w:tcBorders>
              <w:top w:val="nil"/>
              <w:left w:val="nil"/>
              <w:bottom w:val="single" w:sz="8" w:space="0" w:color="auto"/>
              <w:right w:val="single" w:sz="8" w:space="0" w:color="FFFFFF"/>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Gjithsej Tituj Shtetërorë</w:t>
            </w:r>
          </w:p>
        </w:tc>
        <w:tc>
          <w:tcPr>
            <w:tcW w:w="1542"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111.0</w:t>
            </w:r>
          </w:p>
        </w:tc>
        <w:tc>
          <w:tcPr>
            <w:tcW w:w="1611"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112.8</w:t>
            </w:r>
          </w:p>
        </w:tc>
        <w:tc>
          <w:tcPr>
            <w:tcW w:w="1977" w:type="dxa"/>
            <w:tcBorders>
              <w:top w:val="nil"/>
              <w:left w:val="nil"/>
              <w:bottom w:val="single" w:sz="8" w:space="0" w:color="auto"/>
              <w:right w:val="nil"/>
            </w:tcBorders>
            <w:shd w:val="clear" w:color="000000" w:fill="FFFFFF"/>
            <w:noWrap/>
            <w:vAlign w:val="bottom"/>
            <w:hideMark/>
          </w:tcPr>
          <w:p w:rsidR="00D978A4" w:rsidRPr="00D52A22" w:rsidRDefault="00D978A4" w:rsidP="00D978A4">
            <w:pPr>
              <w:jc w:val="center"/>
              <w:rPr>
                <w:rFonts w:asciiTheme="minorHAnsi" w:hAnsiTheme="minorHAnsi"/>
                <w:b/>
                <w:bCs/>
                <w:sz w:val="18"/>
              </w:rPr>
            </w:pPr>
            <w:r w:rsidRPr="00D52A22">
              <w:rPr>
                <w:rFonts w:asciiTheme="minorHAnsi" w:hAnsiTheme="minorHAnsi"/>
                <w:b/>
                <w:bCs/>
                <w:sz w:val="18"/>
              </w:rPr>
              <w:t>-1.8</w:t>
            </w:r>
          </w:p>
        </w:tc>
      </w:tr>
    </w:tbl>
    <w:p w:rsidR="00513A75" w:rsidRPr="00EB0002" w:rsidRDefault="00513A75" w:rsidP="00513A75">
      <w:pPr>
        <w:tabs>
          <w:tab w:val="left" w:pos="360"/>
        </w:tabs>
        <w:spacing w:line="276" w:lineRule="auto"/>
        <w:jc w:val="both"/>
        <w:rPr>
          <w:rFonts w:asciiTheme="minorHAnsi" w:hAnsiTheme="minorHAnsi"/>
          <w:i/>
          <w:sz w:val="22"/>
          <w:lang w:val="sq-AL"/>
        </w:rPr>
      </w:pPr>
      <w:r>
        <w:rPr>
          <w:rFonts w:asciiTheme="minorHAnsi" w:hAnsiTheme="minorHAnsi"/>
          <w:i/>
          <w:sz w:val="22"/>
          <w:lang w:val="sq-AL"/>
        </w:rPr>
        <w:tab/>
      </w:r>
      <w:r w:rsidR="00FD3343">
        <w:rPr>
          <w:rFonts w:asciiTheme="minorHAnsi" w:hAnsiTheme="minorHAnsi"/>
          <w:i/>
          <w:sz w:val="22"/>
          <w:lang w:val="sq-AL"/>
        </w:rPr>
        <w:t>Burimi: Ministria e Financave dhe Ekonomisë (2022)</w:t>
      </w:r>
    </w:p>
    <w:p w:rsidR="00513A75" w:rsidRPr="00796E6A" w:rsidRDefault="00513A75" w:rsidP="00513A75">
      <w:pPr>
        <w:tabs>
          <w:tab w:val="left" w:pos="360"/>
        </w:tabs>
        <w:jc w:val="both"/>
        <w:rPr>
          <w:rFonts w:asciiTheme="minorHAnsi" w:hAnsiTheme="minorHAnsi"/>
          <w:sz w:val="12"/>
        </w:rPr>
      </w:pPr>
    </w:p>
    <w:p w:rsidR="00513A75" w:rsidRDefault="00D978A4" w:rsidP="00513A75">
      <w:pPr>
        <w:tabs>
          <w:tab w:val="left" w:pos="360"/>
        </w:tabs>
        <w:spacing w:line="276" w:lineRule="auto"/>
        <w:jc w:val="both"/>
        <w:rPr>
          <w:rFonts w:asciiTheme="minorHAnsi" w:hAnsiTheme="minorHAnsi"/>
          <w:lang w:val="sq-AL"/>
        </w:rPr>
      </w:pPr>
      <w:r w:rsidRPr="00D52A22">
        <w:rPr>
          <w:rFonts w:asciiTheme="minorHAnsi" w:hAnsiTheme="minorHAnsi"/>
          <w:noProof/>
        </w:rPr>
        <w:t>Për sa i përket raportit të huamarrjes së brendshme me të ardhurat tatimore vërehet një rënie e konsiderueshme e këtij raporti krahasuar me të njëjtën periudhë të vitit të mëparshëm, i ndikuar kryesisht nga rritja e nivelit të të ardhurave, në krahasim me të njëjtën periudhe të vitit të kaluar, ku masat e marra kundrejt përhapjes së pandemisë në vend, impaktuan në mënyrë të menjëhershme treguesin e të ardhurave tatimore</w:t>
      </w:r>
      <w:r w:rsidR="00513A75" w:rsidRPr="00EB0002">
        <w:rPr>
          <w:rFonts w:asciiTheme="minorHAnsi" w:hAnsiTheme="minorHAnsi"/>
          <w:lang w:val="sq-AL"/>
        </w:rPr>
        <w:t>.</w:t>
      </w:r>
    </w:p>
    <w:p w:rsidR="00513A75" w:rsidRPr="005625A1" w:rsidRDefault="00513A75" w:rsidP="00513A75">
      <w:pPr>
        <w:tabs>
          <w:tab w:val="left" w:pos="360"/>
        </w:tabs>
        <w:spacing w:line="276" w:lineRule="auto"/>
        <w:jc w:val="both"/>
        <w:rPr>
          <w:rFonts w:asciiTheme="minorHAnsi" w:hAnsiTheme="minorHAnsi"/>
          <w:sz w:val="8"/>
          <w:szCs w:val="8"/>
          <w:lang w:val="sq-AL"/>
        </w:rPr>
      </w:pPr>
    </w:p>
    <w:p w:rsidR="00513A75" w:rsidRPr="005625A1" w:rsidRDefault="00513A75" w:rsidP="00D978A4">
      <w:pPr>
        <w:pStyle w:val="Caption"/>
        <w:keepNext/>
        <w:spacing w:after="0"/>
        <w:jc w:val="both"/>
        <w:rPr>
          <w:rFonts w:asciiTheme="minorHAnsi" w:hAnsiTheme="minorHAnsi"/>
          <w:b w:val="0"/>
          <w:bCs w:val="0"/>
          <w:i/>
          <w:noProof/>
          <w:color w:val="auto"/>
          <w:sz w:val="22"/>
          <w:szCs w:val="24"/>
        </w:rPr>
      </w:pPr>
      <w:bookmarkStart w:id="83" w:name="_Toc107498130"/>
      <w:r w:rsidRPr="005625A1">
        <w:rPr>
          <w:rFonts w:asciiTheme="minorHAnsi" w:hAnsiTheme="minorHAnsi"/>
          <w:b w:val="0"/>
          <w:bCs w:val="0"/>
          <w:i/>
          <w:noProof/>
          <w:color w:val="auto"/>
          <w:sz w:val="22"/>
          <w:szCs w:val="24"/>
        </w:rPr>
        <w:lastRenderedPageBreak/>
        <w:t xml:space="preserve">Grafiku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Grafiku \* ARABIC </w:instrText>
      </w:r>
      <w:r w:rsidRPr="005625A1">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39</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brendshme në raport me të ardhurat tatimore (TM. I 201</w:t>
      </w:r>
      <w:r w:rsidR="00D978A4">
        <w:rPr>
          <w:rFonts w:asciiTheme="minorHAnsi" w:hAnsiTheme="minorHAnsi"/>
          <w:b w:val="0"/>
          <w:bCs w:val="0"/>
          <w:i/>
          <w:noProof/>
          <w:color w:val="auto"/>
          <w:sz w:val="22"/>
          <w:szCs w:val="24"/>
        </w:rPr>
        <w:t>7</w:t>
      </w:r>
      <w:r w:rsidRPr="005625A1">
        <w:rPr>
          <w:rFonts w:asciiTheme="minorHAnsi" w:hAnsiTheme="minorHAnsi"/>
          <w:b w:val="0"/>
          <w:bCs w:val="0"/>
          <w:i/>
          <w:noProof/>
          <w:color w:val="auto"/>
          <w:sz w:val="22"/>
          <w:szCs w:val="24"/>
        </w:rPr>
        <w:t>-TM. I 202</w:t>
      </w:r>
      <w:r w:rsidR="00D978A4">
        <w:rPr>
          <w:rFonts w:asciiTheme="minorHAnsi" w:hAnsiTheme="minorHAnsi"/>
          <w:b w:val="0"/>
          <w:bCs w:val="0"/>
          <w:i/>
          <w:noProof/>
          <w:color w:val="auto"/>
          <w:sz w:val="22"/>
          <w:szCs w:val="24"/>
        </w:rPr>
        <w:t>2</w:t>
      </w:r>
      <w:r w:rsidRPr="005625A1">
        <w:rPr>
          <w:rFonts w:asciiTheme="minorHAnsi" w:hAnsiTheme="minorHAnsi"/>
          <w:b w:val="0"/>
          <w:bCs w:val="0"/>
          <w:i/>
          <w:noProof/>
          <w:color w:val="auto"/>
          <w:sz w:val="22"/>
          <w:szCs w:val="24"/>
        </w:rPr>
        <w:t>)</w:t>
      </w:r>
      <w:bookmarkEnd w:id="83"/>
      <w:r w:rsidRPr="005625A1">
        <w:rPr>
          <w:rFonts w:asciiTheme="minorHAnsi" w:hAnsiTheme="minorHAnsi"/>
          <w:b w:val="0"/>
          <w:bCs w:val="0"/>
          <w:i/>
          <w:noProof/>
          <w:color w:val="auto"/>
          <w:sz w:val="22"/>
          <w:szCs w:val="24"/>
        </w:rPr>
        <w:t xml:space="preserve">  </w:t>
      </w:r>
    </w:p>
    <w:p w:rsidR="00513A75" w:rsidRPr="00F163EE" w:rsidRDefault="00D978A4" w:rsidP="005625A1">
      <w:pPr>
        <w:jc w:val="center"/>
      </w:pPr>
      <w:r w:rsidRPr="00D52A22">
        <w:rPr>
          <w:rFonts w:asciiTheme="minorHAnsi" w:eastAsia="Calibri" w:hAnsiTheme="minorHAnsi"/>
          <w:i/>
          <w:noProof/>
        </w:rPr>
        <w:drawing>
          <wp:inline distT="0" distB="0" distL="0" distR="0" wp14:anchorId="14206FE0" wp14:editId="3B7092D5">
            <wp:extent cx="5960110" cy="1080097"/>
            <wp:effectExtent l="0" t="0" r="2540" b="6350"/>
            <wp:docPr id="40" name="Chart 40">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13A75" w:rsidRPr="00EB0002" w:rsidRDefault="00FD3343"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Burimi: Ministria e Financave dhe Ekonomisë (2022)</w:t>
      </w:r>
    </w:p>
    <w:p w:rsidR="00513A75" w:rsidRPr="006E68A7" w:rsidRDefault="00513A75" w:rsidP="00513A75">
      <w:pPr>
        <w:tabs>
          <w:tab w:val="left" w:pos="360"/>
        </w:tabs>
        <w:spacing w:line="276" w:lineRule="auto"/>
        <w:jc w:val="both"/>
        <w:rPr>
          <w:rFonts w:asciiTheme="minorHAnsi" w:hAnsiTheme="minorHAnsi"/>
          <w:i/>
          <w:u w:val="single"/>
          <w:lang w:val="sq-AL"/>
        </w:rPr>
      </w:pPr>
      <w:bookmarkStart w:id="84" w:name="_Toc485372197"/>
      <w:r w:rsidRPr="006E68A7">
        <w:rPr>
          <w:rFonts w:asciiTheme="minorHAnsi" w:hAnsiTheme="minorHAnsi"/>
          <w:i/>
          <w:u w:val="single"/>
          <w:lang w:val="sq-AL"/>
        </w:rPr>
        <w:t>Huamarrja e Huaj</w:t>
      </w:r>
      <w:bookmarkEnd w:id="84"/>
      <w:r w:rsidRPr="006E68A7">
        <w:rPr>
          <w:rFonts w:asciiTheme="minorHAnsi" w:hAnsiTheme="minorHAnsi"/>
          <w:i/>
          <w:u w:val="single"/>
          <w:lang w:val="sq-AL"/>
        </w:rPr>
        <w:t xml:space="preserve"> </w:t>
      </w:r>
    </w:p>
    <w:p w:rsidR="00513A75" w:rsidRPr="00D978A4" w:rsidRDefault="00D978A4" w:rsidP="00D978A4">
      <w:pPr>
        <w:ind w:right="-46"/>
        <w:jc w:val="both"/>
        <w:rPr>
          <w:rFonts w:asciiTheme="minorHAnsi" w:eastAsia="Calibri" w:hAnsiTheme="minorHAnsi"/>
          <w:noProof/>
        </w:rPr>
      </w:pPr>
      <w:r w:rsidRPr="00D52A22">
        <w:rPr>
          <w:rFonts w:asciiTheme="minorHAnsi" w:eastAsia="Calibri" w:hAnsiTheme="minorHAnsi"/>
          <w:noProof/>
        </w:rPr>
        <w:t xml:space="preserve">Gjatë periudhës janar-mars të vitit 2022, huamarrja e huaj u realizua në nivelin 8.6 miliard Lekë. Krahasuar me të njëjtën periudhë të vitit të kaluar, huamarrja e huaj është ulur me rreth 15.5 miliard Lekë, duke qenë se për vitin 2022 disbursimet për mbështetje buxhetore planifikohen më të ulëta se në vitin 2021. Mbi 50% e huamarrjes së huaj bruto </w:t>
      </w:r>
      <w:r w:rsidR="009647C4">
        <w:rPr>
          <w:rFonts w:asciiTheme="minorHAnsi" w:eastAsia="Calibri" w:hAnsiTheme="minorHAnsi"/>
          <w:noProof/>
        </w:rPr>
        <w:t>ë</w:t>
      </w:r>
      <w:r>
        <w:rPr>
          <w:rFonts w:asciiTheme="minorHAnsi" w:eastAsia="Calibri" w:hAnsiTheme="minorHAnsi"/>
          <w:noProof/>
        </w:rPr>
        <w:t>sht</w:t>
      </w:r>
      <w:r w:rsidR="009647C4">
        <w:rPr>
          <w:rFonts w:asciiTheme="minorHAnsi" w:eastAsia="Calibri" w:hAnsiTheme="minorHAnsi"/>
          <w:noProof/>
        </w:rPr>
        <w:t>ë</w:t>
      </w:r>
      <w:r>
        <w:rPr>
          <w:rFonts w:asciiTheme="minorHAnsi" w:eastAsia="Calibri" w:hAnsiTheme="minorHAnsi"/>
          <w:noProof/>
        </w:rPr>
        <w:t xml:space="preserve"> r</w:t>
      </w:r>
      <w:r w:rsidRPr="00D52A22">
        <w:rPr>
          <w:rFonts w:asciiTheme="minorHAnsi" w:eastAsia="Calibri" w:hAnsiTheme="minorHAnsi"/>
          <w:noProof/>
        </w:rPr>
        <w:t>ealizuar nga disbursimi i huave në formën e mbështetjeve buxhetore, dhe pjesa tjetër për projekte, kryesisht nga projekte të transportit, ndjekur nga sektori i infrastrukturës urbane dhe ai i ujësjellës kanalizimeve</w:t>
      </w:r>
      <w:r w:rsidR="00513A75" w:rsidRPr="00EB0002">
        <w:rPr>
          <w:rFonts w:asciiTheme="minorHAnsi" w:hAnsiTheme="minorHAnsi"/>
        </w:rPr>
        <w:t>.</w:t>
      </w:r>
    </w:p>
    <w:p w:rsidR="00513A75" w:rsidRPr="00796E6A" w:rsidRDefault="00513A75" w:rsidP="00513A75">
      <w:pPr>
        <w:pStyle w:val="Caption"/>
        <w:spacing w:after="0"/>
        <w:rPr>
          <w:rFonts w:asciiTheme="minorHAnsi" w:hAnsiTheme="minorHAnsi"/>
          <w:b w:val="0"/>
          <w:bCs w:val="0"/>
          <w:i/>
          <w:noProof/>
          <w:color w:val="auto"/>
          <w:sz w:val="8"/>
          <w:szCs w:val="24"/>
        </w:rPr>
      </w:pPr>
    </w:p>
    <w:p w:rsidR="00513A75" w:rsidRDefault="00513A75" w:rsidP="00513A75">
      <w:pPr>
        <w:pStyle w:val="Caption"/>
        <w:spacing w:after="0"/>
        <w:rPr>
          <w:rFonts w:asciiTheme="minorHAnsi" w:hAnsiTheme="minorHAnsi"/>
          <w:b w:val="0"/>
          <w:bCs w:val="0"/>
          <w:i/>
          <w:noProof/>
          <w:color w:val="auto"/>
          <w:sz w:val="24"/>
          <w:szCs w:val="24"/>
        </w:rPr>
      </w:pPr>
      <w:bookmarkStart w:id="85" w:name="_Toc107496748"/>
      <w:r w:rsidRPr="005625A1">
        <w:rPr>
          <w:rFonts w:asciiTheme="minorHAnsi" w:hAnsiTheme="minorHAnsi"/>
          <w:b w:val="0"/>
          <w:bCs w:val="0"/>
          <w:i/>
          <w:noProof/>
          <w:color w:val="auto"/>
          <w:sz w:val="22"/>
          <w:szCs w:val="24"/>
        </w:rPr>
        <w:t xml:space="preserve">Tabela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Tabela \* ARABIC </w:instrText>
      </w:r>
      <w:r w:rsidRPr="005625A1">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12</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huaj në terma bruto (TM. I 202</w:t>
      </w:r>
      <w:r w:rsidR="00D978A4">
        <w:rPr>
          <w:rFonts w:asciiTheme="minorHAnsi" w:hAnsiTheme="minorHAnsi"/>
          <w:b w:val="0"/>
          <w:bCs w:val="0"/>
          <w:i/>
          <w:noProof/>
          <w:color w:val="auto"/>
          <w:sz w:val="22"/>
          <w:szCs w:val="24"/>
        </w:rPr>
        <w:t>1</w:t>
      </w:r>
      <w:r w:rsidRPr="005625A1">
        <w:rPr>
          <w:rFonts w:asciiTheme="minorHAnsi" w:hAnsiTheme="minorHAnsi"/>
          <w:b w:val="0"/>
          <w:bCs w:val="0"/>
          <w:i/>
          <w:noProof/>
          <w:color w:val="auto"/>
          <w:sz w:val="22"/>
          <w:szCs w:val="24"/>
        </w:rPr>
        <w:t>-TM. I 202</w:t>
      </w:r>
      <w:r w:rsidR="00D978A4">
        <w:rPr>
          <w:rFonts w:asciiTheme="minorHAnsi" w:hAnsiTheme="minorHAnsi"/>
          <w:b w:val="0"/>
          <w:bCs w:val="0"/>
          <w:i/>
          <w:noProof/>
          <w:color w:val="auto"/>
          <w:sz w:val="22"/>
          <w:szCs w:val="24"/>
        </w:rPr>
        <w:t>2</w:t>
      </w:r>
      <w:r w:rsidRPr="005625A1">
        <w:rPr>
          <w:rFonts w:asciiTheme="minorHAnsi" w:hAnsiTheme="minorHAnsi"/>
          <w:b w:val="0"/>
          <w:bCs w:val="0"/>
          <w:i/>
          <w:noProof/>
          <w:color w:val="auto"/>
          <w:sz w:val="22"/>
          <w:szCs w:val="24"/>
        </w:rPr>
        <w:t>)</w:t>
      </w:r>
      <w:bookmarkEnd w:id="85"/>
      <w:r w:rsidRPr="00721DE4">
        <w:rPr>
          <w:rFonts w:asciiTheme="minorHAnsi" w:hAnsiTheme="minorHAnsi"/>
          <w:b w:val="0"/>
          <w:bCs w:val="0"/>
          <w:i/>
          <w:noProof/>
          <w:color w:val="auto"/>
          <w:sz w:val="24"/>
          <w:szCs w:val="24"/>
        </w:rPr>
        <w:t xml:space="preserve">  </w:t>
      </w:r>
    </w:p>
    <w:tbl>
      <w:tblPr>
        <w:tblW w:w="9355" w:type="dxa"/>
        <w:jc w:val="center"/>
        <w:tblLook w:val="04A0" w:firstRow="1" w:lastRow="0" w:firstColumn="1" w:lastColumn="0" w:noHBand="0" w:noVBand="1"/>
      </w:tblPr>
      <w:tblGrid>
        <w:gridCol w:w="3403"/>
        <w:gridCol w:w="1476"/>
        <w:gridCol w:w="1421"/>
        <w:gridCol w:w="1531"/>
        <w:gridCol w:w="1524"/>
      </w:tblGrid>
      <w:tr w:rsidR="00D978A4" w:rsidRPr="00D978A4" w:rsidTr="00D978A4">
        <w:trPr>
          <w:trHeight w:val="249"/>
          <w:jc w:val="center"/>
        </w:trPr>
        <w:tc>
          <w:tcPr>
            <w:tcW w:w="3403" w:type="dxa"/>
            <w:vMerge w:val="restart"/>
            <w:tcBorders>
              <w:top w:val="nil"/>
              <w:left w:val="nil"/>
              <w:bottom w:val="nil"/>
              <w:right w:val="single" w:sz="8" w:space="0" w:color="FFFFFF"/>
            </w:tcBorders>
            <w:shd w:val="clear" w:color="000000" w:fill="4F81BD"/>
            <w:noWrap/>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Huajamarrja e Huaj Bruto</w:t>
            </w:r>
          </w:p>
        </w:tc>
        <w:tc>
          <w:tcPr>
            <w:tcW w:w="2897" w:type="dxa"/>
            <w:gridSpan w:val="2"/>
            <w:tcBorders>
              <w:top w:val="nil"/>
              <w:left w:val="nil"/>
              <w:bottom w:val="single" w:sz="8" w:space="0" w:color="FFFFFF"/>
              <w:right w:val="nil"/>
            </w:tcBorders>
            <w:shd w:val="clear" w:color="000000" w:fill="4F81BD"/>
            <w:noWrap/>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TM1 2021</w:t>
            </w:r>
          </w:p>
        </w:tc>
        <w:tc>
          <w:tcPr>
            <w:tcW w:w="3055" w:type="dxa"/>
            <w:gridSpan w:val="2"/>
            <w:tcBorders>
              <w:top w:val="nil"/>
              <w:left w:val="single" w:sz="8" w:space="0" w:color="FFFFFF"/>
              <w:bottom w:val="single" w:sz="8" w:space="0" w:color="FFFFFF"/>
              <w:right w:val="nil"/>
            </w:tcBorders>
            <w:shd w:val="clear" w:color="000000" w:fill="4F81BD"/>
            <w:noWrap/>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TM1 2022</w:t>
            </w:r>
          </w:p>
        </w:tc>
      </w:tr>
      <w:tr w:rsidR="00D978A4" w:rsidRPr="00D978A4" w:rsidTr="00D978A4">
        <w:trPr>
          <w:trHeight w:val="405"/>
          <w:jc w:val="center"/>
        </w:trPr>
        <w:tc>
          <w:tcPr>
            <w:tcW w:w="3403" w:type="dxa"/>
            <w:vMerge/>
            <w:tcBorders>
              <w:top w:val="nil"/>
              <w:left w:val="nil"/>
              <w:bottom w:val="nil"/>
              <w:right w:val="single" w:sz="8" w:space="0" w:color="FFFFFF"/>
            </w:tcBorders>
            <w:vAlign w:val="center"/>
            <w:hideMark/>
          </w:tcPr>
          <w:p w:rsidR="00D978A4" w:rsidRPr="00D978A4" w:rsidRDefault="00D978A4" w:rsidP="00D978A4">
            <w:pPr>
              <w:rPr>
                <w:rFonts w:asciiTheme="minorHAnsi" w:hAnsiTheme="minorHAnsi"/>
                <w:b/>
                <w:bCs/>
                <w:color w:val="FFFFFF"/>
                <w:sz w:val="18"/>
                <w:szCs w:val="20"/>
              </w:rPr>
            </w:pPr>
          </w:p>
        </w:tc>
        <w:tc>
          <w:tcPr>
            <w:tcW w:w="1476" w:type="dxa"/>
            <w:tcBorders>
              <w:top w:val="nil"/>
              <w:left w:val="nil"/>
              <w:bottom w:val="nil"/>
              <w:right w:val="nil"/>
            </w:tcBorders>
            <w:shd w:val="clear" w:color="000000" w:fill="4F81BD"/>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 xml:space="preserve">Vlera                                          </w:t>
            </w:r>
            <w:r w:rsidRPr="00D978A4">
              <w:rPr>
                <w:rFonts w:asciiTheme="minorHAnsi" w:hAnsiTheme="minorHAnsi"/>
                <w:i/>
                <w:iCs/>
                <w:color w:val="FFFFFF"/>
                <w:sz w:val="18"/>
                <w:szCs w:val="20"/>
              </w:rPr>
              <w:t>(në mld Lek)</w:t>
            </w:r>
          </w:p>
        </w:tc>
        <w:tc>
          <w:tcPr>
            <w:tcW w:w="1421" w:type="dxa"/>
            <w:tcBorders>
              <w:top w:val="nil"/>
              <w:left w:val="single" w:sz="8" w:space="0" w:color="FFFFFF"/>
              <w:bottom w:val="nil"/>
              <w:right w:val="single" w:sz="8" w:space="0" w:color="FFFFFF"/>
            </w:tcBorders>
            <w:shd w:val="clear" w:color="000000" w:fill="4F81BD"/>
            <w:noWrap/>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%/Total</w:t>
            </w:r>
          </w:p>
        </w:tc>
        <w:tc>
          <w:tcPr>
            <w:tcW w:w="1531" w:type="dxa"/>
            <w:tcBorders>
              <w:top w:val="nil"/>
              <w:left w:val="nil"/>
              <w:bottom w:val="nil"/>
              <w:right w:val="nil"/>
            </w:tcBorders>
            <w:shd w:val="clear" w:color="000000" w:fill="4F81BD"/>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 xml:space="preserve">Vlera                                          </w:t>
            </w:r>
            <w:r w:rsidRPr="00D978A4">
              <w:rPr>
                <w:rFonts w:asciiTheme="minorHAnsi" w:hAnsiTheme="minorHAnsi"/>
                <w:i/>
                <w:iCs/>
                <w:color w:val="FFFFFF"/>
                <w:sz w:val="18"/>
                <w:szCs w:val="20"/>
              </w:rPr>
              <w:t>(në mld Lek)</w:t>
            </w:r>
          </w:p>
        </w:tc>
        <w:tc>
          <w:tcPr>
            <w:tcW w:w="1523" w:type="dxa"/>
            <w:tcBorders>
              <w:top w:val="nil"/>
              <w:left w:val="single" w:sz="8" w:space="0" w:color="FFFFFF"/>
              <w:bottom w:val="nil"/>
              <w:right w:val="single" w:sz="8" w:space="0" w:color="FFFFFF"/>
            </w:tcBorders>
            <w:shd w:val="clear" w:color="000000" w:fill="4F81BD"/>
            <w:noWrap/>
            <w:vAlign w:val="center"/>
            <w:hideMark/>
          </w:tcPr>
          <w:p w:rsidR="00D978A4" w:rsidRPr="00D978A4" w:rsidRDefault="00D978A4" w:rsidP="00D978A4">
            <w:pPr>
              <w:jc w:val="center"/>
              <w:rPr>
                <w:rFonts w:asciiTheme="minorHAnsi" w:hAnsiTheme="minorHAnsi"/>
                <w:b/>
                <w:bCs/>
                <w:color w:val="FFFFFF"/>
                <w:sz w:val="18"/>
                <w:szCs w:val="20"/>
              </w:rPr>
            </w:pPr>
            <w:r w:rsidRPr="00D978A4">
              <w:rPr>
                <w:rFonts w:asciiTheme="minorHAnsi" w:hAnsiTheme="minorHAnsi"/>
                <w:b/>
                <w:bCs/>
                <w:color w:val="FFFFFF"/>
                <w:sz w:val="18"/>
                <w:szCs w:val="20"/>
              </w:rPr>
              <w:t>%/Total</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b/>
                <w:bCs/>
                <w:color w:val="000000"/>
                <w:sz w:val="18"/>
                <w:szCs w:val="20"/>
              </w:rPr>
            </w:pPr>
            <w:r w:rsidRPr="00D978A4">
              <w:rPr>
                <w:rFonts w:asciiTheme="minorHAnsi" w:hAnsiTheme="minorHAnsi"/>
                <w:b/>
                <w:bCs/>
                <w:color w:val="000000"/>
                <w:sz w:val="18"/>
                <w:szCs w:val="20"/>
              </w:rPr>
              <w:t>Kredi për financim projektesh</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4.7</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19.4%</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3.4</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39.9%</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color w:val="000000"/>
                <w:sz w:val="18"/>
                <w:szCs w:val="20"/>
              </w:rPr>
            </w:pPr>
            <w:r w:rsidRPr="00D978A4">
              <w:rPr>
                <w:rFonts w:asciiTheme="minorHAnsi" w:hAnsiTheme="minorHAnsi"/>
                <w:color w:val="000000"/>
                <w:sz w:val="18"/>
                <w:szCs w:val="20"/>
              </w:rPr>
              <w:t xml:space="preserve">        Energjia</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0.6</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2.6%</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0.1</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1.0%</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color w:val="000000"/>
                <w:sz w:val="18"/>
                <w:szCs w:val="20"/>
              </w:rPr>
            </w:pPr>
            <w:r w:rsidRPr="00D978A4">
              <w:rPr>
                <w:rFonts w:asciiTheme="minorHAnsi" w:hAnsiTheme="minorHAnsi"/>
                <w:color w:val="000000"/>
                <w:sz w:val="18"/>
                <w:szCs w:val="20"/>
              </w:rPr>
              <w:t xml:space="preserve">        Transporti</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1.8</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7.3%</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2.2</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25.9%</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color w:val="000000"/>
                <w:sz w:val="18"/>
                <w:szCs w:val="20"/>
              </w:rPr>
            </w:pPr>
            <w:r w:rsidRPr="00D978A4">
              <w:rPr>
                <w:rFonts w:asciiTheme="minorHAnsi" w:hAnsiTheme="minorHAnsi"/>
                <w:color w:val="000000"/>
                <w:sz w:val="18"/>
                <w:szCs w:val="20"/>
              </w:rPr>
              <w:t xml:space="preserve">        Ujësjellës Kanalizime</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1.4</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5.9%</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0.4</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4.5%</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color w:val="000000"/>
                <w:sz w:val="18"/>
                <w:szCs w:val="20"/>
              </w:rPr>
            </w:pPr>
            <w:r w:rsidRPr="00D978A4">
              <w:rPr>
                <w:rFonts w:asciiTheme="minorHAnsi" w:hAnsiTheme="minorHAnsi"/>
                <w:color w:val="000000"/>
                <w:sz w:val="18"/>
                <w:szCs w:val="20"/>
              </w:rPr>
              <w:t xml:space="preserve">        Infrastruktura Urbane</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0.6</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2.6%</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0.0</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0.0%</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color w:val="000000"/>
                <w:sz w:val="18"/>
                <w:szCs w:val="20"/>
              </w:rPr>
            </w:pPr>
            <w:r w:rsidRPr="00D978A4">
              <w:rPr>
                <w:rFonts w:asciiTheme="minorHAnsi" w:hAnsiTheme="minorHAnsi"/>
                <w:color w:val="000000"/>
                <w:sz w:val="18"/>
                <w:szCs w:val="20"/>
              </w:rPr>
              <w:t xml:space="preserve">        Të Tjera</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0.3</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1.1%</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0.7</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sz w:val="18"/>
                <w:szCs w:val="20"/>
              </w:rPr>
            </w:pPr>
            <w:r w:rsidRPr="00D978A4">
              <w:rPr>
                <w:rFonts w:asciiTheme="minorHAnsi" w:hAnsiTheme="minorHAnsi"/>
                <w:sz w:val="18"/>
                <w:szCs w:val="20"/>
              </w:rPr>
              <w:t>8.5%</w:t>
            </w:r>
          </w:p>
        </w:tc>
      </w:tr>
      <w:tr w:rsidR="00D978A4" w:rsidRPr="00D978A4" w:rsidTr="00D978A4">
        <w:trPr>
          <w:trHeight w:val="237"/>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b/>
                <w:bCs/>
                <w:color w:val="000000"/>
                <w:sz w:val="18"/>
                <w:szCs w:val="20"/>
              </w:rPr>
            </w:pPr>
            <w:r w:rsidRPr="00D978A4">
              <w:rPr>
                <w:rFonts w:asciiTheme="minorHAnsi" w:hAnsiTheme="minorHAnsi"/>
                <w:b/>
                <w:bCs/>
                <w:color w:val="000000"/>
                <w:sz w:val="18"/>
                <w:szCs w:val="20"/>
              </w:rPr>
              <w:t>Mbështetje Buxhetore</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19.4</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80.6%</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5.2</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60.1%</w:t>
            </w:r>
          </w:p>
        </w:tc>
      </w:tr>
      <w:tr w:rsidR="00D978A4" w:rsidRPr="00D978A4" w:rsidTr="00D978A4">
        <w:trPr>
          <w:trHeight w:val="249"/>
          <w:jc w:val="center"/>
        </w:trPr>
        <w:tc>
          <w:tcPr>
            <w:tcW w:w="3403" w:type="dxa"/>
            <w:tcBorders>
              <w:top w:val="nil"/>
              <w:left w:val="nil"/>
              <w:bottom w:val="nil"/>
              <w:right w:val="nil"/>
            </w:tcBorders>
            <w:shd w:val="clear" w:color="000000" w:fill="FFFFFF"/>
            <w:noWrap/>
            <w:vAlign w:val="center"/>
            <w:hideMark/>
          </w:tcPr>
          <w:p w:rsidR="00D978A4" w:rsidRPr="00D978A4" w:rsidRDefault="00D978A4" w:rsidP="00D978A4">
            <w:pPr>
              <w:rPr>
                <w:rFonts w:asciiTheme="minorHAnsi" w:hAnsiTheme="minorHAnsi"/>
                <w:b/>
                <w:bCs/>
                <w:color w:val="000000"/>
                <w:sz w:val="18"/>
                <w:szCs w:val="20"/>
              </w:rPr>
            </w:pPr>
            <w:r w:rsidRPr="00D978A4">
              <w:rPr>
                <w:rFonts w:asciiTheme="minorHAnsi" w:hAnsiTheme="minorHAnsi"/>
                <w:b/>
                <w:bCs/>
                <w:color w:val="000000"/>
                <w:sz w:val="18"/>
                <w:szCs w:val="20"/>
              </w:rPr>
              <w:t>Eurobond</w:t>
            </w:r>
          </w:p>
        </w:tc>
        <w:tc>
          <w:tcPr>
            <w:tcW w:w="1476"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0.0</w:t>
            </w:r>
          </w:p>
        </w:tc>
        <w:tc>
          <w:tcPr>
            <w:tcW w:w="142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0.0%</w:t>
            </w:r>
          </w:p>
        </w:tc>
        <w:tc>
          <w:tcPr>
            <w:tcW w:w="1531"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0.0</w:t>
            </w:r>
          </w:p>
        </w:tc>
        <w:tc>
          <w:tcPr>
            <w:tcW w:w="1523" w:type="dxa"/>
            <w:tcBorders>
              <w:top w:val="nil"/>
              <w:left w:val="nil"/>
              <w:bottom w:val="nil"/>
              <w:right w:val="nil"/>
            </w:tcBorders>
            <w:shd w:val="clear" w:color="000000" w:fill="FFFFFF"/>
            <w:noWrap/>
            <w:vAlign w:val="bottom"/>
            <w:hideMark/>
          </w:tcPr>
          <w:p w:rsidR="00D978A4" w:rsidRPr="00D978A4" w:rsidRDefault="00D978A4" w:rsidP="00D978A4">
            <w:pPr>
              <w:jc w:val="right"/>
              <w:rPr>
                <w:rFonts w:asciiTheme="minorHAnsi" w:hAnsiTheme="minorHAnsi"/>
                <w:b/>
                <w:bCs/>
                <w:sz w:val="18"/>
                <w:szCs w:val="20"/>
              </w:rPr>
            </w:pPr>
            <w:r w:rsidRPr="00D978A4">
              <w:rPr>
                <w:rFonts w:asciiTheme="minorHAnsi" w:hAnsiTheme="minorHAnsi"/>
                <w:b/>
                <w:bCs/>
                <w:sz w:val="18"/>
                <w:szCs w:val="20"/>
              </w:rPr>
              <w:t>0.0%</w:t>
            </w:r>
          </w:p>
        </w:tc>
      </w:tr>
      <w:tr w:rsidR="00D978A4" w:rsidRPr="00D978A4" w:rsidTr="00D978A4">
        <w:trPr>
          <w:trHeight w:val="249"/>
          <w:jc w:val="center"/>
        </w:trPr>
        <w:tc>
          <w:tcPr>
            <w:tcW w:w="3403" w:type="dxa"/>
            <w:tcBorders>
              <w:top w:val="single" w:sz="8" w:space="0" w:color="auto"/>
              <w:left w:val="nil"/>
              <w:bottom w:val="single" w:sz="8" w:space="0" w:color="auto"/>
              <w:right w:val="nil"/>
            </w:tcBorders>
            <w:shd w:val="clear" w:color="000000" w:fill="FFFFFF"/>
            <w:noWrap/>
            <w:vAlign w:val="center"/>
            <w:hideMark/>
          </w:tcPr>
          <w:p w:rsidR="00D978A4" w:rsidRPr="00D978A4" w:rsidRDefault="00D978A4" w:rsidP="00D978A4">
            <w:pPr>
              <w:rPr>
                <w:rFonts w:asciiTheme="minorHAnsi" w:hAnsiTheme="minorHAnsi"/>
                <w:b/>
                <w:bCs/>
                <w:color w:val="000000"/>
                <w:sz w:val="18"/>
                <w:szCs w:val="20"/>
              </w:rPr>
            </w:pPr>
            <w:r w:rsidRPr="00D978A4">
              <w:rPr>
                <w:rFonts w:asciiTheme="minorHAnsi" w:hAnsiTheme="minorHAnsi"/>
                <w:b/>
                <w:bCs/>
                <w:color w:val="000000"/>
                <w:sz w:val="18"/>
                <w:szCs w:val="20"/>
              </w:rPr>
              <w:t>Total Huamarrja e Huaj</w:t>
            </w:r>
          </w:p>
        </w:tc>
        <w:tc>
          <w:tcPr>
            <w:tcW w:w="1476" w:type="dxa"/>
            <w:tcBorders>
              <w:top w:val="single" w:sz="8" w:space="0" w:color="auto"/>
              <w:left w:val="nil"/>
              <w:bottom w:val="single" w:sz="8" w:space="0" w:color="auto"/>
              <w:right w:val="nil"/>
            </w:tcBorders>
            <w:shd w:val="clear" w:color="000000" w:fill="FFFFFF"/>
            <w:noWrap/>
            <w:vAlign w:val="bottom"/>
            <w:hideMark/>
          </w:tcPr>
          <w:p w:rsidR="00D978A4" w:rsidRPr="00D978A4" w:rsidRDefault="00D978A4" w:rsidP="00D978A4">
            <w:pPr>
              <w:jc w:val="right"/>
              <w:rPr>
                <w:rFonts w:asciiTheme="minorHAnsi" w:hAnsiTheme="minorHAnsi"/>
                <w:b/>
                <w:bCs/>
                <w:color w:val="000000"/>
                <w:sz w:val="18"/>
                <w:szCs w:val="20"/>
              </w:rPr>
            </w:pPr>
            <w:r w:rsidRPr="00D978A4">
              <w:rPr>
                <w:rFonts w:asciiTheme="minorHAnsi" w:hAnsiTheme="minorHAnsi"/>
                <w:b/>
                <w:bCs/>
                <w:color w:val="000000"/>
                <w:sz w:val="18"/>
                <w:szCs w:val="20"/>
              </w:rPr>
              <w:t>24.1</w:t>
            </w:r>
          </w:p>
        </w:tc>
        <w:tc>
          <w:tcPr>
            <w:tcW w:w="1421" w:type="dxa"/>
            <w:tcBorders>
              <w:top w:val="single" w:sz="8" w:space="0" w:color="auto"/>
              <w:left w:val="nil"/>
              <w:bottom w:val="single" w:sz="8" w:space="0" w:color="auto"/>
              <w:right w:val="nil"/>
            </w:tcBorders>
            <w:shd w:val="clear" w:color="000000" w:fill="FFFFFF"/>
            <w:noWrap/>
            <w:vAlign w:val="bottom"/>
            <w:hideMark/>
          </w:tcPr>
          <w:p w:rsidR="00D978A4" w:rsidRPr="00D978A4" w:rsidRDefault="00D978A4" w:rsidP="00D978A4">
            <w:pPr>
              <w:jc w:val="right"/>
              <w:rPr>
                <w:rFonts w:asciiTheme="minorHAnsi" w:hAnsiTheme="minorHAnsi"/>
                <w:b/>
                <w:bCs/>
                <w:color w:val="000000"/>
                <w:sz w:val="18"/>
                <w:szCs w:val="20"/>
              </w:rPr>
            </w:pPr>
            <w:r w:rsidRPr="00D978A4">
              <w:rPr>
                <w:rFonts w:asciiTheme="minorHAnsi" w:hAnsiTheme="minorHAnsi"/>
                <w:b/>
                <w:bCs/>
                <w:color w:val="000000"/>
                <w:sz w:val="18"/>
                <w:szCs w:val="20"/>
              </w:rPr>
              <w:t>100.0%</w:t>
            </w:r>
          </w:p>
        </w:tc>
        <w:tc>
          <w:tcPr>
            <w:tcW w:w="1531" w:type="dxa"/>
            <w:tcBorders>
              <w:top w:val="single" w:sz="8" w:space="0" w:color="auto"/>
              <w:left w:val="nil"/>
              <w:bottom w:val="single" w:sz="8" w:space="0" w:color="auto"/>
              <w:right w:val="nil"/>
            </w:tcBorders>
            <w:shd w:val="clear" w:color="000000" w:fill="FFFFFF"/>
            <w:noWrap/>
            <w:vAlign w:val="bottom"/>
            <w:hideMark/>
          </w:tcPr>
          <w:p w:rsidR="00D978A4" w:rsidRPr="00D978A4" w:rsidRDefault="00D978A4" w:rsidP="00D978A4">
            <w:pPr>
              <w:jc w:val="right"/>
              <w:rPr>
                <w:rFonts w:asciiTheme="minorHAnsi" w:hAnsiTheme="minorHAnsi"/>
                <w:b/>
                <w:bCs/>
                <w:color w:val="000000"/>
                <w:sz w:val="18"/>
                <w:szCs w:val="20"/>
              </w:rPr>
            </w:pPr>
            <w:r w:rsidRPr="00D978A4">
              <w:rPr>
                <w:rFonts w:asciiTheme="minorHAnsi" w:hAnsiTheme="minorHAnsi"/>
                <w:b/>
                <w:bCs/>
                <w:color w:val="000000"/>
                <w:sz w:val="18"/>
                <w:szCs w:val="20"/>
              </w:rPr>
              <w:t>8.6</w:t>
            </w:r>
          </w:p>
        </w:tc>
        <w:tc>
          <w:tcPr>
            <w:tcW w:w="1523" w:type="dxa"/>
            <w:tcBorders>
              <w:top w:val="single" w:sz="8" w:space="0" w:color="auto"/>
              <w:left w:val="nil"/>
              <w:bottom w:val="single" w:sz="8" w:space="0" w:color="auto"/>
              <w:right w:val="nil"/>
            </w:tcBorders>
            <w:shd w:val="clear" w:color="000000" w:fill="FFFFFF"/>
            <w:noWrap/>
            <w:vAlign w:val="bottom"/>
            <w:hideMark/>
          </w:tcPr>
          <w:p w:rsidR="00D978A4" w:rsidRPr="00D978A4" w:rsidRDefault="00D978A4" w:rsidP="00D978A4">
            <w:pPr>
              <w:jc w:val="right"/>
              <w:rPr>
                <w:rFonts w:asciiTheme="minorHAnsi" w:hAnsiTheme="minorHAnsi"/>
                <w:b/>
                <w:bCs/>
                <w:color w:val="000000"/>
                <w:sz w:val="18"/>
                <w:szCs w:val="20"/>
              </w:rPr>
            </w:pPr>
            <w:r w:rsidRPr="00D978A4">
              <w:rPr>
                <w:rFonts w:asciiTheme="minorHAnsi" w:hAnsiTheme="minorHAnsi"/>
                <w:b/>
                <w:bCs/>
                <w:color w:val="000000"/>
                <w:sz w:val="18"/>
                <w:szCs w:val="20"/>
              </w:rPr>
              <w:t>100.0%</w:t>
            </w:r>
          </w:p>
        </w:tc>
      </w:tr>
    </w:tbl>
    <w:p w:rsidR="00513A75" w:rsidRDefault="00FD3343" w:rsidP="00D978A4">
      <w:pPr>
        <w:tabs>
          <w:tab w:val="left" w:pos="360"/>
        </w:tabs>
        <w:jc w:val="both"/>
        <w:rPr>
          <w:rFonts w:asciiTheme="minorHAnsi" w:hAnsiTheme="minorHAnsi"/>
          <w:i/>
          <w:sz w:val="20"/>
          <w:lang w:val="sq-AL"/>
        </w:rPr>
      </w:pPr>
      <w:r>
        <w:rPr>
          <w:rFonts w:asciiTheme="minorHAnsi" w:hAnsiTheme="minorHAnsi"/>
          <w:i/>
          <w:sz w:val="20"/>
          <w:lang w:val="sq-AL"/>
        </w:rPr>
        <w:t>Burimi: Ministria e Financave dhe Ekonomisë (2022)</w:t>
      </w:r>
    </w:p>
    <w:p w:rsidR="00513A75" w:rsidRPr="006E68A7" w:rsidRDefault="00513A75" w:rsidP="00513A75">
      <w:pPr>
        <w:tabs>
          <w:tab w:val="left" w:pos="360"/>
        </w:tabs>
        <w:spacing w:line="276" w:lineRule="auto"/>
        <w:jc w:val="both"/>
        <w:rPr>
          <w:rFonts w:asciiTheme="minorHAnsi" w:hAnsiTheme="minorHAnsi"/>
          <w:i/>
          <w:u w:val="single"/>
          <w:lang w:val="sq-AL"/>
        </w:rPr>
      </w:pPr>
      <w:bookmarkStart w:id="86" w:name="_Toc485372198"/>
      <w:r w:rsidRPr="006E68A7">
        <w:rPr>
          <w:rFonts w:asciiTheme="minorHAnsi" w:hAnsiTheme="minorHAnsi"/>
          <w:i/>
          <w:u w:val="single"/>
          <w:lang w:val="sq-AL"/>
        </w:rPr>
        <w:t xml:space="preserve">Kostot </w:t>
      </w:r>
      <w:bookmarkEnd w:id="86"/>
    </w:p>
    <w:p w:rsidR="00513A75" w:rsidRPr="00EB3166" w:rsidRDefault="00182421" w:rsidP="00513A75">
      <w:pPr>
        <w:tabs>
          <w:tab w:val="left" w:pos="360"/>
        </w:tabs>
        <w:spacing w:line="276" w:lineRule="auto"/>
        <w:jc w:val="both"/>
        <w:rPr>
          <w:rFonts w:asciiTheme="minorHAnsi" w:hAnsiTheme="minorHAnsi"/>
          <w:lang w:val="sq-AL"/>
        </w:rPr>
      </w:pPr>
      <w:r w:rsidRPr="00D52A22">
        <w:rPr>
          <w:rFonts w:asciiTheme="minorHAnsi" w:hAnsiTheme="minorHAnsi"/>
          <w:noProof/>
          <w:color w:val="000000"/>
        </w:rPr>
        <w:t xml:space="preserve">Kosto për njësi e portofolit të borxhit shtetëror ka vazhduar të ulet edhe përgjatë tremujorit të parë të vitit 2022, kryesisht si rezultat i normave të interesit në nivele ende të ulëta, shoqëruar me rifinancimin e borxhit që maturohet </w:t>
      </w:r>
      <w:r w:rsidRPr="00D52A22">
        <w:rPr>
          <w:rFonts w:asciiTheme="minorHAnsi" w:hAnsiTheme="minorHAnsi"/>
          <w:i/>
          <w:noProof/>
          <w:color w:val="000000"/>
        </w:rPr>
        <w:t>(kryesisht atij afatgjatë)</w:t>
      </w:r>
      <w:r w:rsidRPr="00D52A22">
        <w:rPr>
          <w:rFonts w:asciiTheme="minorHAnsi" w:hAnsiTheme="minorHAnsi"/>
          <w:noProof/>
          <w:color w:val="000000"/>
        </w:rPr>
        <w:t xml:space="preserve"> me borxh më pak të kushtueshëm</w:t>
      </w:r>
      <w:r w:rsidR="00513A75" w:rsidRPr="00EB3166">
        <w:rPr>
          <w:rFonts w:asciiTheme="minorHAnsi" w:hAnsiTheme="minorHAnsi"/>
          <w:lang w:val="sq-AL"/>
        </w:rPr>
        <w:t>.</w:t>
      </w:r>
      <w:r>
        <w:rPr>
          <w:rFonts w:asciiTheme="minorHAnsi" w:hAnsiTheme="minorHAnsi"/>
          <w:lang w:val="sq-AL"/>
        </w:rPr>
        <w:t xml:space="preserve"> </w:t>
      </w:r>
      <w:r w:rsidRPr="00D52A22">
        <w:rPr>
          <w:rFonts w:asciiTheme="minorHAnsi" w:hAnsiTheme="minorHAnsi"/>
          <w:noProof/>
        </w:rPr>
        <w:t>Krahasuar me tremujorin e parë të vitit 2021, shpenzimet për interesa vlerësohen rreth 1.4 miliard Lekë më të larta, kjo për shkak të një niveli të rritur të stokut të borxhit. Ndërsa në terma relativë, treguesi i interesave të paguara kundrejt të ardhurave tatimore, ka pësuar rënie në krahasim me tremujorin e parë të vitit 2021 si rezultat i rritjes së të ardhurave tatimore krahasuar me tremujorin e parë të vitit 2021</w:t>
      </w:r>
      <w:r>
        <w:rPr>
          <w:rFonts w:asciiTheme="minorHAnsi" w:hAnsiTheme="minorHAnsi"/>
          <w:noProof/>
        </w:rPr>
        <w:t>.</w:t>
      </w:r>
    </w:p>
    <w:p w:rsidR="00513A75" w:rsidRPr="00796E6A" w:rsidRDefault="00513A75" w:rsidP="00513A75">
      <w:pPr>
        <w:tabs>
          <w:tab w:val="left" w:pos="360"/>
        </w:tabs>
        <w:spacing w:line="276" w:lineRule="auto"/>
        <w:jc w:val="both"/>
        <w:rPr>
          <w:rFonts w:asciiTheme="minorHAnsi" w:hAnsiTheme="minorHAnsi"/>
          <w:i/>
          <w:noProof/>
          <w:sz w:val="8"/>
        </w:rPr>
      </w:pPr>
    </w:p>
    <w:p w:rsidR="00513A75" w:rsidRPr="00FC19C8" w:rsidRDefault="00513A75" w:rsidP="00513A75">
      <w:pPr>
        <w:tabs>
          <w:tab w:val="left" w:pos="360"/>
        </w:tabs>
        <w:spacing w:line="276" w:lineRule="auto"/>
        <w:jc w:val="both"/>
        <w:rPr>
          <w:rFonts w:asciiTheme="minorHAnsi" w:hAnsiTheme="minorHAnsi"/>
          <w:i/>
          <w:noProof/>
          <w:sz w:val="22"/>
          <w:szCs w:val="22"/>
        </w:rPr>
      </w:pPr>
      <w:bookmarkStart w:id="87" w:name="_Toc107498131"/>
      <w:r w:rsidRPr="00FC19C8">
        <w:rPr>
          <w:rFonts w:asciiTheme="minorHAnsi" w:hAnsiTheme="minorHAnsi"/>
          <w:i/>
          <w:noProof/>
          <w:sz w:val="22"/>
          <w:szCs w:val="22"/>
        </w:rPr>
        <w:t xml:space="preserve">Grafiku </w:t>
      </w:r>
      <w:r w:rsidRPr="00FC19C8">
        <w:rPr>
          <w:rFonts w:asciiTheme="minorHAnsi" w:hAnsiTheme="minorHAnsi"/>
          <w:i/>
          <w:noProof/>
          <w:sz w:val="22"/>
          <w:szCs w:val="22"/>
        </w:rPr>
        <w:fldChar w:fldCharType="begin"/>
      </w:r>
      <w:r w:rsidRPr="00FC19C8">
        <w:rPr>
          <w:rFonts w:asciiTheme="minorHAnsi" w:hAnsiTheme="minorHAnsi"/>
          <w:i/>
          <w:noProof/>
          <w:sz w:val="22"/>
          <w:szCs w:val="22"/>
        </w:rPr>
        <w:instrText xml:space="preserve"> SEQ Grafiku \* ARABIC </w:instrText>
      </w:r>
      <w:r w:rsidRPr="00FC19C8">
        <w:rPr>
          <w:rFonts w:asciiTheme="minorHAnsi" w:hAnsiTheme="minorHAnsi"/>
          <w:i/>
          <w:noProof/>
          <w:sz w:val="22"/>
          <w:szCs w:val="22"/>
        </w:rPr>
        <w:fldChar w:fldCharType="separate"/>
      </w:r>
      <w:r w:rsidR="003B2B9B">
        <w:rPr>
          <w:rFonts w:asciiTheme="minorHAnsi" w:hAnsiTheme="minorHAnsi"/>
          <w:i/>
          <w:noProof/>
          <w:sz w:val="22"/>
          <w:szCs w:val="22"/>
        </w:rPr>
        <w:t>40</w:t>
      </w:r>
      <w:r w:rsidRPr="00FC19C8">
        <w:rPr>
          <w:rFonts w:asciiTheme="minorHAnsi" w:hAnsiTheme="minorHAnsi"/>
          <w:i/>
          <w:noProof/>
          <w:sz w:val="22"/>
          <w:szCs w:val="22"/>
        </w:rPr>
        <w:fldChar w:fldCharType="end"/>
      </w:r>
      <w:r w:rsidRPr="00FC19C8">
        <w:rPr>
          <w:rFonts w:asciiTheme="minorHAnsi" w:hAnsiTheme="minorHAnsi"/>
          <w:i/>
          <w:noProof/>
          <w:sz w:val="22"/>
          <w:szCs w:val="22"/>
        </w:rPr>
        <w:t xml:space="preserve">: </w:t>
      </w:r>
      <w:r w:rsidR="00FC19C8" w:rsidRPr="00FC19C8">
        <w:rPr>
          <w:rFonts w:asciiTheme="minorHAnsi" w:hAnsiTheme="minorHAnsi"/>
          <w:i/>
          <w:noProof/>
          <w:sz w:val="22"/>
          <w:szCs w:val="22"/>
        </w:rPr>
        <w:t>Shpenzimet p</w:t>
      </w:r>
      <w:r w:rsidR="009647C4">
        <w:rPr>
          <w:rFonts w:asciiTheme="minorHAnsi" w:hAnsiTheme="minorHAnsi"/>
          <w:i/>
          <w:noProof/>
          <w:sz w:val="22"/>
          <w:szCs w:val="22"/>
        </w:rPr>
        <w:t>ë</w:t>
      </w:r>
      <w:r w:rsidR="00FC19C8" w:rsidRPr="00FC19C8">
        <w:rPr>
          <w:rFonts w:asciiTheme="minorHAnsi" w:hAnsiTheme="minorHAnsi"/>
          <w:i/>
          <w:noProof/>
          <w:sz w:val="22"/>
          <w:szCs w:val="22"/>
        </w:rPr>
        <w:t>r i</w:t>
      </w:r>
      <w:r w:rsidRPr="00FC19C8">
        <w:rPr>
          <w:rFonts w:asciiTheme="minorHAnsi" w:hAnsiTheme="minorHAnsi"/>
          <w:i/>
          <w:noProof/>
          <w:sz w:val="22"/>
          <w:szCs w:val="22"/>
        </w:rPr>
        <w:t xml:space="preserve">nteresa </w:t>
      </w:r>
      <w:r w:rsidR="00FC19C8" w:rsidRPr="00FC19C8">
        <w:rPr>
          <w:rFonts w:asciiTheme="minorHAnsi" w:hAnsiTheme="minorHAnsi"/>
          <w:i/>
          <w:noProof/>
          <w:sz w:val="22"/>
          <w:szCs w:val="22"/>
        </w:rPr>
        <w:t>t</w:t>
      </w:r>
      <w:r w:rsidR="009647C4">
        <w:rPr>
          <w:rFonts w:asciiTheme="minorHAnsi" w:hAnsiTheme="minorHAnsi"/>
          <w:i/>
          <w:noProof/>
          <w:sz w:val="22"/>
          <w:szCs w:val="22"/>
        </w:rPr>
        <w:t>ë</w:t>
      </w:r>
      <w:r w:rsidRPr="00FC19C8">
        <w:rPr>
          <w:rFonts w:asciiTheme="minorHAnsi" w:hAnsiTheme="minorHAnsi"/>
          <w:i/>
          <w:noProof/>
          <w:sz w:val="22"/>
          <w:szCs w:val="22"/>
        </w:rPr>
        <w:t xml:space="preserve"> borxhit shtetëror (TM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201</w:t>
      </w:r>
      <w:r w:rsidR="00182421" w:rsidRPr="00FC19C8">
        <w:rPr>
          <w:rFonts w:asciiTheme="minorHAnsi" w:hAnsiTheme="minorHAnsi"/>
          <w:i/>
          <w:noProof/>
          <w:sz w:val="22"/>
          <w:szCs w:val="22"/>
        </w:rPr>
        <w:t>7</w:t>
      </w:r>
      <w:r w:rsidRPr="00FC19C8">
        <w:rPr>
          <w:rFonts w:asciiTheme="minorHAnsi" w:hAnsiTheme="minorHAnsi"/>
          <w:i/>
          <w:noProof/>
          <w:sz w:val="22"/>
          <w:szCs w:val="22"/>
        </w:rPr>
        <w:t>-TM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202</w:t>
      </w:r>
      <w:r w:rsidR="00182421" w:rsidRPr="00FC19C8">
        <w:rPr>
          <w:rFonts w:asciiTheme="minorHAnsi" w:hAnsiTheme="minorHAnsi"/>
          <w:i/>
          <w:noProof/>
          <w:sz w:val="22"/>
          <w:szCs w:val="22"/>
        </w:rPr>
        <w:t>2</w:t>
      </w:r>
      <w:r w:rsidRPr="00FC19C8">
        <w:rPr>
          <w:rFonts w:asciiTheme="minorHAnsi" w:hAnsiTheme="minorHAnsi"/>
          <w:i/>
          <w:noProof/>
          <w:sz w:val="22"/>
          <w:szCs w:val="22"/>
        </w:rPr>
        <w:t>)</w:t>
      </w:r>
      <w:bookmarkEnd w:id="87"/>
      <w:r w:rsidRPr="00FC19C8">
        <w:rPr>
          <w:rFonts w:asciiTheme="minorHAnsi" w:hAnsiTheme="minorHAnsi"/>
          <w:i/>
          <w:noProof/>
          <w:sz w:val="22"/>
          <w:szCs w:val="22"/>
        </w:rPr>
        <w:t xml:space="preserve">   </w:t>
      </w:r>
    </w:p>
    <w:p w:rsidR="00513A75" w:rsidRPr="00796E6A" w:rsidRDefault="00182421" w:rsidP="00182421">
      <w:pPr>
        <w:tabs>
          <w:tab w:val="left" w:pos="360"/>
        </w:tabs>
        <w:spacing w:line="276" w:lineRule="auto"/>
        <w:jc w:val="center"/>
        <w:rPr>
          <w:rFonts w:asciiTheme="minorHAnsi" w:hAnsiTheme="minorHAnsi"/>
          <w:i/>
          <w:noProof/>
          <w:sz w:val="22"/>
        </w:rPr>
      </w:pPr>
      <w:r w:rsidRPr="00325B8D">
        <w:rPr>
          <w:rFonts w:asciiTheme="minorHAnsi" w:hAnsiTheme="minorHAnsi"/>
          <w:noProof/>
          <w:sz w:val="22"/>
        </w:rPr>
        <w:drawing>
          <wp:inline distT="0" distB="0" distL="0" distR="0" wp14:anchorId="68BDD788" wp14:editId="56027AA9">
            <wp:extent cx="6009640" cy="1687651"/>
            <wp:effectExtent l="0" t="0" r="10160" b="8255"/>
            <wp:docPr id="275" name="Chart 275">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FD3343">
        <w:rPr>
          <w:rFonts w:asciiTheme="minorHAnsi" w:hAnsiTheme="minorHAnsi"/>
          <w:i/>
          <w:sz w:val="20"/>
          <w:lang w:val="sq-AL"/>
        </w:rPr>
        <w:t>Burimi: Ministria e Financave dhe Ekonomisë (2022)</w:t>
      </w:r>
    </w:p>
    <w:p w:rsidR="00513A75" w:rsidRDefault="00FC19C8" w:rsidP="00513A75">
      <w:pPr>
        <w:tabs>
          <w:tab w:val="left" w:pos="360"/>
        </w:tabs>
        <w:spacing w:line="276" w:lineRule="auto"/>
        <w:jc w:val="both"/>
        <w:rPr>
          <w:rFonts w:asciiTheme="minorHAnsi" w:hAnsiTheme="minorHAnsi"/>
          <w:lang w:val="sq-AL"/>
        </w:rPr>
      </w:pPr>
      <w:bookmarkStart w:id="88" w:name="_Toc497222543"/>
      <w:r w:rsidRPr="00D52A22">
        <w:rPr>
          <w:rFonts w:asciiTheme="minorHAnsi" w:hAnsiTheme="minorHAnsi"/>
        </w:rPr>
        <w:lastRenderedPageBreak/>
        <w:t>Nga ana tjetër, kosto mesatare e borxhit të brendshëm shtetëror është ulur nga 3.53% në fundin e vitit 2021</w:t>
      </w:r>
      <w:r>
        <w:rPr>
          <w:rFonts w:asciiTheme="minorHAnsi" w:hAnsiTheme="minorHAnsi"/>
        </w:rPr>
        <w:t>,</w:t>
      </w:r>
      <w:r w:rsidRPr="00D52A22">
        <w:rPr>
          <w:rFonts w:asciiTheme="minorHAnsi" w:hAnsiTheme="minorHAnsi"/>
        </w:rPr>
        <w:t xml:space="preserve"> në 3.50% në </w:t>
      </w:r>
      <w:r>
        <w:rPr>
          <w:rFonts w:asciiTheme="minorHAnsi" w:hAnsiTheme="minorHAnsi"/>
        </w:rPr>
        <w:t>M</w:t>
      </w:r>
      <w:r w:rsidRPr="00D52A22">
        <w:rPr>
          <w:rFonts w:asciiTheme="minorHAnsi" w:hAnsiTheme="minorHAnsi"/>
        </w:rPr>
        <w:t>ars 2022</w:t>
      </w:r>
      <w:r w:rsidR="00513A75">
        <w:rPr>
          <w:rFonts w:asciiTheme="minorHAnsi" w:hAnsiTheme="minorHAnsi"/>
          <w:lang w:val="sq-AL"/>
        </w:rPr>
        <w:t>.</w:t>
      </w:r>
    </w:p>
    <w:p w:rsidR="00513A75" w:rsidRPr="00796E6A" w:rsidRDefault="00513A75" w:rsidP="00513A75">
      <w:pPr>
        <w:tabs>
          <w:tab w:val="left" w:pos="360"/>
        </w:tabs>
        <w:spacing w:line="276" w:lineRule="auto"/>
        <w:jc w:val="both"/>
        <w:rPr>
          <w:rFonts w:asciiTheme="minorHAnsi" w:hAnsiTheme="minorHAnsi"/>
          <w:i/>
          <w:noProof/>
          <w:sz w:val="8"/>
          <w:szCs w:val="22"/>
        </w:rPr>
      </w:pPr>
    </w:p>
    <w:p w:rsidR="00513A75" w:rsidRDefault="00513A75" w:rsidP="00513A75">
      <w:pPr>
        <w:tabs>
          <w:tab w:val="left" w:pos="360"/>
        </w:tabs>
        <w:spacing w:line="276" w:lineRule="auto"/>
        <w:jc w:val="both"/>
        <w:rPr>
          <w:rFonts w:asciiTheme="minorHAnsi" w:hAnsiTheme="minorHAnsi"/>
          <w:i/>
          <w:noProof/>
          <w:sz w:val="22"/>
          <w:szCs w:val="22"/>
        </w:rPr>
      </w:pPr>
      <w:bookmarkStart w:id="89" w:name="_Toc107498132"/>
      <w:r w:rsidRPr="00796E6A">
        <w:rPr>
          <w:rFonts w:asciiTheme="minorHAnsi" w:hAnsiTheme="minorHAnsi"/>
          <w:i/>
          <w:noProof/>
          <w:sz w:val="22"/>
          <w:szCs w:val="22"/>
        </w:rPr>
        <w:t xml:space="preserve">Grafiku </w:t>
      </w:r>
      <w:r w:rsidRPr="00796E6A">
        <w:rPr>
          <w:rFonts w:asciiTheme="minorHAnsi" w:hAnsiTheme="minorHAnsi"/>
          <w:i/>
          <w:noProof/>
          <w:sz w:val="22"/>
          <w:szCs w:val="22"/>
        </w:rPr>
        <w:fldChar w:fldCharType="begin"/>
      </w:r>
      <w:r w:rsidRPr="00796E6A">
        <w:rPr>
          <w:rFonts w:asciiTheme="minorHAnsi" w:hAnsiTheme="minorHAnsi"/>
          <w:i/>
          <w:noProof/>
          <w:sz w:val="22"/>
          <w:szCs w:val="22"/>
        </w:rPr>
        <w:instrText xml:space="preserve"> SEQ Grafiku \* ARABIC </w:instrText>
      </w:r>
      <w:r w:rsidRPr="00796E6A">
        <w:rPr>
          <w:rFonts w:asciiTheme="minorHAnsi" w:hAnsiTheme="minorHAnsi"/>
          <w:i/>
          <w:noProof/>
          <w:sz w:val="22"/>
          <w:szCs w:val="22"/>
        </w:rPr>
        <w:fldChar w:fldCharType="separate"/>
      </w:r>
      <w:r w:rsidR="003B2B9B">
        <w:rPr>
          <w:rFonts w:asciiTheme="minorHAnsi" w:hAnsiTheme="minorHAnsi"/>
          <w:i/>
          <w:noProof/>
          <w:sz w:val="22"/>
          <w:szCs w:val="22"/>
        </w:rPr>
        <w:t>41</w:t>
      </w:r>
      <w:r w:rsidRPr="00796E6A">
        <w:rPr>
          <w:rFonts w:asciiTheme="minorHAnsi" w:hAnsiTheme="minorHAnsi"/>
          <w:i/>
          <w:noProof/>
          <w:sz w:val="22"/>
          <w:szCs w:val="22"/>
        </w:rPr>
        <w:fldChar w:fldCharType="end"/>
      </w:r>
      <w:r w:rsidRPr="00796E6A">
        <w:rPr>
          <w:rFonts w:asciiTheme="minorHAnsi" w:hAnsiTheme="minorHAnsi"/>
          <w:i/>
          <w:noProof/>
          <w:sz w:val="22"/>
          <w:szCs w:val="22"/>
        </w:rPr>
        <w:t>: Jetëgjatësia&amp;kosto mesatare e portofolit të borxhit të brendshëm shtetëror (201</w:t>
      </w:r>
      <w:r w:rsidR="00FC19C8">
        <w:rPr>
          <w:rFonts w:asciiTheme="minorHAnsi" w:hAnsiTheme="minorHAnsi"/>
          <w:i/>
          <w:noProof/>
          <w:sz w:val="22"/>
          <w:szCs w:val="22"/>
        </w:rPr>
        <w:t>7</w:t>
      </w:r>
      <w:r w:rsidRPr="00796E6A">
        <w:rPr>
          <w:rFonts w:asciiTheme="minorHAnsi" w:hAnsiTheme="minorHAnsi"/>
          <w:i/>
          <w:noProof/>
          <w:sz w:val="22"/>
          <w:szCs w:val="22"/>
        </w:rPr>
        <w:t>-Mars 202</w:t>
      </w:r>
      <w:r w:rsidR="00FC19C8">
        <w:rPr>
          <w:rFonts w:asciiTheme="minorHAnsi" w:hAnsiTheme="minorHAnsi"/>
          <w:i/>
          <w:noProof/>
          <w:sz w:val="22"/>
          <w:szCs w:val="22"/>
        </w:rPr>
        <w:t>2</w:t>
      </w:r>
      <w:r w:rsidRPr="00796E6A">
        <w:rPr>
          <w:rFonts w:asciiTheme="minorHAnsi" w:hAnsiTheme="minorHAnsi"/>
          <w:i/>
          <w:noProof/>
          <w:sz w:val="22"/>
          <w:szCs w:val="22"/>
        </w:rPr>
        <w:t>)</w:t>
      </w:r>
      <w:bookmarkEnd w:id="89"/>
    </w:p>
    <w:p w:rsidR="00513A75" w:rsidRPr="00796E6A" w:rsidRDefault="00FC19C8" w:rsidP="005625A1">
      <w:pPr>
        <w:tabs>
          <w:tab w:val="left" w:pos="360"/>
        </w:tabs>
        <w:spacing w:line="276" w:lineRule="auto"/>
        <w:jc w:val="center"/>
        <w:rPr>
          <w:rFonts w:asciiTheme="minorHAnsi" w:hAnsiTheme="minorHAnsi"/>
          <w:i/>
          <w:noProof/>
          <w:sz w:val="22"/>
          <w:szCs w:val="22"/>
        </w:rPr>
      </w:pPr>
      <w:r w:rsidRPr="00D52A22">
        <w:rPr>
          <w:rFonts w:asciiTheme="minorHAnsi" w:hAnsiTheme="minorHAnsi"/>
          <w:b/>
          <w:noProof/>
          <w:u w:val="single"/>
        </w:rPr>
        <w:drawing>
          <wp:inline distT="0" distB="0" distL="0" distR="0" wp14:anchorId="382881B5" wp14:editId="0504CE34">
            <wp:extent cx="5944870" cy="1871758"/>
            <wp:effectExtent l="0" t="0" r="17780" b="14605"/>
            <wp:docPr id="2" name="Chart 2">
              <a:extLst xmlns:a="http://schemas.openxmlformats.org/drawingml/2006/main">
                <a:ext uri="{FF2B5EF4-FFF2-40B4-BE49-F238E27FC236}">
                  <a16:creationId xmlns:a16="http://schemas.microsoft.com/office/drawing/2014/main"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FD3343">
        <w:rPr>
          <w:rFonts w:asciiTheme="minorHAnsi" w:hAnsiTheme="minorHAnsi"/>
          <w:i/>
          <w:sz w:val="20"/>
          <w:lang w:val="sq-AL"/>
        </w:rPr>
        <w:t>Burimi: Ministria e Financave dhe Ekonomisë (2022)</w:t>
      </w:r>
    </w:p>
    <w:p w:rsidR="00513A75" w:rsidRPr="006E68A7" w:rsidRDefault="00513A75" w:rsidP="004B6BA3">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Risqet</w:t>
      </w:r>
      <w:bookmarkEnd w:id="88"/>
    </w:p>
    <w:p w:rsidR="00513A75" w:rsidRPr="0064168E" w:rsidRDefault="00FC19C8" w:rsidP="00513A75">
      <w:pPr>
        <w:tabs>
          <w:tab w:val="left" w:pos="360"/>
        </w:tabs>
        <w:spacing w:line="276" w:lineRule="auto"/>
        <w:jc w:val="both"/>
        <w:rPr>
          <w:rFonts w:asciiTheme="minorHAnsi" w:hAnsiTheme="minorHAnsi"/>
          <w:i/>
          <w:lang w:val="sq-AL"/>
        </w:rPr>
      </w:pPr>
      <w:r w:rsidRPr="00D52A22">
        <w:rPr>
          <w:rFonts w:asciiTheme="minorHAnsi" w:hAnsiTheme="minorHAnsi"/>
        </w:rPr>
        <w:t>Gjatë periudhës janar-mars 2022, menaxhimi i risqeve të portofolit të borxhit shtetëror nuk ka mundur të evoluojë plotësisht në drejtim të objektivave strategjikë afatmesëm. Jetëgjatësia e borxhit është rritur me 54 ditë duke prekur nivelin e 847 ditëve në fund të muajit mars 2022 krahasuar me 793 ditë në muajin dhjetor 2021. Ndërkohë, pesha e borxhit që maturohet brenda një viti është rritur krahasuar me fundin e vitit 2021, përkatësisht nga 46.6% në dhjetor 2021 në 47.3% në mars 2022, për shkak të vlerës së lartë (rreth 20 mld Lekë) të titujve referencë 3 vjecare që do maturohen në tremujorin e parë të vitit 2023. Për sa i përket riskut të normave të interesit, është rritur koha mesatare në rifiksim nga 2.19 vite në dhjetor 2021 në 2.33 vitë në muajin mars 2022</w:t>
      </w:r>
      <w:r w:rsidR="00513A75">
        <w:rPr>
          <w:rFonts w:asciiTheme="minorHAnsi" w:hAnsiTheme="minorHAnsi"/>
          <w:lang w:val="sq-AL"/>
        </w:rPr>
        <w:t xml:space="preserve">. </w:t>
      </w:r>
    </w:p>
    <w:p w:rsidR="00513A75" w:rsidRDefault="00513A75" w:rsidP="00F80A28">
      <w:pPr>
        <w:pStyle w:val="Caption"/>
        <w:spacing w:after="0"/>
        <w:rPr>
          <w:rFonts w:asciiTheme="minorHAnsi" w:hAnsiTheme="minorHAnsi"/>
          <w:b w:val="0"/>
          <w:lang w:val="sq-AL"/>
        </w:rPr>
      </w:pPr>
      <w:bookmarkStart w:id="90" w:name="_Toc107496749"/>
      <w:r w:rsidRPr="004B6BA3">
        <w:rPr>
          <w:rFonts w:asciiTheme="minorHAnsi" w:hAnsiTheme="minorHAnsi"/>
          <w:b w:val="0"/>
          <w:bCs w:val="0"/>
          <w:i/>
          <w:noProof/>
          <w:color w:val="auto"/>
          <w:sz w:val="22"/>
          <w:szCs w:val="24"/>
        </w:rPr>
        <w:t xml:space="preserve">Tabela </w:t>
      </w:r>
      <w:r w:rsidRPr="004B6BA3">
        <w:rPr>
          <w:rFonts w:asciiTheme="minorHAnsi" w:hAnsiTheme="minorHAnsi"/>
          <w:b w:val="0"/>
          <w:bCs w:val="0"/>
          <w:i/>
          <w:noProof/>
          <w:color w:val="auto"/>
          <w:sz w:val="22"/>
          <w:szCs w:val="24"/>
        </w:rPr>
        <w:fldChar w:fldCharType="begin"/>
      </w:r>
      <w:r w:rsidRPr="004B6BA3">
        <w:rPr>
          <w:rFonts w:asciiTheme="minorHAnsi" w:hAnsiTheme="minorHAnsi"/>
          <w:b w:val="0"/>
          <w:bCs w:val="0"/>
          <w:i/>
          <w:noProof/>
          <w:color w:val="auto"/>
          <w:sz w:val="22"/>
          <w:szCs w:val="24"/>
        </w:rPr>
        <w:instrText xml:space="preserve"> SEQ Tabela \* ARABIC </w:instrText>
      </w:r>
      <w:r w:rsidRPr="004B6BA3">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13</w:t>
      </w:r>
      <w:r w:rsidRPr="004B6BA3">
        <w:rPr>
          <w:rFonts w:asciiTheme="minorHAnsi" w:hAnsiTheme="minorHAnsi"/>
          <w:b w:val="0"/>
          <w:bCs w:val="0"/>
          <w:i/>
          <w:noProof/>
          <w:color w:val="auto"/>
          <w:sz w:val="22"/>
          <w:szCs w:val="24"/>
        </w:rPr>
        <w:fldChar w:fldCharType="end"/>
      </w:r>
      <w:r w:rsidRPr="004B6BA3">
        <w:rPr>
          <w:rFonts w:asciiTheme="minorHAnsi" w:hAnsiTheme="minorHAnsi"/>
          <w:b w:val="0"/>
          <w:bCs w:val="0"/>
          <w:i/>
          <w:noProof/>
          <w:color w:val="auto"/>
          <w:sz w:val="22"/>
          <w:szCs w:val="24"/>
        </w:rPr>
        <w:t>: Treguesit e riskut të borxhit të brendshëm shtetëror (20</w:t>
      </w:r>
      <w:r w:rsidR="00F80A28">
        <w:rPr>
          <w:rFonts w:asciiTheme="minorHAnsi" w:hAnsiTheme="minorHAnsi"/>
          <w:b w:val="0"/>
          <w:bCs w:val="0"/>
          <w:i/>
          <w:noProof/>
          <w:color w:val="auto"/>
          <w:sz w:val="22"/>
          <w:szCs w:val="24"/>
        </w:rPr>
        <w:t>21</w:t>
      </w:r>
      <w:r w:rsidRPr="004B6BA3">
        <w:rPr>
          <w:rFonts w:asciiTheme="minorHAnsi" w:hAnsiTheme="minorHAnsi"/>
          <w:b w:val="0"/>
          <w:bCs w:val="0"/>
          <w:i/>
          <w:noProof/>
          <w:color w:val="auto"/>
          <w:sz w:val="22"/>
          <w:szCs w:val="24"/>
        </w:rPr>
        <w:t>–Mars 202</w:t>
      </w:r>
      <w:r w:rsidR="00F80A28">
        <w:rPr>
          <w:rFonts w:asciiTheme="minorHAnsi" w:hAnsiTheme="minorHAnsi"/>
          <w:b w:val="0"/>
          <w:bCs w:val="0"/>
          <w:i/>
          <w:noProof/>
          <w:color w:val="auto"/>
          <w:sz w:val="22"/>
          <w:szCs w:val="24"/>
        </w:rPr>
        <w:t>2</w:t>
      </w:r>
      <w:r w:rsidRPr="004B6BA3">
        <w:rPr>
          <w:rFonts w:asciiTheme="minorHAnsi" w:hAnsiTheme="minorHAnsi"/>
          <w:b w:val="0"/>
          <w:bCs w:val="0"/>
          <w:i/>
          <w:noProof/>
          <w:color w:val="auto"/>
          <w:sz w:val="22"/>
          <w:szCs w:val="24"/>
        </w:rPr>
        <w:t>)</w:t>
      </w:r>
      <w:bookmarkEnd w:id="90"/>
      <w:r w:rsidRPr="00EB0002">
        <w:rPr>
          <w:rFonts w:asciiTheme="minorHAnsi" w:hAnsiTheme="minorHAnsi"/>
          <w:b w:val="0"/>
          <w:lang w:val="sq-AL"/>
        </w:rPr>
        <w:t xml:space="preserve"> </w:t>
      </w:r>
    </w:p>
    <w:tbl>
      <w:tblPr>
        <w:tblW w:w="9072" w:type="dxa"/>
        <w:jc w:val="center"/>
        <w:tblLook w:val="04A0" w:firstRow="1" w:lastRow="0" w:firstColumn="1" w:lastColumn="0" w:noHBand="0" w:noVBand="1"/>
      </w:tblPr>
      <w:tblGrid>
        <w:gridCol w:w="5103"/>
        <w:gridCol w:w="1701"/>
        <w:gridCol w:w="2268"/>
      </w:tblGrid>
      <w:tr w:rsidR="00F80A28" w:rsidRPr="00F770CF" w:rsidTr="00F80A28">
        <w:trPr>
          <w:trHeight w:val="269"/>
          <w:jc w:val="center"/>
        </w:trPr>
        <w:tc>
          <w:tcPr>
            <w:tcW w:w="5103" w:type="dxa"/>
            <w:tcBorders>
              <w:top w:val="nil"/>
              <w:left w:val="nil"/>
              <w:bottom w:val="single" w:sz="4" w:space="0" w:color="auto"/>
              <w:right w:val="nil"/>
            </w:tcBorders>
            <w:shd w:val="clear" w:color="000000" w:fill="538DD5"/>
            <w:noWrap/>
            <w:vAlign w:val="bottom"/>
            <w:hideMark/>
          </w:tcPr>
          <w:p w:rsidR="00F80A28" w:rsidRPr="00F770CF" w:rsidRDefault="00F80A28" w:rsidP="00F770CF">
            <w:pPr>
              <w:jc w:val="center"/>
              <w:rPr>
                <w:rFonts w:asciiTheme="minorHAnsi" w:hAnsiTheme="minorHAnsi" w:cs="Arial"/>
                <w:b/>
                <w:bCs/>
                <w:color w:val="FFFFFF"/>
                <w:sz w:val="18"/>
                <w:lang w:eastAsia="sq-AL"/>
              </w:rPr>
            </w:pPr>
            <w:r w:rsidRPr="00F770CF">
              <w:rPr>
                <w:rFonts w:asciiTheme="minorHAnsi" w:hAnsiTheme="minorHAnsi" w:cs="Arial"/>
                <w:b/>
                <w:bCs/>
                <w:color w:val="FFFFFF"/>
                <w:sz w:val="18"/>
                <w:lang w:eastAsia="sq-AL"/>
              </w:rPr>
              <w:t xml:space="preserve">Tregues i riskut </w:t>
            </w:r>
          </w:p>
        </w:tc>
        <w:tc>
          <w:tcPr>
            <w:tcW w:w="1701" w:type="dxa"/>
            <w:tcBorders>
              <w:top w:val="nil"/>
              <w:left w:val="nil"/>
              <w:bottom w:val="single" w:sz="4" w:space="0" w:color="auto"/>
              <w:right w:val="nil"/>
            </w:tcBorders>
            <w:shd w:val="clear" w:color="000000" w:fill="538DD5"/>
            <w:noWrap/>
            <w:vAlign w:val="bottom"/>
            <w:hideMark/>
          </w:tcPr>
          <w:p w:rsidR="00F80A28" w:rsidRPr="00F770CF" w:rsidRDefault="00F80A28" w:rsidP="00F770CF">
            <w:pPr>
              <w:jc w:val="center"/>
              <w:rPr>
                <w:rFonts w:asciiTheme="minorHAnsi" w:hAnsiTheme="minorHAnsi" w:cs="Arial"/>
                <w:b/>
                <w:bCs/>
                <w:color w:val="FFFFFF"/>
                <w:sz w:val="18"/>
                <w:lang w:eastAsia="sq-AL"/>
              </w:rPr>
            </w:pPr>
            <w:r w:rsidRPr="00F770CF">
              <w:rPr>
                <w:rFonts w:asciiTheme="minorHAnsi" w:hAnsiTheme="minorHAnsi" w:cs="Arial"/>
                <w:b/>
                <w:bCs/>
                <w:color w:val="FFFFFF"/>
                <w:sz w:val="18"/>
                <w:lang w:eastAsia="sq-AL"/>
              </w:rPr>
              <w:t>2021</w:t>
            </w:r>
          </w:p>
        </w:tc>
        <w:tc>
          <w:tcPr>
            <w:tcW w:w="2268" w:type="dxa"/>
            <w:tcBorders>
              <w:top w:val="nil"/>
              <w:left w:val="nil"/>
              <w:bottom w:val="single" w:sz="4" w:space="0" w:color="auto"/>
              <w:right w:val="nil"/>
            </w:tcBorders>
            <w:shd w:val="clear" w:color="000000" w:fill="538DD5"/>
            <w:noWrap/>
            <w:vAlign w:val="bottom"/>
            <w:hideMark/>
          </w:tcPr>
          <w:p w:rsidR="00F80A28" w:rsidRPr="00F770CF" w:rsidRDefault="00F80A28" w:rsidP="00F770CF">
            <w:pPr>
              <w:jc w:val="center"/>
              <w:rPr>
                <w:rFonts w:asciiTheme="minorHAnsi" w:hAnsiTheme="minorHAnsi" w:cs="Arial"/>
                <w:b/>
                <w:bCs/>
                <w:color w:val="FFFFFF"/>
                <w:sz w:val="18"/>
                <w:lang w:eastAsia="sq-AL"/>
              </w:rPr>
            </w:pPr>
            <w:r w:rsidRPr="00F770CF">
              <w:rPr>
                <w:rFonts w:asciiTheme="minorHAnsi" w:hAnsiTheme="minorHAnsi" w:cs="Arial"/>
                <w:b/>
                <w:bCs/>
                <w:color w:val="FFFFFF"/>
                <w:sz w:val="18"/>
                <w:lang w:eastAsia="sq-AL"/>
              </w:rPr>
              <w:t>Mar-22</w:t>
            </w:r>
          </w:p>
        </w:tc>
      </w:tr>
      <w:tr w:rsidR="00F80A28" w:rsidRPr="00F770CF" w:rsidTr="00F80A28">
        <w:trPr>
          <w:trHeight w:val="269"/>
          <w:jc w:val="center"/>
        </w:trPr>
        <w:tc>
          <w:tcPr>
            <w:tcW w:w="5103"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Koha Mesatare ne Maturim (në vite)</w:t>
            </w:r>
          </w:p>
        </w:tc>
        <w:tc>
          <w:tcPr>
            <w:tcW w:w="1701"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2.20</w:t>
            </w:r>
          </w:p>
        </w:tc>
        <w:tc>
          <w:tcPr>
            <w:tcW w:w="2268"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2.35</w:t>
            </w:r>
          </w:p>
        </w:tc>
      </w:tr>
      <w:tr w:rsidR="00F80A28" w:rsidRPr="00F770CF" w:rsidTr="00F80A28">
        <w:trPr>
          <w:trHeight w:val="269"/>
          <w:jc w:val="center"/>
        </w:trPr>
        <w:tc>
          <w:tcPr>
            <w:tcW w:w="5103"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Pesha e Instrumenteve qe maturohen brenda nje viti</w:t>
            </w:r>
          </w:p>
        </w:tc>
        <w:tc>
          <w:tcPr>
            <w:tcW w:w="1701"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46.61%</w:t>
            </w:r>
          </w:p>
        </w:tc>
        <w:tc>
          <w:tcPr>
            <w:tcW w:w="2268"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47,34%</w:t>
            </w:r>
          </w:p>
        </w:tc>
      </w:tr>
      <w:tr w:rsidR="00F80A28" w:rsidRPr="00F770CF" w:rsidTr="00F80A28">
        <w:trPr>
          <w:trHeight w:val="269"/>
          <w:jc w:val="center"/>
        </w:trPr>
        <w:tc>
          <w:tcPr>
            <w:tcW w:w="5103"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Borxh i rivlersuar ne nje vit</w:t>
            </w:r>
          </w:p>
        </w:tc>
        <w:tc>
          <w:tcPr>
            <w:tcW w:w="1701"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48.0%</w:t>
            </w:r>
          </w:p>
        </w:tc>
        <w:tc>
          <w:tcPr>
            <w:tcW w:w="2268" w:type="dxa"/>
            <w:tcBorders>
              <w:top w:val="nil"/>
              <w:left w:val="nil"/>
              <w:bottom w:val="nil"/>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48.7%</w:t>
            </w:r>
          </w:p>
        </w:tc>
      </w:tr>
      <w:tr w:rsidR="00F80A28" w:rsidRPr="00F770CF" w:rsidTr="00F80A28">
        <w:trPr>
          <w:trHeight w:val="269"/>
          <w:jc w:val="center"/>
        </w:trPr>
        <w:tc>
          <w:tcPr>
            <w:tcW w:w="5103" w:type="dxa"/>
            <w:tcBorders>
              <w:top w:val="nil"/>
              <w:left w:val="nil"/>
              <w:bottom w:val="single" w:sz="4" w:space="0" w:color="auto"/>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Koha Mesatare ne rifiksim (në vite)</w:t>
            </w:r>
          </w:p>
        </w:tc>
        <w:tc>
          <w:tcPr>
            <w:tcW w:w="1701" w:type="dxa"/>
            <w:tcBorders>
              <w:top w:val="nil"/>
              <w:left w:val="nil"/>
              <w:bottom w:val="single" w:sz="4" w:space="0" w:color="auto"/>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2,19</w:t>
            </w:r>
          </w:p>
        </w:tc>
        <w:tc>
          <w:tcPr>
            <w:tcW w:w="2268" w:type="dxa"/>
            <w:tcBorders>
              <w:top w:val="nil"/>
              <w:left w:val="nil"/>
              <w:bottom w:val="single" w:sz="4" w:space="0" w:color="auto"/>
              <w:right w:val="nil"/>
            </w:tcBorders>
            <w:shd w:val="clear" w:color="000000" w:fill="FFFFFF"/>
            <w:noWrap/>
            <w:vAlign w:val="bottom"/>
            <w:hideMark/>
          </w:tcPr>
          <w:p w:rsidR="00F80A28" w:rsidRPr="00F770CF" w:rsidRDefault="00F80A28" w:rsidP="00F770CF">
            <w:pPr>
              <w:jc w:val="center"/>
              <w:rPr>
                <w:rFonts w:asciiTheme="minorHAnsi" w:hAnsiTheme="minorHAnsi" w:cs="Arial"/>
                <w:sz w:val="18"/>
                <w:lang w:eastAsia="sq-AL"/>
              </w:rPr>
            </w:pPr>
            <w:r w:rsidRPr="00F770CF">
              <w:rPr>
                <w:rFonts w:asciiTheme="minorHAnsi" w:hAnsiTheme="minorHAnsi" w:cs="Arial"/>
                <w:sz w:val="18"/>
                <w:lang w:eastAsia="sq-AL"/>
              </w:rPr>
              <w:t>2,33</w:t>
            </w:r>
          </w:p>
        </w:tc>
      </w:tr>
    </w:tbl>
    <w:p w:rsidR="00513A75" w:rsidRPr="00CD06A3" w:rsidRDefault="00513A75" w:rsidP="00513A75">
      <w:pPr>
        <w:tabs>
          <w:tab w:val="left" w:pos="360"/>
        </w:tabs>
        <w:spacing w:line="276" w:lineRule="auto"/>
        <w:rPr>
          <w:rFonts w:asciiTheme="minorHAnsi" w:hAnsiTheme="minorHAnsi"/>
          <w:i/>
          <w:sz w:val="20"/>
          <w:lang w:val="sq-AL"/>
        </w:rPr>
      </w:pPr>
      <w:r>
        <w:rPr>
          <w:rFonts w:asciiTheme="minorHAnsi" w:hAnsiTheme="minorHAnsi"/>
          <w:i/>
          <w:sz w:val="20"/>
          <w:lang w:val="sq-AL"/>
        </w:rPr>
        <w:tab/>
      </w:r>
      <w:r w:rsidR="00FD3343">
        <w:rPr>
          <w:rFonts w:asciiTheme="minorHAnsi" w:hAnsiTheme="minorHAnsi"/>
          <w:i/>
          <w:sz w:val="20"/>
          <w:lang w:val="sq-AL"/>
        </w:rPr>
        <w:t>Burimi: Ministria e Financave dhe Ekonomisë (2022)</w:t>
      </w:r>
    </w:p>
    <w:p w:rsidR="00513A75" w:rsidRPr="00277056" w:rsidRDefault="00513A75" w:rsidP="00513A75">
      <w:pPr>
        <w:tabs>
          <w:tab w:val="left" w:pos="360"/>
        </w:tabs>
        <w:spacing w:line="276" w:lineRule="auto"/>
        <w:jc w:val="both"/>
        <w:rPr>
          <w:rFonts w:asciiTheme="minorHAnsi" w:hAnsiTheme="minorHAnsi"/>
          <w:i/>
          <w:sz w:val="16"/>
          <w:szCs w:val="8"/>
          <w:lang w:val="sq-AL"/>
        </w:rPr>
      </w:pP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Zhvillimet e Tregut Primar të Titujve Shtetërorë</w:t>
      </w:r>
    </w:p>
    <w:p w:rsidR="00513A75" w:rsidRPr="00EB0002" w:rsidRDefault="004E63F7" w:rsidP="00513A75">
      <w:pPr>
        <w:tabs>
          <w:tab w:val="left" w:pos="360"/>
        </w:tabs>
        <w:spacing w:after="240" w:line="276" w:lineRule="auto"/>
        <w:jc w:val="both"/>
        <w:rPr>
          <w:rFonts w:asciiTheme="minorHAnsi" w:hAnsiTheme="minorHAnsi"/>
          <w:lang w:val="sq-AL"/>
        </w:rPr>
      </w:pPr>
      <w:bookmarkStart w:id="91" w:name="_Toc491861001"/>
      <w:bookmarkStart w:id="92" w:name="_Toc491954314"/>
      <w:bookmarkStart w:id="93" w:name="_Toc497222545"/>
      <w:r w:rsidRPr="00D52A22">
        <w:rPr>
          <w:rFonts w:asciiTheme="minorHAnsi" w:hAnsiTheme="minorHAnsi"/>
        </w:rPr>
        <w:t>Tregu primar i titujve shtetërorë gjatë periudhës janar-mars të vitit 2022 përgjithësisht është karakterizuar nga zhvillime pozitive, kryesisht në 2 muajt e parë të vitit 2022, ndërkohë në muajin mars tregu u ndikua nga efektet e konfliktit Rusi-Ukrainë dhe prithsmëritë në rritje për normat e interesit. Pavarsisht kësaj, gjatë tremujorit të parë të vitit ka vijuar emetimi i titujve reference 3 dhe 5 vjecare në kuadër të zhvillimit të mëtejshëm të projektit Market Maker</w:t>
      </w:r>
      <w:r w:rsidR="00513A75" w:rsidRPr="00EB0002">
        <w:rPr>
          <w:rFonts w:asciiTheme="minorHAnsi" w:hAnsiTheme="minorHAnsi"/>
          <w:lang w:val="sq-AL"/>
        </w:rPr>
        <w:t>.</w:t>
      </w: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Ecuria e ankandeve dhe kërkesa për titujt shtetërorë</w:t>
      </w:r>
      <w:bookmarkEnd w:id="91"/>
      <w:bookmarkEnd w:id="92"/>
      <w:bookmarkEnd w:id="93"/>
    </w:p>
    <w:p w:rsidR="00513A75" w:rsidRDefault="004E63F7" w:rsidP="00513A75">
      <w:pPr>
        <w:tabs>
          <w:tab w:val="left" w:pos="360"/>
        </w:tabs>
        <w:spacing w:line="276" w:lineRule="auto"/>
        <w:jc w:val="both"/>
        <w:rPr>
          <w:rFonts w:asciiTheme="minorHAnsi" w:hAnsiTheme="minorHAnsi"/>
          <w:lang w:val="sq-AL"/>
        </w:rPr>
      </w:pPr>
      <w:r w:rsidRPr="00D52A22">
        <w:rPr>
          <w:rFonts w:asciiTheme="minorHAnsi" w:hAnsiTheme="minorHAnsi"/>
        </w:rPr>
        <w:t>Gjatë periudhës janar-mars 2022 kërkesa për tituj shtetërorë ka rezultuar në vlerën 140.0 miliard Lekë, nga të cilat 80.5 miliard Lekë për bono thesari dhe 59.5 miliard Lekë për obligacione. Kërkesa gjatë këtij tremujori ka qenë më e lartë se oferta e qeverisë gjatë muajit janar dhe shkurt, ndërkohë në muajin mars është vënë re një rënie e kërkesës për tituj qeveritar, e ndikuar kryesisht nga pritshmëria për rritje të normave të interesit gjatë vitit 2022</w:t>
      </w:r>
      <w:r w:rsidR="00513A75" w:rsidRPr="00EB0002">
        <w:rPr>
          <w:rFonts w:asciiTheme="minorHAnsi" w:hAnsiTheme="minorHAnsi"/>
          <w:lang w:val="sq-AL"/>
        </w:rPr>
        <w:t>.</w:t>
      </w:r>
    </w:p>
    <w:p w:rsidR="00513A75" w:rsidRPr="00796E6A" w:rsidRDefault="00513A75" w:rsidP="00513A75">
      <w:pPr>
        <w:tabs>
          <w:tab w:val="left" w:pos="360"/>
        </w:tabs>
        <w:spacing w:line="276" w:lineRule="auto"/>
        <w:jc w:val="both"/>
        <w:rPr>
          <w:rFonts w:asciiTheme="minorHAnsi" w:hAnsiTheme="minorHAnsi"/>
          <w:sz w:val="8"/>
          <w:szCs w:val="8"/>
          <w:lang w:val="sq-AL"/>
        </w:rPr>
      </w:pPr>
    </w:p>
    <w:p w:rsidR="00513A75" w:rsidRPr="00DB39B7" w:rsidRDefault="00513A75" w:rsidP="004E63F7">
      <w:pPr>
        <w:pStyle w:val="Caption"/>
        <w:keepNext/>
        <w:spacing w:after="0"/>
        <w:rPr>
          <w:rFonts w:asciiTheme="minorHAnsi" w:hAnsiTheme="minorHAnsi"/>
          <w:b w:val="0"/>
          <w:bCs w:val="0"/>
          <w:i/>
          <w:noProof/>
          <w:color w:val="auto"/>
          <w:sz w:val="22"/>
          <w:szCs w:val="24"/>
        </w:rPr>
      </w:pPr>
      <w:bookmarkStart w:id="94" w:name="_Toc107498133"/>
      <w:r w:rsidRPr="00DB39B7">
        <w:rPr>
          <w:rFonts w:asciiTheme="minorHAnsi" w:hAnsiTheme="minorHAnsi"/>
          <w:b w:val="0"/>
          <w:bCs w:val="0"/>
          <w:i/>
          <w:noProof/>
          <w:color w:val="auto"/>
          <w:sz w:val="22"/>
          <w:szCs w:val="24"/>
        </w:rPr>
        <w:lastRenderedPageBreak/>
        <w:t xml:space="preserve">Grafiku </w:t>
      </w:r>
      <w:r w:rsidRPr="00DB39B7">
        <w:rPr>
          <w:rFonts w:asciiTheme="minorHAnsi" w:hAnsiTheme="minorHAnsi"/>
          <w:b w:val="0"/>
          <w:bCs w:val="0"/>
          <w:i/>
          <w:noProof/>
          <w:color w:val="auto"/>
          <w:sz w:val="22"/>
          <w:szCs w:val="24"/>
        </w:rPr>
        <w:fldChar w:fldCharType="begin"/>
      </w:r>
      <w:r w:rsidRPr="00DB39B7">
        <w:rPr>
          <w:rFonts w:asciiTheme="minorHAnsi" w:hAnsiTheme="minorHAnsi"/>
          <w:b w:val="0"/>
          <w:bCs w:val="0"/>
          <w:i/>
          <w:noProof/>
          <w:color w:val="auto"/>
          <w:sz w:val="22"/>
          <w:szCs w:val="24"/>
        </w:rPr>
        <w:instrText xml:space="preserve"> SEQ Grafiku \* ARABIC </w:instrText>
      </w:r>
      <w:r w:rsidRPr="00DB39B7">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42</w:t>
      </w:r>
      <w:r w:rsidRPr="00DB39B7">
        <w:rPr>
          <w:rFonts w:asciiTheme="minorHAnsi" w:hAnsiTheme="minorHAnsi"/>
          <w:b w:val="0"/>
          <w:bCs w:val="0"/>
          <w:i/>
          <w:noProof/>
          <w:color w:val="auto"/>
          <w:sz w:val="22"/>
          <w:szCs w:val="24"/>
        </w:rPr>
        <w:fldChar w:fldCharType="end"/>
      </w:r>
      <w:r w:rsidRPr="00DB39B7">
        <w:rPr>
          <w:rFonts w:asciiTheme="minorHAnsi" w:hAnsiTheme="minorHAnsi"/>
          <w:b w:val="0"/>
          <w:bCs w:val="0"/>
          <w:i/>
          <w:noProof/>
          <w:color w:val="auto"/>
          <w:sz w:val="22"/>
          <w:szCs w:val="24"/>
        </w:rPr>
        <w:t>: Raporti i mbulimit të ankandeve të titujve shtetërorë (Janar–Mars 202</w:t>
      </w:r>
      <w:r w:rsidR="004E63F7">
        <w:rPr>
          <w:rFonts w:asciiTheme="minorHAnsi" w:hAnsiTheme="minorHAnsi"/>
          <w:b w:val="0"/>
          <w:bCs w:val="0"/>
          <w:i/>
          <w:noProof/>
          <w:color w:val="auto"/>
          <w:sz w:val="22"/>
          <w:szCs w:val="24"/>
        </w:rPr>
        <w:t>2</w:t>
      </w:r>
      <w:r w:rsidRPr="00DB39B7">
        <w:rPr>
          <w:rFonts w:asciiTheme="minorHAnsi" w:hAnsiTheme="minorHAnsi"/>
          <w:b w:val="0"/>
          <w:bCs w:val="0"/>
          <w:i/>
          <w:noProof/>
          <w:color w:val="auto"/>
          <w:sz w:val="22"/>
          <w:szCs w:val="24"/>
        </w:rPr>
        <w:t>)</w:t>
      </w:r>
      <w:bookmarkEnd w:id="94"/>
    </w:p>
    <w:p w:rsidR="00513A75" w:rsidRPr="00EE0157" w:rsidRDefault="004E63F7" w:rsidP="00DB39B7">
      <w:pPr>
        <w:jc w:val="center"/>
      </w:pPr>
      <w:r w:rsidRPr="00D52A22">
        <w:rPr>
          <w:rFonts w:asciiTheme="minorHAnsi" w:hAnsiTheme="minorHAnsi"/>
          <w:noProof/>
        </w:rPr>
        <w:drawing>
          <wp:inline distT="0" distB="0" distL="0" distR="0" wp14:anchorId="24676561" wp14:editId="2DA8EE77">
            <wp:extent cx="5731510" cy="1773568"/>
            <wp:effectExtent l="0" t="0" r="2540" b="17145"/>
            <wp:docPr id="276" name="Chart 276">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13A75" w:rsidRPr="00CD06A3" w:rsidRDefault="00513A75" w:rsidP="00513A75">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00FD3343">
        <w:rPr>
          <w:rFonts w:asciiTheme="minorHAnsi" w:hAnsiTheme="minorHAnsi"/>
          <w:i/>
          <w:sz w:val="20"/>
          <w:lang w:val="sq-AL"/>
        </w:rPr>
        <w:t>Burimi: Ministria e Financave dhe Ekonomisë (2022)</w:t>
      </w:r>
    </w:p>
    <w:p w:rsidR="00513A75" w:rsidRPr="00796E6A" w:rsidRDefault="00513A75" w:rsidP="00513A75">
      <w:pPr>
        <w:tabs>
          <w:tab w:val="left" w:pos="360"/>
        </w:tabs>
        <w:spacing w:line="276" w:lineRule="auto"/>
        <w:jc w:val="both"/>
        <w:rPr>
          <w:rFonts w:asciiTheme="minorHAnsi" w:hAnsiTheme="minorHAnsi"/>
          <w:sz w:val="8"/>
          <w:lang w:val="sq-AL"/>
        </w:rPr>
      </w:pPr>
    </w:p>
    <w:p w:rsidR="00513A75" w:rsidRPr="00F770CF" w:rsidRDefault="00F770CF" w:rsidP="00F770CF">
      <w:pPr>
        <w:spacing w:line="276" w:lineRule="auto"/>
        <w:ind w:right="-46"/>
        <w:jc w:val="both"/>
        <w:rPr>
          <w:rFonts w:asciiTheme="minorHAnsi" w:hAnsiTheme="minorHAnsi"/>
        </w:rPr>
      </w:pPr>
      <w:r w:rsidRPr="00D52A22">
        <w:rPr>
          <w:rFonts w:asciiTheme="minorHAnsi" w:hAnsiTheme="minorHAnsi"/>
          <w:noProof/>
        </w:rPr>
        <w:t xml:space="preserve">Nga pikëpamja e investitorëve, </w:t>
      </w:r>
      <w:r w:rsidRPr="00D52A22">
        <w:rPr>
          <w:rFonts w:asciiTheme="minorHAnsi" w:hAnsiTheme="minorHAnsi"/>
        </w:rPr>
        <w:t xml:space="preserve">baza e investitorëve, vijon të jetë e përqëndruar në mbi 60% tek sektori bankar duke e bërë portofolin e borxhit të brendshëm të ndjeshëm ndaj risqeve sistemike që mund të paraqesë ky sektor. Struktura e tregut primar të titujve ka vijuar të konsolidohet nëpërmjet strategjisë e cila synon emetimin e titujve referencë, si shtysë për zhvillimin e tregut sekondar në të ardhmen. </w:t>
      </w:r>
      <w:r w:rsidRPr="00D52A22">
        <w:rPr>
          <w:rFonts w:asciiTheme="minorHAnsi" w:hAnsiTheme="minorHAnsi"/>
          <w:noProof/>
        </w:rPr>
        <w:t>Në këtë drejtim, gjatë tremujorit të parë është vijuar me emetimin e obligacioneve 3 dhe 5 vjeçare referencë</w:t>
      </w:r>
      <w:r w:rsidR="00513A75" w:rsidRPr="00EB0002">
        <w:rPr>
          <w:rFonts w:asciiTheme="minorHAnsi" w:hAnsiTheme="minorHAnsi"/>
          <w:lang w:val="sq-AL"/>
        </w:rPr>
        <w:t>.</w:t>
      </w:r>
    </w:p>
    <w:p w:rsidR="00F770CF" w:rsidRPr="00F770CF" w:rsidRDefault="00F770CF" w:rsidP="00F770CF">
      <w:pPr>
        <w:tabs>
          <w:tab w:val="left" w:pos="360"/>
          <w:tab w:val="left" w:pos="3384"/>
          <w:tab w:val="center" w:pos="4815"/>
        </w:tabs>
        <w:spacing w:line="276" w:lineRule="auto"/>
        <w:jc w:val="both"/>
        <w:rPr>
          <w:rFonts w:asciiTheme="minorHAnsi" w:hAnsiTheme="minorHAnsi"/>
          <w:i/>
          <w:sz w:val="12"/>
          <w:u w:val="single"/>
          <w:lang w:val="sq-AL"/>
        </w:rPr>
      </w:pPr>
    </w:p>
    <w:p w:rsidR="00513A75" w:rsidRPr="006E68A7" w:rsidRDefault="00513A75" w:rsidP="00F770CF">
      <w:pPr>
        <w:tabs>
          <w:tab w:val="left" w:pos="360"/>
          <w:tab w:val="left" w:pos="3384"/>
          <w:tab w:val="center" w:pos="4815"/>
        </w:tabs>
        <w:spacing w:line="276" w:lineRule="auto"/>
        <w:jc w:val="both"/>
        <w:rPr>
          <w:rFonts w:asciiTheme="minorHAnsi" w:hAnsiTheme="minorHAnsi"/>
          <w:i/>
          <w:u w:val="single"/>
          <w:lang w:val="sq-AL"/>
        </w:rPr>
      </w:pPr>
      <w:r w:rsidRPr="006E68A7">
        <w:rPr>
          <w:rFonts w:asciiTheme="minorHAnsi" w:hAnsiTheme="minorHAnsi"/>
          <w:i/>
          <w:u w:val="single"/>
          <w:lang w:val="sq-AL"/>
        </w:rPr>
        <w:t>Ecuria e normave të interesit</w:t>
      </w:r>
      <w:r w:rsidR="00F770CF" w:rsidRPr="00F770CF">
        <w:rPr>
          <w:rFonts w:asciiTheme="minorHAnsi" w:hAnsiTheme="minorHAnsi"/>
          <w:i/>
          <w:lang w:val="sq-AL"/>
        </w:rPr>
        <w:tab/>
      </w:r>
      <w:r w:rsidR="00F770CF" w:rsidRPr="00F770CF">
        <w:rPr>
          <w:rFonts w:asciiTheme="minorHAnsi" w:hAnsiTheme="minorHAnsi"/>
          <w:i/>
          <w:lang w:val="sq-AL"/>
        </w:rPr>
        <w:tab/>
      </w:r>
    </w:p>
    <w:p w:rsidR="00513A75" w:rsidRPr="00F770CF" w:rsidRDefault="00F770CF" w:rsidP="00F770CF">
      <w:pPr>
        <w:ind w:right="-46"/>
        <w:jc w:val="both"/>
        <w:rPr>
          <w:rFonts w:asciiTheme="minorHAnsi" w:eastAsia="Calibri" w:hAnsiTheme="minorHAnsi"/>
          <w:noProof/>
          <w:lang w:eastAsia="ja-JP"/>
        </w:rPr>
      </w:pPr>
      <w:r w:rsidRPr="00D52A22">
        <w:rPr>
          <w:rFonts w:asciiTheme="minorHAnsi" w:eastAsia="Calibri" w:hAnsiTheme="minorHAnsi"/>
          <w:noProof/>
          <w:lang w:eastAsia="ja-JP"/>
        </w:rPr>
        <w:t xml:space="preserve">Normat mesatare të ponderuara gjatë </w:t>
      </w:r>
      <w:r>
        <w:rPr>
          <w:rFonts w:asciiTheme="minorHAnsi" w:eastAsia="Calibri" w:hAnsiTheme="minorHAnsi"/>
          <w:noProof/>
          <w:lang w:eastAsia="ja-JP"/>
        </w:rPr>
        <w:t>T1</w:t>
      </w:r>
      <w:r w:rsidRPr="00D52A22">
        <w:rPr>
          <w:rFonts w:asciiTheme="minorHAnsi" w:eastAsia="Calibri" w:hAnsiTheme="minorHAnsi"/>
          <w:noProof/>
          <w:lang w:eastAsia="ja-JP"/>
        </w:rPr>
        <w:t xml:space="preserve"> 2022 kanë shënuar ulje krah</w:t>
      </w:r>
      <w:r>
        <w:rPr>
          <w:rFonts w:asciiTheme="minorHAnsi" w:eastAsia="Calibri" w:hAnsiTheme="minorHAnsi"/>
          <w:noProof/>
          <w:lang w:eastAsia="ja-JP"/>
        </w:rPr>
        <w:t>a</w:t>
      </w:r>
      <w:r w:rsidRPr="00D52A22">
        <w:rPr>
          <w:rFonts w:asciiTheme="minorHAnsi" w:eastAsia="Calibri" w:hAnsiTheme="minorHAnsi"/>
          <w:noProof/>
          <w:lang w:eastAsia="ja-JP"/>
        </w:rPr>
        <w:t>suar me fundin e 2021. Instrumentat afatshkurtër, si edhe obligacionet 2VJ, 5VJ dhe 15VJ kanë pësuar një ulje të lehtë të normës mesatare të ponderuar, ndërkohë që Yield-et mesatare të ponderuara të instrumenteve me maturitet 3VJ, 7Vj dhe 10Vj kanë qenë më të larta se vitin e kaluar.</w:t>
      </w:r>
      <w:r>
        <w:rPr>
          <w:rFonts w:asciiTheme="minorHAnsi" w:eastAsia="Calibri" w:hAnsiTheme="minorHAnsi"/>
          <w:noProof/>
          <w:lang w:eastAsia="ja-JP"/>
        </w:rPr>
        <w:t xml:space="preserve"> </w:t>
      </w:r>
      <w:r w:rsidRPr="00D52A22">
        <w:rPr>
          <w:rFonts w:asciiTheme="minorHAnsi" w:eastAsia="Calibri" w:hAnsiTheme="minorHAnsi"/>
          <w:noProof/>
          <w:lang w:eastAsia="ja-JP"/>
        </w:rPr>
        <w:t>Ndërkohë</w:t>
      </w:r>
      <w:r>
        <w:rPr>
          <w:rFonts w:asciiTheme="minorHAnsi" w:eastAsia="Calibri" w:hAnsiTheme="minorHAnsi"/>
          <w:noProof/>
          <w:lang w:eastAsia="ja-JP"/>
        </w:rPr>
        <w:t xml:space="preserve">, </w:t>
      </w:r>
      <w:r w:rsidRPr="00D52A22">
        <w:rPr>
          <w:rFonts w:asciiTheme="minorHAnsi" w:eastAsia="Calibri" w:hAnsiTheme="minorHAnsi"/>
          <w:noProof/>
          <w:lang w:eastAsia="ja-JP"/>
        </w:rPr>
        <w:t xml:space="preserve">normat e interesit në çdo ankand të titujve shtetërorë kanë shënuar rritje gjatë </w:t>
      </w:r>
      <w:r>
        <w:rPr>
          <w:rFonts w:asciiTheme="minorHAnsi" w:eastAsia="Calibri" w:hAnsiTheme="minorHAnsi"/>
          <w:noProof/>
          <w:lang w:eastAsia="ja-JP"/>
        </w:rPr>
        <w:t>T1</w:t>
      </w:r>
      <w:r w:rsidRPr="00D52A22">
        <w:rPr>
          <w:rFonts w:asciiTheme="minorHAnsi" w:eastAsia="Calibri" w:hAnsiTheme="minorHAnsi"/>
          <w:noProof/>
          <w:lang w:eastAsia="ja-JP"/>
        </w:rPr>
        <w:t xml:space="preserve"> 2022, krahasuar me fundin e 2021, ndikuar nga pasiguritë e shkaktuara në vend si rezultat i pasojave të shkaktuara nga keonflikti Rusi-Ukrainë, si edhe nga deklaratat në tregjet e huaja për rritje të normave të interesit. Pritshmëritë për rritjen e normave të intersit u forcuan më shumë pas vendimit të Këshillit Mbikëqyrës të Bankës së Shqipërisë, që më datë 23 </w:t>
      </w:r>
      <w:r>
        <w:rPr>
          <w:rFonts w:asciiTheme="minorHAnsi" w:eastAsia="Calibri" w:hAnsiTheme="minorHAnsi"/>
          <w:noProof/>
          <w:lang w:eastAsia="ja-JP"/>
        </w:rPr>
        <w:t>M</w:t>
      </w:r>
      <w:r w:rsidRPr="00D52A22">
        <w:rPr>
          <w:rFonts w:asciiTheme="minorHAnsi" w:eastAsia="Calibri" w:hAnsiTheme="minorHAnsi"/>
          <w:noProof/>
          <w:lang w:eastAsia="ja-JP"/>
        </w:rPr>
        <w:t xml:space="preserve">ars vendosi të rrisë normën bazë për herë të parë </w:t>
      </w:r>
      <w:r>
        <w:rPr>
          <w:rFonts w:asciiTheme="minorHAnsi" w:eastAsia="Calibri" w:hAnsiTheme="minorHAnsi"/>
          <w:noProof/>
          <w:lang w:eastAsia="ja-JP"/>
        </w:rPr>
        <w:t>pas</w:t>
      </w:r>
      <w:r w:rsidRPr="00D52A22">
        <w:rPr>
          <w:rFonts w:asciiTheme="minorHAnsi" w:eastAsia="Calibri" w:hAnsiTheme="minorHAnsi"/>
          <w:noProof/>
          <w:lang w:eastAsia="ja-JP"/>
        </w:rPr>
        <w:t xml:space="preserve"> 10 vjetësh, duke e cuar në 1% nga 0.5%</w:t>
      </w:r>
      <w:r w:rsidR="00513A75" w:rsidRPr="00EB0002">
        <w:rPr>
          <w:rFonts w:asciiTheme="minorHAnsi" w:hAnsiTheme="minorHAnsi"/>
          <w:lang w:val="sq-AL"/>
        </w:rPr>
        <w:t xml:space="preserve">. </w:t>
      </w:r>
    </w:p>
    <w:p w:rsidR="00513A75" w:rsidRPr="00796E6A" w:rsidRDefault="00513A75" w:rsidP="00513A75">
      <w:pPr>
        <w:tabs>
          <w:tab w:val="left" w:pos="360"/>
        </w:tabs>
        <w:spacing w:line="276" w:lineRule="auto"/>
        <w:jc w:val="both"/>
        <w:rPr>
          <w:rFonts w:asciiTheme="minorHAnsi" w:hAnsiTheme="minorHAnsi"/>
          <w:sz w:val="8"/>
          <w:lang w:val="sq-AL"/>
        </w:rPr>
      </w:pPr>
    </w:p>
    <w:p w:rsidR="00513A75" w:rsidRPr="00F770CF" w:rsidRDefault="00513A75" w:rsidP="00A0762A">
      <w:pPr>
        <w:pStyle w:val="Caption"/>
        <w:keepNext/>
        <w:spacing w:after="0"/>
        <w:rPr>
          <w:rFonts w:asciiTheme="minorHAnsi" w:hAnsiTheme="minorHAnsi"/>
          <w:b w:val="0"/>
          <w:bCs w:val="0"/>
          <w:i/>
          <w:noProof/>
          <w:color w:val="auto"/>
          <w:sz w:val="22"/>
          <w:szCs w:val="24"/>
        </w:rPr>
      </w:pPr>
      <w:bookmarkStart w:id="95" w:name="_Toc107498134"/>
      <w:r w:rsidRPr="00F770CF">
        <w:rPr>
          <w:rFonts w:asciiTheme="minorHAnsi" w:hAnsiTheme="minorHAnsi"/>
          <w:b w:val="0"/>
          <w:bCs w:val="0"/>
          <w:i/>
          <w:noProof/>
          <w:color w:val="auto"/>
          <w:sz w:val="22"/>
          <w:szCs w:val="24"/>
        </w:rPr>
        <w:t xml:space="preserve">Grafiku </w:t>
      </w:r>
      <w:r w:rsidRPr="00F770CF">
        <w:rPr>
          <w:rFonts w:asciiTheme="minorHAnsi" w:hAnsiTheme="minorHAnsi"/>
          <w:b w:val="0"/>
          <w:bCs w:val="0"/>
          <w:i/>
          <w:noProof/>
          <w:color w:val="auto"/>
          <w:sz w:val="22"/>
          <w:szCs w:val="24"/>
        </w:rPr>
        <w:fldChar w:fldCharType="begin"/>
      </w:r>
      <w:r w:rsidRPr="00F770CF">
        <w:rPr>
          <w:rFonts w:asciiTheme="minorHAnsi" w:hAnsiTheme="minorHAnsi"/>
          <w:b w:val="0"/>
          <w:bCs w:val="0"/>
          <w:i/>
          <w:noProof/>
          <w:color w:val="auto"/>
          <w:sz w:val="22"/>
          <w:szCs w:val="24"/>
        </w:rPr>
        <w:instrText xml:space="preserve"> SEQ Grafiku \* ARABIC </w:instrText>
      </w:r>
      <w:r w:rsidRPr="00F770CF">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43</w:t>
      </w:r>
      <w:r w:rsidRPr="00F770CF">
        <w:rPr>
          <w:rFonts w:asciiTheme="minorHAnsi" w:hAnsiTheme="minorHAnsi"/>
          <w:b w:val="0"/>
          <w:bCs w:val="0"/>
          <w:i/>
          <w:noProof/>
          <w:color w:val="auto"/>
          <w:sz w:val="22"/>
          <w:szCs w:val="24"/>
        </w:rPr>
        <w:fldChar w:fldCharType="end"/>
      </w:r>
      <w:r w:rsidRPr="00F770CF">
        <w:rPr>
          <w:rFonts w:asciiTheme="minorHAnsi" w:hAnsiTheme="minorHAnsi"/>
          <w:b w:val="0"/>
          <w:bCs w:val="0"/>
          <w:i/>
          <w:noProof/>
          <w:color w:val="auto"/>
          <w:sz w:val="22"/>
          <w:szCs w:val="24"/>
        </w:rPr>
        <w:t>: Norma mesatare e ponderuar e titujve shtetërorë</w:t>
      </w:r>
      <w:r w:rsidRPr="00F770CF">
        <w:rPr>
          <w:rFonts w:asciiTheme="minorHAnsi" w:hAnsiTheme="minorHAnsi"/>
          <w:b w:val="0"/>
          <w:bCs w:val="0"/>
          <w:i/>
          <w:noProof/>
          <w:color w:val="auto"/>
          <w:sz w:val="22"/>
          <w:szCs w:val="24"/>
          <w:vertAlign w:val="superscript"/>
        </w:rPr>
        <w:footnoteReference w:id="3"/>
      </w:r>
      <w:r w:rsidRPr="00F770CF">
        <w:rPr>
          <w:rFonts w:asciiTheme="minorHAnsi" w:hAnsiTheme="minorHAnsi"/>
          <w:b w:val="0"/>
          <w:bCs w:val="0"/>
          <w:i/>
          <w:noProof/>
          <w:color w:val="auto"/>
          <w:sz w:val="22"/>
          <w:szCs w:val="24"/>
        </w:rPr>
        <w:t xml:space="preserve"> (</w:t>
      </w:r>
      <w:r w:rsidR="00A0762A">
        <w:rPr>
          <w:rFonts w:asciiTheme="minorHAnsi" w:hAnsiTheme="minorHAnsi"/>
          <w:b w:val="0"/>
          <w:bCs w:val="0"/>
          <w:i/>
          <w:noProof/>
          <w:color w:val="auto"/>
          <w:sz w:val="22"/>
          <w:szCs w:val="24"/>
        </w:rPr>
        <w:t xml:space="preserve">Shtator 2021 </w:t>
      </w:r>
      <w:r w:rsidRPr="00F770CF">
        <w:rPr>
          <w:rFonts w:asciiTheme="minorHAnsi" w:hAnsiTheme="minorHAnsi"/>
          <w:b w:val="0"/>
          <w:bCs w:val="0"/>
          <w:i/>
          <w:noProof/>
          <w:color w:val="auto"/>
          <w:sz w:val="22"/>
          <w:szCs w:val="24"/>
        </w:rPr>
        <w:t>-</w:t>
      </w:r>
      <w:r w:rsidR="00A0762A">
        <w:rPr>
          <w:rFonts w:asciiTheme="minorHAnsi" w:hAnsiTheme="minorHAnsi"/>
          <w:b w:val="0"/>
          <w:bCs w:val="0"/>
          <w:i/>
          <w:noProof/>
          <w:color w:val="auto"/>
          <w:sz w:val="22"/>
          <w:szCs w:val="24"/>
        </w:rPr>
        <w:t xml:space="preserve"> </w:t>
      </w:r>
      <w:r w:rsidRPr="00F770CF">
        <w:rPr>
          <w:rFonts w:asciiTheme="minorHAnsi" w:hAnsiTheme="minorHAnsi"/>
          <w:b w:val="0"/>
          <w:bCs w:val="0"/>
          <w:i/>
          <w:noProof/>
          <w:color w:val="auto"/>
          <w:sz w:val="22"/>
          <w:szCs w:val="24"/>
        </w:rPr>
        <w:t>Mars 202</w:t>
      </w:r>
      <w:r w:rsidR="00A0762A">
        <w:rPr>
          <w:rFonts w:asciiTheme="minorHAnsi" w:hAnsiTheme="minorHAnsi"/>
          <w:b w:val="0"/>
          <w:bCs w:val="0"/>
          <w:i/>
          <w:noProof/>
          <w:color w:val="auto"/>
          <w:sz w:val="22"/>
          <w:szCs w:val="24"/>
        </w:rPr>
        <w:t>2</w:t>
      </w:r>
      <w:r w:rsidRPr="00F770CF">
        <w:rPr>
          <w:rFonts w:asciiTheme="minorHAnsi" w:hAnsiTheme="minorHAnsi"/>
          <w:b w:val="0"/>
          <w:bCs w:val="0"/>
          <w:i/>
          <w:noProof/>
          <w:color w:val="auto"/>
          <w:sz w:val="22"/>
          <w:szCs w:val="24"/>
        </w:rPr>
        <w:t>)</w:t>
      </w:r>
      <w:bookmarkEnd w:id="95"/>
    </w:p>
    <w:p w:rsidR="00513A75" w:rsidRPr="00EE0157" w:rsidRDefault="00A0762A" w:rsidP="00DE2307">
      <w:pPr>
        <w:jc w:val="center"/>
      </w:pPr>
      <w:r w:rsidRPr="00D52A22">
        <w:rPr>
          <w:rFonts w:asciiTheme="minorHAnsi" w:hAnsiTheme="minorHAnsi"/>
          <w:b/>
          <w:noProof/>
        </w:rPr>
        <w:drawing>
          <wp:inline distT="0" distB="0" distL="0" distR="0" wp14:anchorId="44D115DC" wp14:editId="24406F77">
            <wp:extent cx="6043930" cy="2387260"/>
            <wp:effectExtent l="0" t="0" r="13970" b="13335"/>
            <wp:docPr id="1" name="Chart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13A75" w:rsidRDefault="00FD3343"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Burimi: Ministria e Financave dhe Ekonomisë (2022)</w:t>
      </w:r>
    </w:p>
    <w:p w:rsidR="00CB7741" w:rsidRPr="0065598A" w:rsidRDefault="00765663" w:rsidP="002334F6">
      <w:pPr>
        <w:pStyle w:val="Heading2"/>
      </w:pPr>
      <w:bookmarkStart w:id="96" w:name="_Toc107496994"/>
      <w:r w:rsidRPr="0065598A">
        <w:lastRenderedPageBreak/>
        <w:t>I</w:t>
      </w:r>
      <w:r w:rsidR="00CB7741" w:rsidRPr="0065598A">
        <w:t>V.3</w:t>
      </w:r>
      <w:r w:rsidR="00CB7741" w:rsidRPr="0065598A">
        <w:tab/>
        <w:t xml:space="preserve">Pritshmëritë </w:t>
      </w:r>
      <w:r w:rsidR="0085454B" w:rsidRPr="0065598A">
        <w:t xml:space="preserve">e Borxhit </w:t>
      </w:r>
      <w:r w:rsidR="00CB7741" w:rsidRPr="0065598A">
        <w:t>për vitin 20</w:t>
      </w:r>
      <w:r w:rsidR="001E18DB">
        <w:t>2</w:t>
      </w:r>
      <w:r w:rsidR="00565BEB">
        <w:t>2</w:t>
      </w:r>
      <w:bookmarkEnd w:id="96"/>
    </w:p>
    <w:p w:rsidR="00125DA8" w:rsidRPr="00125DA8" w:rsidRDefault="00125DA8" w:rsidP="00125DA8">
      <w:pPr>
        <w:tabs>
          <w:tab w:val="left" w:pos="2730"/>
        </w:tabs>
        <w:spacing w:line="276" w:lineRule="auto"/>
        <w:jc w:val="both"/>
        <w:rPr>
          <w:rFonts w:asciiTheme="minorHAnsi" w:hAnsiTheme="minorHAnsi"/>
          <w:sz w:val="8"/>
          <w:szCs w:val="8"/>
          <w:lang w:val="sq-AL"/>
        </w:rPr>
      </w:pPr>
      <w:bookmarkStart w:id="97" w:name="_Toc10033283"/>
      <w:bookmarkStart w:id="98" w:name="_Toc10721420"/>
      <w:bookmarkStart w:id="99" w:name="_Toc11134240"/>
      <w:bookmarkStart w:id="100" w:name="_Toc10033286"/>
      <w:bookmarkStart w:id="101" w:name="_Toc10721423"/>
      <w:bookmarkStart w:id="102" w:name="_Toc11134243"/>
    </w:p>
    <w:p w:rsidR="00A0762A" w:rsidRDefault="00A0762A" w:rsidP="00FF6BC9">
      <w:pPr>
        <w:tabs>
          <w:tab w:val="left" w:pos="2730"/>
        </w:tabs>
        <w:spacing w:line="276" w:lineRule="auto"/>
        <w:jc w:val="both"/>
        <w:rPr>
          <w:rFonts w:asciiTheme="minorHAnsi" w:eastAsia="Calibri" w:hAnsiTheme="minorHAnsi"/>
          <w:noProof/>
          <w:lang w:eastAsia="ja-JP"/>
        </w:rPr>
      </w:pPr>
      <w:r w:rsidRPr="00D52A22">
        <w:rPr>
          <w:rFonts w:asciiTheme="minorHAnsi" w:eastAsia="Calibri" w:hAnsiTheme="minorHAnsi"/>
          <w:noProof/>
          <w:lang w:eastAsia="ja-JP"/>
        </w:rPr>
        <w:t xml:space="preserve">Gjatë pjesës së mbetur të vitit 2022, menaxhimi i borxhit do të ketë në fokus plotësimin e nevojave për huamarrje në kuadër të rimëkëmbjes së ekonomisë pas situatës së krijuar nga përhapja e pandemisë Covid-19, dhe ndikimit të konfliktit Rusi-Ukrainë, duke mbajtur në konsideratë përmirësimin e mëtejshëm të strukturës së borxhit </w:t>
      </w:r>
      <w:r w:rsidRPr="00D52A22">
        <w:rPr>
          <w:rFonts w:asciiTheme="minorHAnsi" w:eastAsia="Calibri" w:hAnsiTheme="minorHAnsi"/>
          <w:i/>
          <w:noProof/>
          <w:lang w:eastAsia="ja-JP"/>
        </w:rPr>
        <w:t>(kryesisht strukturën e portofolit të borxhit të brendshëm)</w:t>
      </w:r>
      <w:r w:rsidRPr="00D52A22">
        <w:rPr>
          <w:rFonts w:asciiTheme="minorHAnsi" w:eastAsia="Calibri" w:hAnsiTheme="minorHAnsi"/>
          <w:noProof/>
          <w:lang w:eastAsia="ja-JP"/>
        </w:rPr>
        <w:t xml:space="preserve"> në drejtim të uljes së ekspozimit ndaj risqeve, si edhe mbajtjes nën kontroll të kostos. </w:t>
      </w:r>
    </w:p>
    <w:p w:rsidR="00A0762A" w:rsidRDefault="00A0762A" w:rsidP="00A0762A">
      <w:pPr>
        <w:tabs>
          <w:tab w:val="left" w:pos="2730"/>
        </w:tabs>
        <w:spacing w:before="240" w:line="276" w:lineRule="auto"/>
        <w:jc w:val="both"/>
        <w:rPr>
          <w:rFonts w:asciiTheme="minorHAnsi" w:eastAsia="Calibri" w:hAnsiTheme="minorHAnsi"/>
          <w:noProof/>
          <w:lang w:eastAsia="ja-JP"/>
        </w:rPr>
      </w:pPr>
      <w:r w:rsidRPr="00D52A22">
        <w:rPr>
          <w:rFonts w:asciiTheme="minorHAnsi" w:eastAsia="Calibri" w:hAnsiTheme="minorHAnsi"/>
          <w:noProof/>
          <w:lang w:eastAsia="ja-JP"/>
        </w:rPr>
        <w:t xml:space="preserve">Në tregun e brendshëm, nëpërmjet titujve afatshkurtër do të synohet kryesisht rifinancimi i titujve ekzistues, si dhe menaxhimi aktiv i nevojave për likuiditet. </w:t>
      </w:r>
    </w:p>
    <w:p w:rsidR="00A0762A" w:rsidRDefault="00A0762A" w:rsidP="00A0762A">
      <w:pPr>
        <w:tabs>
          <w:tab w:val="left" w:pos="2730"/>
        </w:tabs>
        <w:spacing w:before="240" w:line="276" w:lineRule="auto"/>
        <w:jc w:val="both"/>
        <w:rPr>
          <w:rFonts w:asciiTheme="minorHAnsi" w:eastAsia="Calibri" w:hAnsiTheme="minorHAnsi"/>
          <w:noProof/>
          <w:lang w:eastAsia="ja-JP"/>
        </w:rPr>
      </w:pPr>
      <w:r w:rsidRPr="00D52A22">
        <w:rPr>
          <w:rFonts w:asciiTheme="minorHAnsi" w:eastAsia="Calibri" w:hAnsiTheme="minorHAnsi"/>
          <w:noProof/>
          <w:lang w:eastAsia="ja-JP"/>
        </w:rPr>
        <w:t xml:space="preserve">Ndërkohë, nëpërmjet titujve afatgjatë do të synohet të mbulohet financimi i deficitit. </w:t>
      </w:r>
    </w:p>
    <w:p w:rsidR="00FF6BC9" w:rsidRDefault="00A0762A" w:rsidP="00A0762A">
      <w:pPr>
        <w:tabs>
          <w:tab w:val="left" w:pos="2730"/>
        </w:tabs>
        <w:spacing w:before="240" w:line="276" w:lineRule="auto"/>
        <w:jc w:val="both"/>
        <w:rPr>
          <w:rFonts w:asciiTheme="minorHAnsi" w:hAnsiTheme="minorHAnsi"/>
          <w:lang w:val="sq-AL"/>
        </w:rPr>
      </w:pPr>
      <w:r w:rsidRPr="00D52A22">
        <w:rPr>
          <w:rFonts w:asciiTheme="minorHAnsi" w:eastAsia="Calibri" w:hAnsiTheme="minorHAnsi"/>
          <w:noProof/>
          <w:lang w:eastAsia="ja-JP"/>
        </w:rPr>
        <w:t>Financimi i huaj do të shërbejë si plotësues i burimeve të brendshme dhe përveç të tjerash edhe si optimizues i kostove të borxhit</w:t>
      </w:r>
      <w:r w:rsidR="00FF6BC9">
        <w:rPr>
          <w:rFonts w:asciiTheme="minorHAnsi" w:hAnsiTheme="minorHAnsi"/>
          <w:lang w:val="sq-AL"/>
        </w:rPr>
        <w:t xml:space="preserve">. </w:t>
      </w:r>
    </w:p>
    <w:p w:rsidR="00A0762A" w:rsidRDefault="00A0762A" w:rsidP="00A0762A">
      <w:pPr>
        <w:tabs>
          <w:tab w:val="left" w:pos="2730"/>
        </w:tabs>
        <w:spacing w:before="240" w:line="276" w:lineRule="auto"/>
        <w:jc w:val="both"/>
        <w:rPr>
          <w:rFonts w:asciiTheme="minorHAnsi" w:hAnsiTheme="minorHAnsi"/>
          <w:lang w:val="sq-AL"/>
        </w:rPr>
      </w:pPr>
    </w:p>
    <w:p w:rsidR="00562780" w:rsidRPr="006F15D6" w:rsidRDefault="00562780" w:rsidP="00D43A95">
      <w:pPr>
        <w:pStyle w:val="Heading1"/>
        <w:numPr>
          <w:ilvl w:val="0"/>
          <w:numId w:val="1"/>
        </w:numPr>
        <w:spacing w:line="276" w:lineRule="auto"/>
        <w:ind w:left="720"/>
        <w:jc w:val="both"/>
        <w:rPr>
          <w:sz w:val="32"/>
          <w:u w:val="none"/>
        </w:rPr>
      </w:pPr>
      <w:bookmarkStart w:id="103" w:name="_Toc107496995"/>
      <w:r w:rsidRPr="006F15D6">
        <w:rPr>
          <w:sz w:val="32"/>
          <w:u w:val="none"/>
        </w:rPr>
        <w:t>RREZIQET FISKALE DHE DETYRIMET KONTIGJENTE</w:t>
      </w:r>
      <w:bookmarkEnd w:id="97"/>
      <w:bookmarkEnd w:id="98"/>
      <w:bookmarkEnd w:id="103"/>
      <w:r w:rsidRPr="006F15D6">
        <w:rPr>
          <w:sz w:val="32"/>
          <w:u w:val="none"/>
        </w:rPr>
        <w:t xml:space="preserve"> </w:t>
      </w:r>
      <w:bookmarkEnd w:id="99"/>
    </w:p>
    <w:p w:rsidR="00325B8D" w:rsidRDefault="00A60CC8" w:rsidP="00A60CC8">
      <w:pPr>
        <w:spacing w:before="240" w:line="276" w:lineRule="auto"/>
        <w:jc w:val="both"/>
        <w:rPr>
          <w:rFonts w:asciiTheme="minorHAnsi" w:hAnsiTheme="minorHAnsi"/>
          <w:lang w:val="sq-AL"/>
        </w:rPr>
      </w:pPr>
      <w:r w:rsidRPr="00D77A28">
        <w:rPr>
          <w:rFonts w:asciiTheme="minorHAnsi" w:hAnsiTheme="minorHAnsi"/>
          <w:lang w:val="sq-AL"/>
        </w:rPr>
        <w:t xml:space="preserve">Me qëllim ndjekjen e performancës të zbatimit të buxhetit të shtetit, Ministria e Financave dhe Ekonomisë me mbështetjen e FMN dhe BB që prej vitit 2017 ka nisur monitorimin e risqeve që shoqërojnë zbatimin e tij. Ky proces ka për qëllim që, në bazë të analizave të thelluara, të rekomandojë zbutjen dhe/apo parandalimin në kohë të rreziqeve fiskale, pasuar nga një vendimarrje koherente. </w:t>
      </w:r>
    </w:p>
    <w:p w:rsidR="007000D1" w:rsidRDefault="00A60CC8" w:rsidP="00A60CC8">
      <w:pPr>
        <w:spacing w:before="240" w:line="276" w:lineRule="auto"/>
        <w:jc w:val="both"/>
        <w:rPr>
          <w:rFonts w:asciiTheme="minorHAnsi" w:hAnsiTheme="minorHAnsi"/>
          <w:lang w:val="sq-AL"/>
        </w:rPr>
      </w:pPr>
      <w:r w:rsidRPr="00D77A28">
        <w:rPr>
          <w:rFonts w:asciiTheme="minorHAnsi" w:hAnsiTheme="minorHAnsi"/>
          <w:lang w:val="sq-AL"/>
        </w:rPr>
        <w:t xml:space="preserve">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0D4371">
        <w:rPr>
          <w:rFonts w:asciiTheme="minorHAnsi" w:hAnsiTheme="minorHAnsi"/>
          <w:i/>
          <w:lang w:val="sq-AL"/>
        </w:rPr>
        <w:t>ad-hoc</w:t>
      </w:r>
      <w:r w:rsidRPr="00D77A28">
        <w:rPr>
          <w:rFonts w:asciiTheme="minorHAnsi" w:hAnsiTheme="minorHAnsi"/>
          <w:lang w:val="sq-AL"/>
        </w:rPr>
        <w:t xml:space="preserve"> mbi politikën fiskale dhe/ose materializimin e detyrimeve kontingjente. </w:t>
      </w:r>
    </w:p>
    <w:p w:rsidR="00A60CC8" w:rsidRPr="00D77A28" w:rsidRDefault="00A60CC8" w:rsidP="00A60CC8">
      <w:pPr>
        <w:spacing w:before="240" w:line="276" w:lineRule="auto"/>
        <w:jc w:val="both"/>
        <w:rPr>
          <w:rFonts w:asciiTheme="minorHAnsi" w:hAnsiTheme="minorHAnsi"/>
          <w:lang w:val="sq-AL"/>
        </w:rPr>
      </w:pPr>
      <w:r w:rsidRPr="00D77A28">
        <w:rPr>
          <w:rFonts w:asciiTheme="minorHAnsi" w:hAnsiTheme="minorHAnsi"/>
          <w:lang w:val="sq-AL"/>
        </w:rPr>
        <w:t xml:space="preserve">Vlerësimi i probabilitetit dhe ndikimit të risqeve fiskale kryhet në bazë të analizave të thelluara dhe parashikimeve në kuadër të Buxhetit </w:t>
      </w:r>
      <w:r>
        <w:rPr>
          <w:rFonts w:asciiTheme="minorHAnsi" w:hAnsiTheme="minorHAnsi"/>
          <w:lang w:val="sq-AL"/>
        </w:rPr>
        <w:t>A</w:t>
      </w:r>
      <w:r w:rsidRPr="00D77A28">
        <w:rPr>
          <w:rFonts w:asciiTheme="minorHAnsi" w:hAnsiTheme="minorHAnsi"/>
          <w:lang w:val="sq-AL"/>
        </w:rPr>
        <w:t xml:space="preserve">fatmesëm. Përkatësisht vlerësohen </w:t>
      </w:r>
      <w:r w:rsidRPr="000D4371">
        <w:rPr>
          <w:rFonts w:asciiTheme="minorHAnsi" w:hAnsiTheme="minorHAnsi"/>
          <w:u w:val="single"/>
          <w:lang w:val="sq-AL"/>
        </w:rPr>
        <w:t>dy kategori risqesh</w:t>
      </w:r>
      <w:r w:rsidRPr="00D77A28">
        <w:rPr>
          <w:rFonts w:asciiTheme="minorHAnsi" w:hAnsiTheme="minorHAnsi"/>
          <w:lang w:val="sq-AL"/>
        </w:rPr>
        <w:t>:</w:t>
      </w:r>
    </w:p>
    <w:p w:rsidR="00A60CC8" w:rsidRPr="006F15D6" w:rsidRDefault="00A60CC8" w:rsidP="003F6B21">
      <w:pPr>
        <w:pStyle w:val="ListParagraph"/>
        <w:numPr>
          <w:ilvl w:val="0"/>
          <w:numId w:val="26"/>
        </w:numPr>
        <w:spacing w:line="276" w:lineRule="auto"/>
        <w:jc w:val="both"/>
        <w:rPr>
          <w:rFonts w:asciiTheme="minorHAnsi" w:hAnsiTheme="minorHAnsi"/>
          <w:i/>
          <w:lang w:val="sq-AL"/>
        </w:rPr>
      </w:pPr>
      <w:r w:rsidRPr="006F15D6">
        <w:rPr>
          <w:rFonts w:asciiTheme="minorHAnsi" w:hAnsiTheme="minorHAnsi"/>
          <w:i/>
          <w:u w:val="single"/>
          <w:lang w:val="sq-AL"/>
        </w:rPr>
        <w:t>“Eksplicite”</w:t>
      </w:r>
      <w:r w:rsidRPr="006F15D6">
        <w:rPr>
          <w:rFonts w:asciiTheme="minorHAnsi" w:hAnsiTheme="minorHAnsi"/>
          <w:i/>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rsidR="00A60CC8" w:rsidRDefault="00A60CC8" w:rsidP="003F6B21">
      <w:pPr>
        <w:pStyle w:val="ListParagraph"/>
        <w:numPr>
          <w:ilvl w:val="0"/>
          <w:numId w:val="26"/>
        </w:numPr>
        <w:spacing w:line="276" w:lineRule="auto"/>
        <w:jc w:val="both"/>
        <w:rPr>
          <w:rFonts w:asciiTheme="minorHAnsi" w:hAnsiTheme="minorHAnsi"/>
          <w:i/>
          <w:lang w:val="sq-AL"/>
        </w:rPr>
      </w:pPr>
      <w:r w:rsidRPr="006F15D6">
        <w:rPr>
          <w:rFonts w:asciiTheme="minorHAnsi" w:hAnsiTheme="minorHAnsi"/>
          <w:i/>
          <w:u w:val="single"/>
          <w:lang w:val="sq-AL"/>
        </w:rPr>
        <w:t>“Implicite”,</w:t>
      </w:r>
      <w:r w:rsidRPr="006F15D6">
        <w:rPr>
          <w:rFonts w:asciiTheme="minorHAnsi" w:hAnsiTheme="minorHAnsi"/>
          <w:i/>
          <w:lang w:val="sq-AL"/>
        </w:rPr>
        <w:t xml:space="preserve"> kontingjente, Detyrime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 dhe sektori financiar apo risqet afatgjata.</w:t>
      </w:r>
    </w:p>
    <w:p w:rsidR="00325B8D" w:rsidRDefault="00325B8D" w:rsidP="00325B8D">
      <w:pPr>
        <w:spacing w:line="276" w:lineRule="auto"/>
        <w:jc w:val="both"/>
        <w:rPr>
          <w:rFonts w:asciiTheme="minorHAnsi" w:hAnsiTheme="minorHAnsi"/>
          <w:i/>
          <w:lang w:val="sq-AL"/>
        </w:rPr>
      </w:pPr>
    </w:p>
    <w:p w:rsidR="00325B8D" w:rsidRDefault="00325B8D" w:rsidP="00325B8D">
      <w:pPr>
        <w:spacing w:line="276" w:lineRule="auto"/>
        <w:jc w:val="both"/>
        <w:rPr>
          <w:rFonts w:asciiTheme="minorHAnsi" w:hAnsiTheme="minorHAnsi"/>
          <w:i/>
          <w:lang w:val="sq-AL"/>
        </w:rPr>
      </w:pPr>
    </w:p>
    <w:p w:rsidR="00325B8D" w:rsidRDefault="00325B8D" w:rsidP="00325B8D">
      <w:pPr>
        <w:spacing w:line="276" w:lineRule="auto"/>
        <w:jc w:val="both"/>
        <w:rPr>
          <w:rFonts w:asciiTheme="minorHAnsi" w:hAnsiTheme="minorHAnsi"/>
          <w:i/>
          <w:lang w:val="sq-AL"/>
        </w:rPr>
      </w:pPr>
    </w:p>
    <w:p w:rsidR="00325B8D" w:rsidRDefault="00325B8D" w:rsidP="00325B8D">
      <w:pPr>
        <w:spacing w:line="276" w:lineRule="auto"/>
        <w:jc w:val="both"/>
        <w:rPr>
          <w:rFonts w:asciiTheme="minorHAnsi" w:hAnsiTheme="minorHAnsi"/>
          <w:i/>
          <w:lang w:val="sq-AL"/>
        </w:rPr>
      </w:pPr>
    </w:p>
    <w:p w:rsidR="00A60CC8" w:rsidRPr="00343167" w:rsidRDefault="00343167" w:rsidP="00343167">
      <w:pPr>
        <w:pStyle w:val="Caption"/>
        <w:keepNext/>
        <w:spacing w:after="0"/>
        <w:rPr>
          <w:rFonts w:asciiTheme="minorHAnsi" w:hAnsiTheme="minorHAnsi"/>
          <w:b w:val="0"/>
          <w:bCs w:val="0"/>
          <w:i/>
          <w:noProof/>
          <w:color w:val="auto"/>
          <w:sz w:val="22"/>
          <w:szCs w:val="24"/>
        </w:rPr>
      </w:pPr>
      <w:bookmarkStart w:id="104" w:name="_Toc107496750"/>
      <w:r w:rsidRPr="00343167">
        <w:rPr>
          <w:rFonts w:asciiTheme="minorHAnsi" w:hAnsiTheme="minorHAnsi"/>
          <w:b w:val="0"/>
          <w:bCs w:val="0"/>
          <w:i/>
          <w:noProof/>
          <w:color w:val="auto"/>
          <w:sz w:val="22"/>
          <w:szCs w:val="24"/>
        </w:rPr>
        <w:lastRenderedPageBreak/>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14</w:t>
      </w:r>
      <w:r w:rsidRPr="00343167">
        <w:rPr>
          <w:rFonts w:asciiTheme="minorHAnsi" w:hAnsiTheme="minorHAnsi"/>
          <w:b w:val="0"/>
          <w:bCs w:val="0"/>
          <w:i/>
          <w:noProof/>
          <w:color w:val="auto"/>
          <w:sz w:val="22"/>
          <w:szCs w:val="24"/>
        </w:rPr>
        <w:fldChar w:fldCharType="end"/>
      </w:r>
      <w:r w:rsidR="00A60CC8" w:rsidRPr="00343167">
        <w:rPr>
          <w:rFonts w:asciiTheme="minorHAnsi" w:hAnsiTheme="minorHAnsi"/>
          <w:b w:val="0"/>
          <w:bCs w:val="0"/>
          <w:i/>
          <w:noProof/>
          <w:color w:val="auto"/>
          <w:sz w:val="22"/>
          <w:szCs w:val="24"/>
        </w:rPr>
        <w:t>: Matrica e riskut</w:t>
      </w:r>
      <w:bookmarkEnd w:id="104"/>
    </w:p>
    <w:tbl>
      <w:tblPr>
        <w:tblStyle w:val="GridTable4-Accent11"/>
        <w:tblW w:w="5426" w:type="pct"/>
        <w:jc w:val="center"/>
        <w:tblLook w:val="04A0" w:firstRow="1" w:lastRow="0" w:firstColumn="1" w:lastColumn="0" w:noHBand="0" w:noVBand="1"/>
      </w:tblPr>
      <w:tblGrid>
        <w:gridCol w:w="2775"/>
        <w:gridCol w:w="7665"/>
      </w:tblGrid>
      <w:tr w:rsidR="00A60CC8" w:rsidRPr="00EC407D" w:rsidTr="006F15D6">
        <w:trPr>
          <w:cnfStyle w:val="100000000000" w:firstRow="1" w:lastRow="0" w:firstColumn="0" w:lastColumn="0" w:oddVBand="0" w:evenVBand="0" w:oddHBand="0"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EC407D" w:rsidRDefault="00A60CC8" w:rsidP="006F15D6">
            <w:pPr>
              <w:jc w:val="center"/>
              <w:rPr>
                <w:rFonts w:cs="Times New Roman"/>
                <w:b w:val="0"/>
                <w:bCs w:val="0"/>
                <w:kern w:val="24"/>
                <w:sz w:val="20"/>
                <w:lang w:val="sq-AL" w:eastAsia="nb-NO"/>
              </w:rPr>
            </w:pPr>
          </w:p>
          <w:p w:rsidR="00A60CC8" w:rsidRPr="00EC407D" w:rsidRDefault="00A60CC8" w:rsidP="006F15D6">
            <w:pPr>
              <w:jc w:val="center"/>
              <w:rPr>
                <w:rFonts w:cs="Times New Roman"/>
                <w:sz w:val="20"/>
                <w:lang w:val="sq-AL" w:eastAsia="nb-NO"/>
              </w:rPr>
            </w:pPr>
            <w:r w:rsidRPr="00EC407D">
              <w:rPr>
                <w:rFonts w:cs="Times New Roman"/>
                <w:kern w:val="24"/>
                <w:sz w:val="20"/>
                <w:lang w:val="sq-AL" w:eastAsia="nb-NO"/>
              </w:rPr>
              <w:t>Lloji i rrezikut</w:t>
            </w:r>
          </w:p>
        </w:tc>
        <w:tc>
          <w:tcPr>
            <w:tcW w:w="3671" w:type="pct"/>
            <w:hideMark/>
          </w:tcPr>
          <w:p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b w:val="0"/>
                <w:bCs w:val="0"/>
                <w:kern w:val="24"/>
                <w:sz w:val="20"/>
                <w:lang w:val="sq-AL" w:eastAsia="nb-NO"/>
              </w:rPr>
            </w:pPr>
          </w:p>
          <w:p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sz w:val="20"/>
                <w:lang w:val="sq-AL" w:eastAsia="nb-NO"/>
              </w:rPr>
            </w:pPr>
            <w:r w:rsidRPr="00EC407D">
              <w:rPr>
                <w:rFonts w:cs="Times New Roman"/>
                <w:kern w:val="24"/>
                <w:sz w:val="20"/>
                <w:lang w:val="sq-AL" w:eastAsia="nb-NO"/>
              </w:rPr>
              <w:t>Skenarët e mundshëm</w:t>
            </w:r>
          </w:p>
        </w:tc>
      </w:tr>
      <w:tr w:rsidR="00A60CC8" w:rsidRPr="00EC407D" w:rsidTr="006F15D6">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A60CC8" w:rsidRPr="00EC407D" w:rsidRDefault="00A60CC8" w:rsidP="006F15D6">
            <w:pPr>
              <w:jc w:val="center"/>
              <w:rPr>
                <w:rFonts w:cs="Times New Roman"/>
                <w:b w:val="0"/>
                <w:bCs w:val="0"/>
                <w:color w:val="C00000"/>
                <w:kern w:val="24"/>
                <w:sz w:val="20"/>
                <w:lang w:val="sq-AL" w:eastAsia="nb-NO"/>
              </w:rPr>
            </w:pPr>
            <w:r w:rsidRPr="00EC407D">
              <w:rPr>
                <w:rFonts w:cs="Times New Roman"/>
                <w:color w:val="C00000"/>
                <w:kern w:val="24"/>
                <w:sz w:val="20"/>
                <w:lang w:val="sq-AL" w:eastAsia="nb-NO"/>
              </w:rPr>
              <w:t xml:space="preserve">Risqet dhe detyrimet </w:t>
            </w:r>
            <w:r w:rsidRPr="00EC407D">
              <w:rPr>
                <w:rFonts w:cs="Times New Roman"/>
                <w:color w:val="C00000"/>
                <w:kern w:val="24"/>
                <w:sz w:val="20"/>
                <w:u w:val="single"/>
                <w:lang w:val="sq-AL" w:eastAsia="nb-NO"/>
              </w:rPr>
              <w:t>eksplicite</w:t>
            </w:r>
          </w:p>
        </w:tc>
      </w:tr>
      <w:tr w:rsidR="00A60CC8" w:rsidRPr="00EC407D" w:rsidTr="006F15D6">
        <w:trPr>
          <w:trHeight w:val="333"/>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6F15D6">
            <w:pPr>
              <w:jc w:val="center"/>
              <w:rPr>
                <w:rFonts w:cs="Times New Roman"/>
                <w:b w:val="0"/>
                <w:bCs w:val="0"/>
                <w:color w:val="000000"/>
                <w:kern w:val="24"/>
                <w:sz w:val="8"/>
                <w:szCs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Goditje Makroekonomike</w:t>
            </w:r>
          </w:p>
        </w:tc>
        <w:tc>
          <w:tcPr>
            <w:tcW w:w="3671" w:type="pct"/>
            <w:hideMark/>
          </w:tcPr>
          <w:p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makroekonomike të paparashikuara, që mund të ndryshojnë perspektivën e rritjes ekonomike dhe pozicionin fiskal</w:t>
            </w:r>
          </w:p>
        </w:tc>
      </w:tr>
      <w:tr w:rsidR="00A60CC8" w:rsidRPr="00EC407D"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6F15D6">
            <w:pPr>
              <w:jc w:val="center"/>
              <w:rPr>
                <w:rFonts w:cs="Times New Roman"/>
                <w:b w:val="0"/>
                <w:bCs w:val="0"/>
                <w:color w:val="000000"/>
                <w:kern w:val="24"/>
                <w:sz w:val="8"/>
                <w:szCs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Parashikimi i të ardhurave</w:t>
            </w:r>
          </w:p>
        </w:tc>
        <w:tc>
          <w:tcPr>
            <w:tcW w:w="3671" w:type="pct"/>
            <w:hideMark/>
          </w:tcPr>
          <w:p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Mosrealizimi i të ardhurave, që mund të sjellë përkeqësimin e bilancit fiskal</w:t>
            </w:r>
          </w:p>
        </w:tc>
      </w:tr>
      <w:tr w:rsidR="00A60CC8" w:rsidRPr="00EC407D" w:rsidTr="006F15D6">
        <w:trPr>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6F15D6">
            <w:pPr>
              <w:jc w:val="center"/>
              <w:rPr>
                <w:rFonts w:cs="Times New Roman"/>
                <w:b w:val="0"/>
                <w:bCs w:val="0"/>
                <w:color w:val="000000"/>
                <w:kern w:val="24"/>
                <w:sz w:val="8"/>
                <w:szCs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Shpenzime të paplanifikuara</w:t>
            </w:r>
          </w:p>
        </w:tc>
        <w:tc>
          <w:tcPr>
            <w:tcW w:w="3671" w:type="pct"/>
            <w:hideMark/>
          </w:tcPr>
          <w:p w:rsidR="00A60CC8" w:rsidRPr="007000D1"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8"/>
                <w:szCs w:val="8"/>
                <w:lang w:val="sq-AL" w:eastAsia="nb-NO"/>
              </w:rPr>
            </w:pPr>
          </w:p>
          <w:p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Detyrime ligjore ose presione politike, që mund të sjellin rishpërndarje të shpenzimeve</w:t>
            </w:r>
          </w:p>
        </w:tc>
      </w:tr>
      <w:tr w:rsidR="00A60CC8" w:rsidRPr="00EC407D"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6F15D6">
            <w:pPr>
              <w:jc w:val="center"/>
              <w:rPr>
                <w:rFonts w:cs="Times New Roman"/>
                <w:b w:val="0"/>
                <w:bCs w:val="0"/>
                <w:color w:val="000000"/>
                <w:kern w:val="24"/>
                <w:sz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Borxhi publik</w:t>
            </w:r>
          </w:p>
        </w:tc>
        <w:tc>
          <w:tcPr>
            <w:tcW w:w="3671" w:type="pct"/>
            <w:hideMark/>
          </w:tcPr>
          <w:p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të papritura të tregut, ndryshime në normën e interesit ose në kursin e këmbimit, që mund të rrisin nivelin e borxhit publik</w:t>
            </w:r>
          </w:p>
        </w:tc>
      </w:tr>
      <w:tr w:rsidR="00A60CC8" w:rsidRPr="00EC407D" w:rsidTr="006F15D6">
        <w:trPr>
          <w:trHeight w:val="277"/>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A60CC8" w:rsidRPr="007000D1" w:rsidRDefault="00A60CC8" w:rsidP="006F15D6">
            <w:pPr>
              <w:jc w:val="center"/>
              <w:rPr>
                <w:rFonts w:cs="Times New Roman"/>
                <w:b w:val="0"/>
                <w:color w:val="C00000"/>
                <w:kern w:val="24"/>
                <w:sz w:val="8"/>
                <w:lang w:val="sq-AL" w:eastAsia="nb-NO"/>
              </w:rPr>
            </w:pPr>
          </w:p>
          <w:p w:rsidR="00A60CC8" w:rsidRPr="007000D1" w:rsidRDefault="00A60CC8" w:rsidP="006F15D6">
            <w:pPr>
              <w:jc w:val="center"/>
              <w:rPr>
                <w:rFonts w:cs="Times New Roman"/>
                <w:b w:val="0"/>
                <w:color w:val="C00000"/>
                <w:kern w:val="24"/>
                <w:sz w:val="8"/>
                <w:lang w:val="sq-AL" w:eastAsia="nb-NO"/>
              </w:rPr>
            </w:pPr>
            <w:r w:rsidRPr="00EC407D">
              <w:rPr>
                <w:rFonts w:cs="Times New Roman"/>
                <w:color w:val="C00000"/>
                <w:kern w:val="24"/>
                <w:sz w:val="20"/>
                <w:lang w:val="sq-AL" w:eastAsia="nb-NO"/>
              </w:rPr>
              <w:t xml:space="preserve">Risqet </w:t>
            </w:r>
            <w:r w:rsidRPr="00EC407D">
              <w:rPr>
                <w:rFonts w:cs="Times New Roman"/>
                <w:color w:val="C00000"/>
                <w:kern w:val="24"/>
                <w:sz w:val="20"/>
                <w:u w:val="single"/>
                <w:lang w:val="sq-AL" w:eastAsia="nb-NO"/>
              </w:rPr>
              <w:t>implicite</w:t>
            </w:r>
            <w:r w:rsidRPr="00EC407D">
              <w:rPr>
                <w:rFonts w:cs="Times New Roman"/>
                <w:color w:val="C00000"/>
                <w:kern w:val="24"/>
                <w:sz w:val="20"/>
                <w:lang w:val="sq-AL" w:eastAsia="nb-NO"/>
              </w:rPr>
              <w:t xml:space="preserve"> dhe detyrimet </w:t>
            </w:r>
            <w:r w:rsidRPr="00EC407D">
              <w:rPr>
                <w:rFonts w:cs="Times New Roman"/>
                <w:color w:val="C00000"/>
                <w:kern w:val="24"/>
                <w:sz w:val="20"/>
                <w:u w:val="single"/>
                <w:lang w:val="sq-AL" w:eastAsia="nb-NO"/>
              </w:rPr>
              <w:t>kontigjente</w:t>
            </w:r>
          </w:p>
        </w:tc>
      </w:tr>
      <w:tr w:rsidR="00A60CC8" w:rsidRPr="00EC407D"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36B74" w:rsidRDefault="00A60CC8" w:rsidP="006F15D6">
            <w:pPr>
              <w:jc w:val="center"/>
              <w:rPr>
                <w:rFonts w:cs="Times New Roman"/>
                <w:b w:val="0"/>
                <w:bCs w:val="0"/>
                <w:color w:val="000000"/>
                <w:kern w:val="24"/>
                <w:sz w:val="12"/>
                <w:szCs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Pagesat për PPP</w:t>
            </w:r>
          </w:p>
        </w:tc>
        <w:tc>
          <w:tcPr>
            <w:tcW w:w="3671" w:type="pct"/>
            <w:hideMark/>
          </w:tcPr>
          <w:p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Pagesat vjetore për PPP-të, mund të tejkalojnë nivelin e lejuar ligjor prej 5% të të ardhurave tatimore faktike të vitit paraardhës</w:t>
            </w:r>
          </w:p>
        </w:tc>
      </w:tr>
      <w:tr w:rsidR="00A60CC8" w:rsidRPr="00EC407D" w:rsidTr="006F15D6">
        <w:trPr>
          <w:trHeight w:val="23"/>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Vështirësia financiare e Ndërmarrjeve Shtetërore (NSH)</w:t>
            </w:r>
          </w:p>
        </w:tc>
        <w:tc>
          <w:tcPr>
            <w:tcW w:w="3671" w:type="pct"/>
            <w:hideMark/>
          </w:tcPr>
          <w:p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p>
          <w:p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Qeverisë mund t’i duhet të ndërhyjë për të mbështur financiarisht NSH-të</w:t>
            </w:r>
          </w:p>
        </w:tc>
      </w:tr>
      <w:tr w:rsidR="00A60CC8" w:rsidRPr="00EC407D"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6F15D6">
            <w:pPr>
              <w:jc w:val="center"/>
              <w:rPr>
                <w:rFonts w:cs="Times New Roman"/>
                <w:b w:val="0"/>
                <w:bCs w:val="0"/>
                <w:color w:val="000000"/>
                <w:kern w:val="24"/>
                <w:sz w:val="8"/>
                <w:lang w:val="sq-AL" w:eastAsia="nb-NO"/>
              </w:rPr>
            </w:pPr>
          </w:p>
          <w:p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Risqe të tjera</w:t>
            </w:r>
          </w:p>
        </w:tc>
        <w:tc>
          <w:tcPr>
            <w:tcW w:w="3671" w:type="pct"/>
            <w:hideMark/>
          </w:tcPr>
          <w:p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Vendime gjyqësore, arbitrazhe ndërkombëtare, fatkeqësi natyrore, etj, që mund të sjellin kosto buxhetore shtesë në buxhetin e shtetit</w:t>
            </w:r>
          </w:p>
        </w:tc>
      </w:tr>
    </w:tbl>
    <w:p w:rsidR="00A60CC8" w:rsidRPr="0064168E" w:rsidRDefault="00FD3343" w:rsidP="00A60CC8">
      <w:pPr>
        <w:spacing w:line="276" w:lineRule="auto"/>
        <w:rPr>
          <w:rFonts w:asciiTheme="minorHAnsi" w:eastAsia="SimSun" w:hAnsiTheme="minorHAnsi"/>
          <w:i/>
          <w:sz w:val="20"/>
          <w:szCs w:val="20"/>
          <w:lang w:val="sq-AL"/>
        </w:rPr>
      </w:pPr>
      <w:r>
        <w:rPr>
          <w:rFonts w:asciiTheme="minorHAnsi" w:eastAsia="SimSun" w:hAnsiTheme="minorHAnsi"/>
          <w:i/>
          <w:sz w:val="20"/>
          <w:szCs w:val="20"/>
          <w:lang w:val="sq-AL"/>
        </w:rPr>
        <w:t>Burimi: Ministria e Financave dhe Ekonomisë (2022)</w:t>
      </w:r>
    </w:p>
    <w:p w:rsidR="00A60CC8" w:rsidRPr="006F15D6" w:rsidRDefault="00A60CC8" w:rsidP="00A60CC8">
      <w:pPr>
        <w:spacing w:after="200" w:line="276" w:lineRule="auto"/>
        <w:contextualSpacing/>
        <w:jc w:val="both"/>
        <w:rPr>
          <w:rFonts w:asciiTheme="minorHAnsi" w:eastAsia="MS Mincho" w:hAnsiTheme="minorHAnsi"/>
          <w:sz w:val="12"/>
          <w:lang w:val="sq-AL"/>
        </w:rPr>
      </w:pPr>
    </w:p>
    <w:p w:rsidR="006F15D6" w:rsidRDefault="006F15D6" w:rsidP="00A60CC8">
      <w:pPr>
        <w:spacing w:after="200" w:line="276" w:lineRule="auto"/>
        <w:contextualSpacing/>
        <w:jc w:val="both"/>
        <w:rPr>
          <w:rFonts w:asciiTheme="minorHAnsi" w:eastAsia="MS Mincho" w:hAnsiTheme="minorHAnsi"/>
          <w:lang w:val="sq-AL"/>
        </w:rPr>
      </w:pPr>
      <w:r>
        <w:rPr>
          <w:rFonts w:asciiTheme="minorHAnsi" w:eastAsia="MS Mincho" w:hAnsiTheme="minorHAnsi"/>
          <w:lang w:val="sq-AL"/>
        </w:rPr>
        <w:t>Gjatë vitit 2022, Ministria e Financave dhe Ekonomisë vijoi monitorimin e risqeve kryesore fiskale/buxhetore, sipas Udhëzimit Plotësues të Ministrit të Financave dhe Ekonomisë nr.1 datë 10.01.2022 “</w:t>
      </w:r>
      <w:r w:rsidRPr="006F15D6">
        <w:rPr>
          <w:rFonts w:asciiTheme="minorHAnsi" w:eastAsia="MS Mincho" w:hAnsiTheme="minorHAnsi"/>
          <w:i/>
          <w:lang w:val="sq-AL"/>
        </w:rPr>
        <w:t>Për zbatimin e Buxhetit të vitit 2022</w:t>
      </w:r>
      <w:r>
        <w:rPr>
          <w:rFonts w:asciiTheme="minorHAnsi" w:eastAsia="MS Mincho" w:hAnsiTheme="minorHAnsi"/>
          <w:lang w:val="sq-AL"/>
        </w:rPr>
        <w:t>” dhe Udhëzimit nr.37 datë 06.10.2020 “</w:t>
      </w:r>
      <w:r w:rsidRPr="006F15D6">
        <w:rPr>
          <w:rFonts w:asciiTheme="minorHAnsi" w:eastAsia="MS Mincho" w:hAnsiTheme="minorHAnsi"/>
          <w:i/>
          <w:lang w:val="sq-AL"/>
        </w:rPr>
        <w:t>Për monitorimin dhe publikimin periodik të stokut të detyrimeve të prapambetura të qeverisjes së përgjithshme</w:t>
      </w:r>
      <w:r>
        <w:rPr>
          <w:rFonts w:asciiTheme="minorHAnsi" w:eastAsia="MS Mincho" w:hAnsiTheme="minorHAnsi"/>
          <w:lang w:val="sq-AL"/>
        </w:rPr>
        <w:t>”.</w:t>
      </w:r>
    </w:p>
    <w:p w:rsidR="006F15D6" w:rsidRDefault="006F15D6" w:rsidP="00A60CC8">
      <w:pPr>
        <w:spacing w:after="200" w:line="276" w:lineRule="auto"/>
        <w:contextualSpacing/>
        <w:jc w:val="both"/>
        <w:rPr>
          <w:rFonts w:asciiTheme="minorHAnsi" w:eastAsia="MS Mincho" w:hAnsiTheme="minorHAnsi"/>
          <w:lang w:val="sq-AL"/>
        </w:rPr>
      </w:pPr>
    </w:p>
    <w:p w:rsidR="00A60CC8" w:rsidRPr="007000D1" w:rsidRDefault="00A60CC8" w:rsidP="00A60CC8">
      <w:pPr>
        <w:spacing w:after="200" w:line="276" w:lineRule="auto"/>
        <w:contextualSpacing/>
        <w:jc w:val="both"/>
        <w:rPr>
          <w:rFonts w:asciiTheme="minorHAnsi" w:eastAsia="MS Mincho" w:hAnsiTheme="minorHAnsi"/>
          <w:lang w:val="sq-AL"/>
        </w:rPr>
      </w:pPr>
      <w:r w:rsidRPr="00C31398">
        <w:rPr>
          <w:rFonts w:asciiTheme="minorHAnsi" w:eastAsia="MS Mincho" w:hAnsiTheme="minorHAnsi"/>
          <w:lang w:val="sq-AL"/>
        </w:rPr>
        <w:t>Kryesisht, raportimi në adresë të MFE u kanalizua përme</w:t>
      </w:r>
      <w:r>
        <w:rPr>
          <w:rFonts w:asciiTheme="minorHAnsi" w:eastAsia="MS Mincho" w:hAnsiTheme="minorHAnsi"/>
          <w:lang w:val="sq-AL"/>
        </w:rPr>
        <w:t xml:space="preserve">s skeduleve kohore strikte dhe </w:t>
      </w:r>
      <w:r w:rsidRPr="00C31398">
        <w:rPr>
          <w:rFonts w:asciiTheme="minorHAnsi" w:eastAsia="MS Mincho" w:hAnsiTheme="minorHAnsi"/>
          <w:lang w:val="sq-AL"/>
        </w:rPr>
        <w:t>formateve standarde të miratuara, një proces tashmë i institucionalizuar për monitorimin e risqeve, krahas intensifikimit të punës në drejtim të rritjes së cilësisë së përpunimit, raportimit dhe publikimit të informacionit të grumbulluar, me synim final:</w:t>
      </w:r>
      <w:r w:rsidRPr="00C31398">
        <w:rPr>
          <w:rFonts w:asciiTheme="minorHAnsi" w:eastAsia="MS Mincho" w:hAnsiTheme="minorHAnsi"/>
          <w:bCs/>
          <w:i/>
          <w:lang w:val="sq-AL"/>
        </w:rPr>
        <w:t xml:space="preserve">  </w:t>
      </w:r>
    </w:p>
    <w:p w:rsidR="00A60CC8" w:rsidRPr="00325B8D" w:rsidRDefault="00A60CC8" w:rsidP="00736B74">
      <w:pPr>
        <w:numPr>
          <w:ilvl w:val="0"/>
          <w:numId w:val="4"/>
        </w:numPr>
        <w:ind w:left="450" w:hanging="270"/>
        <w:jc w:val="both"/>
        <w:rPr>
          <w:rFonts w:asciiTheme="minorHAnsi" w:eastAsia="MS Mincho" w:hAnsiTheme="minorHAnsi"/>
          <w:i/>
          <w:lang w:val="sq-AL"/>
        </w:rPr>
      </w:pPr>
      <w:r w:rsidRPr="00325B8D">
        <w:rPr>
          <w:rFonts w:asciiTheme="minorHAnsi" w:eastAsia="MS Mincho" w:hAnsiTheme="minorHAnsi"/>
          <w:i/>
          <w:lang w:val="sq-AL"/>
        </w:rPr>
        <w:t xml:space="preserve">Monitorimin dhe raportimin periodik </w:t>
      </w:r>
      <w:r w:rsidRPr="00325B8D">
        <w:rPr>
          <w:rFonts w:asciiTheme="minorHAnsi" w:eastAsia="MS Mincho" w:hAnsiTheme="minorHAnsi"/>
          <w:i/>
          <w:u w:val="single"/>
          <w:lang w:val="sq-AL"/>
        </w:rPr>
        <w:t>mbi bazë tremujore</w:t>
      </w:r>
      <w:r w:rsidRPr="00325B8D">
        <w:rPr>
          <w:rFonts w:asciiTheme="minorHAnsi" w:eastAsia="MS Mincho" w:hAnsiTheme="minorHAnsi"/>
          <w:i/>
          <w:lang w:val="sq-AL"/>
        </w:rPr>
        <w:t xml:space="preserve">, të performancës financiare të ndërmarrjeve kryesore shtetërore; </w:t>
      </w:r>
    </w:p>
    <w:p w:rsidR="00A60CC8" w:rsidRPr="00325B8D" w:rsidRDefault="00A60CC8" w:rsidP="00736B74">
      <w:pPr>
        <w:numPr>
          <w:ilvl w:val="0"/>
          <w:numId w:val="4"/>
        </w:numPr>
        <w:ind w:left="450" w:hanging="270"/>
        <w:jc w:val="both"/>
        <w:rPr>
          <w:rFonts w:asciiTheme="minorHAnsi" w:eastAsia="MS Mincho" w:hAnsiTheme="minorHAnsi"/>
          <w:i/>
          <w:lang w:val="sq-AL"/>
        </w:rPr>
      </w:pPr>
      <w:r w:rsidRPr="00325B8D">
        <w:rPr>
          <w:rFonts w:asciiTheme="minorHAnsi" w:eastAsia="MS Mincho" w:hAnsiTheme="minorHAnsi"/>
          <w:i/>
          <w:lang w:val="sq-AL"/>
        </w:rPr>
        <w:t xml:space="preserve">Monitorimin dhe raportimin periodik </w:t>
      </w:r>
      <w:r w:rsidRPr="00325B8D">
        <w:rPr>
          <w:rFonts w:asciiTheme="minorHAnsi" w:eastAsia="MS Mincho" w:hAnsiTheme="minorHAnsi"/>
          <w:i/>
          <w:u w:val="single"/>
          <w:lang w:val="sq-AL"/>
        </w:rPr>
        <w:t>mbi bazë tremujore</w:t>
      </w:r>
      <w:r w:rsidRPr="00325B8D">
        <w:rPr>
          <w:rFonts w:asciiTheme="minorHAnsi" w:eastAsia="MS Mincho" w:hAnsiTheme="minorHAnsi"/>
          <w:i/>
          <w:lang w:val="sq-AL"/>
        </w:rPr>
        <w:t>, të stokut të akumuluar të detyrimeve të prapambetura të qeverisjes së përgjithshme;</w:t>
      </w:r>
    </w:p>
    <w:p w:rsidR="00A60CC8" w:rsidRPr="00325B8D" w:rsidRDefault="00A60CC8" w:rsidP="00736B74">
      <w:pPr>
        <w:numPr>
          <w:ilvl w:val="0"/>
          <w:numId w:val="4"/>
        </w:numPr>
        <w:ind w:left="450" w:hanging="270"/>
        <w:jc w:val="both"/>
        <w:rPr>
          <w:rFonts w:asciiTheme="minorHAnsi" w:eastAsia="MS Mincho" w:hAnsiTheme="minorHAnsi"/>
          <w:i/>
          <w:lang w:val="sq-AL"/>
        </w:rPr>
      </w:pPr>
      <w:r w:rsidRPr="00325B8D">
        <w:rPr>
          <w:rFonts w:asciiTheme="minorHAnsi" w:eastAsia="MS Mincho" w:hAnsiTheme="minorHAnsi"/>
          <w:i/>
          <w:lang w:val="sq-AL"/>
        </w:rPr>
        <w:t xml:space="preserve">Monitorimin dhe raportimin periodik </w:t>
      </w:r>
      <w:r w:rsidRPr="00325B8D">
        <w:rPr>
          <w:rFonts w:asciiTheme="minorHAnsi" w:eastAsia="MS Mincho" w:hAnsiTheme="minorHAnsi"/>
          <w:i/>
          <w:u w:val="single"/>
          <w:lang w:val="sq-AL"/>
        </w:rPr>
        <w:t>mbi bazë mujore</w:t>
      </w:r>
      <w:r w:rsidRPr="00325B8D">
        <w:rPr>
          <w:rFonts w:asciiTheme="minorHAnsi" w:eastAsia="MS Mincho" w:hAnsiTheme="minorHAnsi"/>
          <w:i/>
          <w:lang w:val="sq-AL"/>
        </w:rPr>
        <w:t>, të performancës së kontratave konçesionare/PPP, me mbështetje buxhetore.</w:t>
      </w:r>
    </w:p>
    <w:p w:rsidR="0068128A" w:rsidRDefault="0068128A" w:rsidP="00A60CC8">
      <w:pPr>
        <w:spacing w:before="120" w:after="120" w:line="276" w:lineRule="auto"/>
        <w:ind w:right="49"/>
        <w:contextualSpacing/>
        <w:jc w:val="both"/>
        <w:rPr>
          <w:rFonts w:asciiTheme="minorHAnsi" w:eastAsia="MS Mincho" w:hAnsiTheme="minorHAnsi"/>
          <w:bCs/>
          <w:sz w:val="8"/>
          <w:szCs w:val="8"/>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8"/>
          <w:szCs w:val="8"/>
          <w:lang w:val="sq-AL" w:eastAsia="sq-AL"/>
        </w:rPr>
      </w:pPr>
    </w:p>
    <w:p w:rsidR="00325B8D" w:rsidRPr="0068128A" w:rsidRDefault="00325B8D" w:rsidP="00A60CC8">
      <w:pPr>
        <w:spacing w:before="120" w:after="120" w:line="276" w:lineRule="auto"/>
        <w:ind w:right="49"/>
        <w:contextualSpacing/>
        <w:jc w:val="both"/>
        <w:rPr>
          <w:rFonts w:asciiTheme="minorHAnsi" w:eastAsia="MS Mincho" w:hAnsiTheme="minorHAnsi"/>
          <w:bCs/>
          <w:sz w:val="8"/>
          <w:szCs w:val="8"/>
          <w:lang w:val="sq-AL" w:eastAsia="sq-AL"/>
        </w:rPr>
      </w:pPr>
    </w:p>
    <w:p w:rsidR="00A60CC8" w:rsidRDefault="00A60CC8" w:rsidP="00A60CC8">
      <w:pPr>
        <w:spacing w:before="120" w:after="120" w:line="276" w:lineRule="auto"/>
        <w:ind w:right="49"/>
        <w:contextualSpacing/>
        <w:jc w:val="both"/>
        <w:rPr>
          <w:rFonts w:asciiTheme="minorHAnsi" w:eastAsia="MS Mincho" w:hAnsiTheme="minorHAnsi"/>
          <w:bCs/>
          <w:lang w:val="sq-AL" w:eastAsia="sq-AL"/>
        </w:rPr>
      </w:pPr>
      <w:r w:rsidRPr="004E355C">
        <w:rPr>
          <w:rFonts w:asciiTheme="minorHAnsi" w:eastAsia="MS Mincho" w:hAnsiTheme="minorHAnsi"/>
          <w:bCs/>
          <w:lang w:val="sq-AL" w:eastAsia="sq-AL"/>
        </w:rPr>
        <w:t>Mëposhtë jepet një tablo e vlerësimeve mbi disa nga tipologjitë e risqeve fiskale, si rezultat i monitorimit nga njësitë përgjegjëse në MFE, për periudhën Janar-Maj 20</w:t>
      </w:r>
      <w:r>
        <w:rPr>
          <w:rFonts w:asciiTheme="minorHAnsi" w:eastAsia="MS Mincho" w:hAnsiTheme="minorHAnsi"/>
          <w:bCs/>
          <w:lang w:val="sq-AL" w:eastAsia="sq-AL"/>
        </w:rPr>
        <w:t>2</w:t>
      </w:r>
      <w:r w:rsidR="006F15D6">
        <w:rPr>
          <w:rFonts w:asciiTheme="minorHAnsi" w:eastAsia="MS Mincho" w:hAnsiTheme="minorHAnsi"/>
          <w:bCs/>
          <w:lang w:val="sq-AL" w:eastAsia="sq-AL"/>
        </w:rPr>
        <w:t>2</w:t>
      </w:r>
      <w:r w:rsidRPr="004E355C">
        <w:rPr>
          <w:rFonts w:asciiTheme="minorHAnsi" w:eastAsia="MS Mincho" w:hAnsiTheme="minorHAnsi"/>
          <w:bCs/>
          <w:lang w:val="sq-AL" w:eastAsia="sq-AL"/>
        </w:rPr>
        <w:t>:</w:t>
      </w:r>
    </w:p>
    <w:p w:rsidR="00F07CB3" w:rsidRDefault="00F07CB3"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325B8D" w:rsidRPr="00F07CB3"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rsidR="00001086" w:rsidRDefault="00001086" w:rsidP="003F6B21">
      <w:pPr>
        <w:pStyle w:val="Heading2"/>
        <w:numPr>
          <w:ilvl w:val="0"/>
          <w:numId w:val="27"/>
        </w:numPr>
        <w:ind w:left="630" w:hanging="630"/>
        <w:rPr>
          <w:sz w:val="26"/>
          <w:szCs w:val="26"/>
        </w:rPr>
      </w:pPr>
      <w:bookmarkStart w:id="105" w:name="_Toc107496996"/>
      <w:bookmarkStart w:id="106" w:name="_Toc10033284"/>
      <w:bookmarkStart w:id="107" w:name="_Toc10721421"/>
      <w:bookmarkStart w:id="108" w:name="_Toc11134241"/>
      <w:r w:rsidRPr="00BF5960">
        <w:rPr>
          <w:sz w:val="26"/>
          <w:szCs w:val="26"/>
        </w:rPr>
        <w:lastRenderedPageBreak/>
        <w:t>Ndërmarrjet shtetërore</w:t>
      </w:r>
      <w:bookmarkEnd w:id="105"/>
      <w:r w:rsidRPr="00BF5960">
        <w:rPr>
          <w:sz w:val="26"/>
          <w:szCs w:val="26"/>
        </w:rPr>
        <w:t xml:space="preserve"> </w:t>
      </w:r>
    </w:p>
    <w:p w:rsidR="00001086" w:rsidRDefault="00001086" w:rsidP="00001086">
      <w:pPr>
        <w:rPr>
          <w:rFonts w:asciiTheme="minorHAnsi" w:hAnsiTheme="minorHAnsi" w:cstheme="minorHAnsi"/>
          <w:i/>
          <w:iCs/>
          <w:color w:val="1F497D"/>
          <w:sz w:val="22"/>
          <w:szCs w:val="22"/>
          <w:highlight w:val="yellow"/>
          <w:lang w:val="sq-AL"/>
        </w:rPr>
      </w:pPr>
    </w:p>
    <w:p w:rsidR="00001086" w:rsidRPr="00001086" w:rsidRDefault="00343167" w:rsidP="00001086">
      <w:pPr>
        <w:rPr>
          <w:rFonts w:asciiTheme="minorHAnsi" w:hAnsiTheme="minorHAnsi"/>
          <w:bCs/>
          <w:lang w:val="sq-AL" w:eastAsia="sq-AL"/>
        </w:rPr>
      </w:pPr>
      <w:bookmarkStart w:id="109" w:name="_Toc107498135"/>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3B2B9B">
        <w:rPr>
          <w:rFonts w:asciiTheme="minorHAnsi" w:hAnsiTheme="minorHAnsi"/>
          <w:bCs/>
          <w:i/>
          <w:noProof/>
          <w:sz w:val="22"/>
        </w:rPr>
        <w:t>44</w:t>
      </w:r>
      <w:r w:rsidRPr="00343167">
        <w:rPr>
          <w:rFonts w:asciiTheme="minorHAnsi" w:hAnsiTheme="minorHAnsi"/>
          <w:bCs/>
          <w:i/>
          <w:noProof/>
          <w:sz w:val="22"/>
        </w:rPr>
        <w:fldChar w:fldCharType="end"/>
      </w:r>
      <w:r w:rsidRPr="00343167">
        <w:rPr>
          <w:rFonts w:asciiTheme="minorHAnsi" w:hAnsiTheme="minorHAnsi"/>
          <w:i/>
          <w:noProof/>
          <w:sz w:val="22"/>
        </w:rPr>
        <w:t>:</w:t>
      </w:r>
      <w:r w:rsidR="00001086" w:rsidRPr="00343167">
        <w:rPr>
          <w:rFonts w:asciiTheme="minorHAnsi" w:hAnsiTheme="minorHAnsi"/>
          <w:i/>
          <w:noProof/>
          <w:sz w:val="22"/>
        </w:rPr>
        <w:t>Sektori quasi publik sipas numrit të ndërmarrjeve Burimi: INSTAT (2022)</w:t>
      </w:r>
      <w:bookmarkEnd w:id="109"/>
    </w:p>
    <w:p w:rsidR="00001086" w:rsidRPr="00001086" w:rsidRDefault="00001086" w:rsidP="00001086">
      <w:pPr>
        <w:jc w:val="center"/>
        <w:rPr>
          <w:rFonts w:asciiTheme="minorHAnsi" w:hAnsiTheme="minorHAnsi"/>
          <w:bCs/>
          <w:sz w:val="4"/>
          <w:lang w:val="sq-AL" w:eastAsia="sq-AL"/>
        </w:rPr>
      </w:pPr>
    </w:p>
    <w:p w:rsidR="00325B8D" w:rsidRDefault="00325B8D" w:rsidP="00325B8D">
      <w:pPr>
        <w:spacing w:before="120" w:after="120" w:line="276" w:lineRule="auto"/>
        <w:jc w:val="both"/>
        <w:rPr>
          <w:rFonts w:asciiTheme="minorHAnsi" w:hAnsiTheme="minorHAnsi"/>
          <w:bCs/>
          <w:lang w:val="sq-AL" w:eastAsia="sq-AL"/>
        </w:rPr>
      </w:pPr>
      <w:r>
        <w:rPr>
          <w:noProof/>
        </w:rPr>
        <w:drawing>
          <wp:anchor distT="0" distB="0" distL="114300" distR="114300" simplePos="0" relativeHeight="251679232" behindDoc="0" locked="0" layoutInCell="1" allowOverlap="1" wp14:anchorId="5700FA33" wp14:editId="5B8B6BCA">
            <wp:simplePos x="0" y="0"/>
            <wp:positionH relativeFrom="column">
              <wp:posOffset>66675</wp:posOffset>
            </wp:positionH>
            <wp:positionV relativeFrom="paragraph">
              <wp:posOffset>60325</wp:posOffset>
            </wp:positionV>
            <wp:extent cx="3326130" cy="2201545"/>
            <wp:effectExtent l="19050" t="19050" r="26670" b="2730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l="8521" t="5682" r="23677" b="10094"/>
                    <a:stretch>
                      <a:fillRect/>
                    </a:stretch>
                  </pic:blipFill>
                  <pic:spPr bwMode="auto">
                    <a:xfrm>
                      <a:off x="0" y="0"/>
                      <a:ext cx="3326130" cy="2201545"/>
                    </a:xfrm>
                    <a:prstGeom prst="rect">
                      <a:avLst/>
                    </a:prstGeom>
                    <a:noFill/>
                    <a:ln w="317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01086">
        <w:rPr>
          <w:rFonts w:asciiTheme="minorHAnsi" w:hAnsiTheme="minorHAnsi"/>
          <w:bCs/>
          <w:lang w:val="sq-AL" w:eastAsia="sq-AL"/>
        </w:rPr>
        <w:t>Në zbatim të Ligjit “</w:t>
      </w:r>
      <w:r w:rsidR="00001086" w:rsidRPr="00325B8D">
        <w:rPr>
          <w:rFonts w:asciiTheme="minorHAnsi" w:hAnsiTheme="minorHAnsi"/>
          <w:bCs/>
          <w:i/>
          <w:lang w:val="sq-AL" w:eastAsia="sq-AL"/>
        </w:rPr>
        <w:t>Për menaxhimin e sistemit buxhetor në Republikën e Shqipërisë”, të ndryshuar</w:t>
      </w:r>
      <w:r w:rsidR="00001086">
        <w:rPr>
          <w:rFonts w:asciiTheme="minorHAnsi" w:hAnsiTheme="minorHAnsi"/>
          <w:bCs/>
          <w:lang w:val="sq-AL" w:eastAsia="sq-AL"/>
        </w:rPr>
        <w:t>”, specifikisht nenit 4/2 sipas së cilit: “...</w:t>
      </w:r>
      <w:r w:rsidR="00001086" w:rsidRPr="00402E3B">
        <w:rPr>
          <w:rFonts w:asciiTheme="minorHAnsi" w:hAnsiTheme="minorHAnsi"/>
          <w:bCs/>
          <w:i/>
          <w:lang w:val="sq-AL" w:eastAsia="sq-AL"/>
        </w:rPr>
        <w:t>Planet financiare vjetore dhe pasqyrat financiare mbi bazë tremujori, të çdo njësie jo të qeverisjes së përgjithshme përfituese të fondeve buxhetore dhe/ose garancive shtetërore, dorëzohen në Ministrinë e Financave</w:t>
      </w:r>
      <w:r w:rsidR="00001086">
        <w:rPr>
          <w:rFonts w:asciiTheme="minorHAnsi" w:hAnsiTheme="minorHAnsi"/>
          <w:bCs/>
          <w:lang w:val="sq-AL" w:eastAsia="sq-AL"/>
        </w:rPr>
        <w:t xml:space="preserve">...” dhe në zbatim të </w:t>
      </w:r>
      <w:r w:rsidR="00402E3B">
        <w:rPr>
          <w:rFonts w:asciiTheme="minorHAnsi" w:hAnsiTheme="minorHAnsi"/>
          <w:bCs/>
          <w:lang w:val="sq-AL" w:eastAsia="sq-AL"/>
        </w:rPr>
        <w:t>U</w:t>
      </w:r>
      <w:r w:rsidR="00001086">
        <w:rPr>
          <w:rFonts w:asciiTheme="minorHAnsi" w:hAnsiTheme="minorHAnsi"/>
          <w:bCs/>
          <w:lang w:val="sq-AL" w:eastAsia="sq-AL"/>
        </w:rPr>
        <w:t xml:space="preserve">dhëzimit </w:t>
      </w:r>
      <w:r w:rsidR="00402E3B">
        <w:rPr>
          <w:rFonts w:asciiTheme="minorHAnsi" w:hAnsiTheme="minorHAnsi"/>
          <w:bCs/>
          <w:lang w:val="sq-AL" w:eastAsia="sq-AL"/>
        </w:rPr>
        <w:t>P</w:t>
      </w:r>
      <w:r w:rsidR="00001086">
        <w:rPr>
          <w:rFonts w:asciiTheme="minorHAnsi" w:hAnsiTheme="minorHAnsi"/>
          <w:bCs/>
          <w:lang w:val="sq-AL" w:eastAsia="sq-AL"/>
        </w:rPr>
        <w:t>lotësues nr.1/2022 “</w:t>
      </w:r>
      <w:r w:rsidR="00001086" w:rsidRPr="00402E3B">
        <w:rPr>
          <w:rFonts w:asciiTheme="minorHAnsi" w:hAnsiTheme="minorHAnsi"/>
          <w:bCs/>
          <w:i/>
          <w:lang w:val="sq-AL" w:eastAsia="sq-AL"/>
        </w:rPr>
        <w:t>Për zbatimin e Buxhetit të vitit 2022</w:t>
      </w:r>
      <w:r w:rsidR="00001086">
        <w:rPr>
          <w:rFonts w:asciiTheme="minorHAnsi" w:hAnsiTheme="minorHAnsi"/>
          <w:bCs/>
          <w:lang w:val="sq-AL" w:eastAsia="sq-AL"/>
        </w:rPr>
        <w:t>”,</w:t>
      </w:r>
      <w:r>
        <w:rPr>
          <w:rFonts w:asciiTheme="minorHAnsi" w:hAnsiTheme="minorHAnsi"/>
          <w:bCs/>
          <w:lang w:val="sq-AL" w:eastAsia="sq-AL"/>
        </w:rPr>
        <w:t xml:space="preserve"> MFE</w:t>
      </w:r>
      <w:r w:rsidR="00001086">
        <w:rPr>
          <w:rFonts w:asciiTheme="minorHAnsi" w:hAnsiTheme="minorHAnsi"/>
          <w:bCs/>
          <w:lang w:val="sq-AL" w:eastAsia="sq-AL"/>
        </w:rPr>
        <w:t xml:space="preserve"> monitoron dhe përgatit periodikisht </w:t>
      </w:r>
      <w:r>
        <w:rPr>
          <w:rFonts w:asciiTheme="minorHAnsi" w:hAnsiTheme="minorHAnsi"/>
          <w:bCs/>
          <w:lang w:val="sq-AL" w:eastAsia="sq-AL"/>
        </w:rPr>
        <w:t>mbi</w:t>
      </w:r>
      <w:r w:rsidR="00001086">
        <w:rPr>
          <w:rFonts w:asciiTheme="minorHAnsi" w:hAnsiTheme="minorHAnsi"/>
          <w:bCs/>
          <w:lang w:val="sq-AL" w:eastAsia="sq-AL"/>
        </w:rPr>
        <w:t xml:space="preserve"> baza tremujore, analizat financiare të performancës së NSH-ve kryesore bazuar në potencialin e tyre për të ndikuar në financat dhe buxhetin e shtetit. Monitorimi është fokusuar kryesisht në </w:t>
      </w:r>
      <w:r>
        <w:rPr>
          <w:rFonts w:asciiTheme="minorHAnsi" w:hAnsiTheme="minorHAnsi"/>
          <w:bCs/>
          <w:lang w:val="sq-AL" w:eastAsia="sq-AL"/>
        </w:rPr>
        <w:t>performancën financiare dhe jofinanciare t</w:t>
      </w:r>
      <w:r w:rsidR="009647C4">
        <w:rPr>
          <w:rFonts w:asciiTheme="minorHAnsi" w:hAnsiTheme="minorHAnsi"/>
          <w:bCs/>
          <w:lang w:val="sq-AL" w:eastAsia="sq-AL"/>
        </w:rPr>
        <w:t>ë</w:t>
      </w:r>
      <w:r>
        <w:rPr>
          <w:rFonts w:asciiTheme="minorHAnsi" w:hAnsiTheme="minorHAnsi"/>
          <w:bCs/>
          <w:lang w:val="sq-AL" w:eastAsia="sq-AL"/>
        </w:rPr>
        <w:t xml:space="preserve"> </w:t>
      </w:r>
      <w:r w:rsidR="00001086">
        <w:rPr>
          <w:rFonts w:asciiTheme="minorHAnsi" w:hAnsiTheme="minorHAnsi"/>
          <w:bCs/>
          <w:lang w:val="sq-AL" w:eastAsia="sq-AL"/>
        </w:rPr>
        <w:t>tre kompani</w:t>
      </w:r>
      <w:r>
        <w:rPr>
          <w:rFonts w:asciiTheme="minorHAnsi" w:hAnsiTheme="minorHAnsi"/>
          <w:bCs/>
          <w:lang w:val="sq-AL" w:eastAsia="sq-AL"/>
        </w:rPr>
        <w:t>ve</w:t>
      </w:r>
      <w:r w:rsidR="00001086">
        <w:rPr>
          <w:rFonts w:asciiTheme="minorHAnsi" w:hAnsiTheme="minorHAnsi"/>
          <w:bCs/>
          <w:lang w:val="sq-AL" w:eastAsia="sq-AL"/>
        </w:rPr>
        <w:t xml:space="preserve"> </w:t>
      </w:r>
      <w:r>
        <w:rPr>
          <w:rFonts w:asciiTheme="minorHAnsi" w:hAnsiTheme="minorHAnsi"/>
          <w:bCs/>
          <w:lang w:val="sq-AL" w:eastAsia="sq-AL"/>
        </w:rPr>
        <w:t>t</w:t>
      </w:r>
      <w:r w:rsidR="009647C4">
        <w:rPr>
          <w:rFonts w:asciiTheme="minorHAnsi" w:hAnsiTheme="minorHAnsi"/>
          <w:bCs/>
          <w:lang w:val="sq-AL" w:eastAsia="sq-AL"/>
        </w:rPr>
        <w:t>ë</w:t>
      </w:r>
      <w:r w:rsidR="00001086">
        <w:rPr>
          <w:rFonts w:asciiTheme="minorHAnsi" w:hAnsiTheme="minorHAnsi"/>
          <w:bCs/>
          <w:lang w:val="sq-AL" w:eastAsia="sq-AL"/>
        </w:rPr>
        <w:t xml:space="preserve"> sektorit energjetik</w:t>
      </w:r>
      <w:r>
        <w:rPr>
          <w:rFonts w:asciiTheme="minorHAnsi" w:hAnsiTheme="minorHAnsi"/>
          <w:bCs/>
          <w:lang w:val="sq-AL" w:eastAsia="sq-AL"/>
        </w:rPr>
        <w:t>, q</w:t>
      </w:r>
      <w:r w:rsidR="009647C4">
        <w:rPr>
          <w:rFonts w:asciiTheme="minorHAnsi" w:hAnsiTheme="minorHAnsi"/>
          <w:bCs/>
          <w:lang w:val="sq-AL" w:eastAsia="sq-AL"/>
        </w:rPr>
        <w:t>ë</w:t>
      </w:r>
      <w:r>
        <w:rPr>
          <w:rFonts w:asciiTheme="minorHAnsi" w:hAnsiTheme="minorHAnsi"/>
          <w:bCs/>
          <w:lang w:val="sq-AL" w:eastAsia="sq-AL"/>
        </w:rPr>
        <w:t xml:space="preserve"> </w:t>
      </w:r>
      <w:r w:rsidR="009647C4">
        <w:rPr>
          <w:rFonts w:asciiTheme="minorHAnsi" w:hAnsiTheme="minorHAnsi"/>
          <w:bCs/>
          <w:lang w:val="sq-AL" w:eastAsia="sq-AL"/>
        </w:rPr>
        <w:t>ë</w:t>
      </w:r>
      <w:r>
        <w:rPr>
          <w:rFonts w:asciiTheme="minorHAnsi" w:hAnsiTheme="minorHAnsi"/>
          <w:bCs/>
          <w:lang w:val="sq-AL" w:eastAsia="sq-AL"/>
        </w:rPr>
        <w:t>shtë thelluar n</w:t>
      </w:r>
      <w:r w:rsidR="00001086">
        <w:rPr>
          <w:rFonts w:asciiTheme="minorHAnsi" w:hAnsiTheme="minorHAnsi"/>
          <w:bCs/>
          <w:lang w:val="sq-AL" w:eastAsia="sq-AL"/>
        </w:rPr>
        <w:t xml:space="preserve">ë kuadër të reformës </w:t>
      </w:r>
      <w:r>
        <w:rPr>
          <w:rFonts w:asciiTheme="minorHAnsi" w:hAnsiTheme="minorHAnsi"/>
          <w:bCs/>
          <w:lang w:val="sq-AL" w:eastAsia="sq-AL"/>
        </w:rPr>
        <w:t>t</w:t>
      </w:r>
      <w:r w:rsidR="009647C4">
        <w:rPr>
          <w:rFonts w:asciiTheme="minorHAnsi" w:hAnsiTheme="minorHAnsi"/>
          <w:bCs/>
          <w:lang w:val="sq-AL" w:eastAsia="sq-AL"/>
        </w:rPr>
        <w:t>ë</w:t>
      </w:r>
      <w:r>
        <w:rPr>
          <w:rFonts w:asciiTheme="minorHAnsi" w:hAnsiTheme="minorHAnsi"/>
          <w:bCs/>
          <w:lang w:val="sq-AL" w:eastAsia="sq-AL"/>
        </w:rPr>
        <w:t xml:space="preserve"> k</w:t>
      </w:r>
      <w:r w:rsidR="009647C4">
        <w:rPr>
          <w:rFonts w:asciiTheme="minorHAnsi" w:hAnsiTheme="minorHAnsi"/>
          <w:bCs/>
          <w:lang w:val="sq-AL" w:eastAsia="sq-AL"/>
        </w:rPr>
        <w:t>ë</w:t>
      </w:r>
      <w:r>
        <w:rPr>
          <w:rFonts w:asciiTheme="minorHAnsi" w:hAnsiTheme="minorHAnsi"/>
          <w:bCs/>
          <w:lang w:val="sq-AL" w:eastAsia="sq-AL"/>
        </w:rPr>
        <w:t>tij sektori</w:t>
      </w:r>
      <w:r w:rsidR="00001086">
        <w:rPr>
          <w:rFonts w:asciiTheme="minorHAnsi" w:hAnsiTheme="minorHAnsi"/>
          <w:bCs/>
          <w:lang w:val="sq-AL" w:eastAsia="sq-AL"/>
        </w:rPr>
        <w:t xml:space="preserve">. Këto raporte analitike, të cilat përgatiten rregullisht në baza tremujore, </w:t>
      </w:r>
      <w:r w:rsidR="00193698">
        <w:rPr>
          <w:rFonts w:asciiTheme="minorHAnsi" w:hAnsiTheme="minorHAnsi"/>
          <w:bCs/>
          <w:lang w:val="sq-AL" w:eastAsia="sq-AL"/>
        </w:rPr>
        <w:t>b</w:t>
      </w:r>
      <w:r w:rsidR="0093018B">
        <w:rPr>
          <w:rFonts w:asciiTheme="minorHAnsi" w:hAnsiTheme="minorHAnsi"/>
          <w:bCs/>
          <w:lang w:val="sq-AL" w:eastAsia="sq-AL"/>
        </w:rPr>
        <w:t>ë</w:t>
      </w:r>
      <w:r w:rsidR="00193698">
        <w:rPr>
          <w:rFonts w:asciiTheme="minorHAnsi" w:hAnsiTheme="minorHAnsi"/>
          <w:bCs/>
          <w:lang w:val="sq-AL" w:eastAsia="sq-AL"/>
        </w:rPr>
        <w:t>hen pjes</w:t>
      </w:r>
      <w:r w:rsidR="0093018B">
        <w:rPr>
          <w:rFonts w:asciiTheme="minorHAnsi" w:hAnsiTheme="minorHAnsi"/>
          <w:bCs/>
          <w:lang w:val="sq-AL" w:eastAsia="sq-AL"/>
        </w:rPr>
        <w:t>ë</w:t>
      </w:r>
      <w:r w:rsidR="00193698">
        <w:rPr>
          <w:rFonts w:asciiTheme="minorHAnsi" w:hAnsiTheme="minorHAnsi"/>
          <w:bCs/>
          <w:lang w:val="sq-AL" w:eastAsia="sq-AL"/>
        </w:rPr>
        <w:t>/publikohen</w:t>
      </w:r>
      <w:r w:rsidR="00001086">
        <w:rPr>
          <w:rFonts w:asciiTheme="minorHAnsi" w:hAnsiTheme="minorHAnsi"/>
          <w:bCs/>
          <w:lang w:val="sq-AL" w:eastAsia="sq-AL"/>
        </w:rPr>
        <w:t xml:space="preserve"> në të gjitha raportet periodike të MFE/DMB, si </w:t>
      </w:r>
      <w:r w:rsidR="00193698">
        <w:rPr>
          <w:rFonts w:asciiTheme="minorHAnsi" w:hAnsiTheme="minorHAnsi"/>
          <w:bCs/>
          <w:lang w:val="sq-AL" w:eastAsia="sq-AL"/>
        </w:rPr>
        <w:t>Buxheti Faktik</w:t>
      </w:r>
      <w:r w:rsidR="00001086">
        <w:rPr>
          <w:rFonts w:asciiTheme="minorHAnsi" w:hAnsiTheme="minorHAnsi"/>
          <w:bCs/>
          <w:lang w:val="sq-AL" w:eastAsia="sq-AL"/>
        </w:rPr>
        <w:t>, Raporti i Mes</w:t>
      </w:r>
      <w:r w:rsidR="00402E3B">
        <w:rPr>
          <w:rFonts w:asciiTheme="minorHAnsi" w:hAnsiTheme="minorHAnsi"/>
          <w:bCs/>
          <w:lang w:val="sq-AL" w:eastAsia="sq-AL"/>
        </w:rPr>
        <w:t>v</w:t>
      </w:r>
      <w:r w:rsidR="00001086">
        <w:rPr>
          <w:rFonts w:asciiTheme="minorHAnsi" w:hAnsiTheme="minorHAnsi"/>
          <w:bCs/>
          <w:lang w:val="sq-AL" w:eastAsia="sq-AL"/>
        </w:rPr>
        <w:t xml:space="preserve">itit, </w:t>
      </w:r>
      <w:r w:rsidR="00193698">
        <w:rPr>
          <w:rFonts w:asciiTheme="minorHAnsi" w:hAnsiTheme="minorHAnsi"/>
          <w:bCs/>
          <w:lang w:val="sq-AL" w:eastAsia="sq-AL"/>
        </w:rPr>
        <w:t>dhe</w:t>
      </w:r>
      <w:r w:rsidR="00001086">
        <w:rPr>
          <w:rFonts w:asciiTheme="minorHAnsi" w:hAnsiTheme="minorHAnsi"/>
          <w:bCs/>
          <w:lang w:val="sq-AL" w:eastAsia="sq-AL"/>
        </w:rPr>
        <w:t xml:space="preserve"> </w:t>
      </w:r>
      <w:r w:rsidR="00193698">
        <w:rPr>
          <w:rFonts w:asciiTheme="minorHAnsi" w:hAnsiTheme="minorHAnsi"/>
          <w:bCs/>
          <w:lang w:val="sq-AL" w:eastAsia="sq-AL"/>
        </w:rPr>
        <w:t>Projektbuxheti</w:t>
      </w:r>
      <w:r w:rsidR="00001086">
        <w:rPr>
          <w:rFonts w:asciiTheme="minorHAnsi" w:hAnsiTheme="minorHAnsi"/>
          <w:bCs/>
          <w:lang w:val="sq-AL" w:eastAsia="sq-AL"/>
        </w:rPr>
        <w:t xml:space="preserve">. </w:t>
      </w:r>
    </w:p>
    <w:p w:rsidR="00402E3B" w:rsidRDefault="00001086" w:rsidP="00325B8D">
      <w:pPr>
        <w:spacing w:before="120" w:after="120" w:line="276" w:lineRule="auto"/>
        <w:jc w:val="both"/>
        <w:rPr>
          <w:rFonts w:asciiTheme="minorHAnsi" w:hAnsiTheme="minorHAnsi"/>
          <w:bCs/>
          <w:lang w:val="sq-AL" w:eastAsia="sq-AL"/>
        </w:rPr>
      </w:pPr>
      <w:r>
        <w:rPr>
          <w:rFonts w:asciiTheme="minorHAnsi" w:hAnsiTheme="minorHAnsi"/>
          <w:bCs/>
          <w:lang w:val="sq-AL" w:eastAsia="sq-AL"/>
        </w:rPr>
        <w:t xml:space="preserve">Gjatë vitit 2022, FRU ka zgjeruar procesin e </w:t>
      </w:r>
      <w:r w:rsidRPr="00544A4D">
        <w:rPr>
          <w:rFonts w:asciiTheme="minorHAnsi" w:hAnsiTheme="minorHAnsi"/>
          <w:bCs/>
          <w:lang w:val="sq-AL" w:eastAsia="sq-AL"/>
        </w:rPr>
        <w:t>monitorimit të Ndërmarrjeve Shtetërore dhe ka</w:t>
      </w:r>
      <w:r>
        <w:rPr>
          <w:rFonts w:asciiTheme="minorHAnsi" w:hAnsiTheme="minorHAnsi"/>
          <w:bCs/>
          <w:lang w:val="sq-AL" w:eastAsia="sq-AL"/>
        </w:rPr>
        <w:t xml:space="preserve"> mbledhur të dhëna financiare nga Albgaz </w:t>
      </w:r>
      <w:r w:rsidR="00B703A6">
        <w:rPr>
          <w:rFonts w:asciiTheme="minorHAnsi" w:hAnsiTheme="minorHAnsi"/>
          <w:bCs/>
          <w:lang w:val="sq-AL" w:eastAsia="sq-AL"/>
        </w:rPr>
        <w:t>sh.a</w:t>
      </w:r>
      <w:r>
        <w:rPr>
          <w:rFonts w:asciiTheme="minorHAnsi" w:hAnsiTheme="minorHAnsi"/>
          <w:bCs/>
          <w:lang w:val="sq-AL" w:eastAsia="sq-AL"/>
        </w:rPr>
        <w:t xml:space="preserve">, Albcontrol </w:t>
      </w:r>
      <w:r w:rsidR="00B703A6">
        <w:rPr>
          <w:rFonts w:asciiTheme="minorHAnsi" w:hAnsiTheme="minorHAnsi"/>
          <w:bCs/>
          <w:lang w:val="sq-AL" w:eastAsia="sq-AL"/>
        </w:rPr>
        <w:t>sh.a</w:t>
      </w:r>
      <w:r>
        <w:rPr>
          <w:rFonts w:asciiTheme="minorHAnsi" w:hAnsiTheme="minorHAnsi"/>
          <w:bCs/>
          <w:lang w:val="sq-AL" w:eastAsia="sq-AL"/>
        </w:rPr>
        <w:t xml:space="preserve">, UKT </w:t>
      </w:r>
      <w:r w:rsidR="00B703A6">
        <w:rPr>
          <w:rFonts w:asciiTheme="minorHAnsi" w:hAnsiTheme="minorHAnsi"/>
          <w:bCs/>
          <w:lang w:val="sq-AL" w:eastAsia="sq-AL"/>
        </w:rPr>
        <w:t>sh.a</w:t>
      </w:r>
      <w:r>
        <w:rPr>
          <w:rFonts w:asciiTheme="minorHAnsi" w:hAnsiTheme="minorHAnsi"/>
          <w:bCs/>
          <w:lang w:val="sq-AL" w:eastAsia="sq-AL"/>
        </w:rPr>
        <w:t xml:space="preserve"> (Ujësjellës Kanalizime Tiranë), UKD (Ujësjellës Kanalizime Durrës), Posta Shqiptare </w:t>
      </w:r>
      <w:r w:rsidR="00B703A6">
        <w:rPr>
          <w:rFonts w:asciiTheme="minorHAnsi" w:hAnsiTheme="minorHAnsi"/>
          <w:bCs/>
          <w:lang w:val="sq-AL" w:eastAsia="sq-AL"/>
        </w:rPr>
        <w:t>sh.a</w:t>
      </w:r>
      <w:r>
        <w:rPr>
          <w:rFonts w:asciiTheme="minorHAnsi" w:hAnsiTheme="minorHAnsi"/>
          <w:bCs/>
          <w:lang w:val="sq-AL" w:eastAsia="sq-AL"/>
        </w:rPr>
        <w:t xml:space="preserve">, Hekurudhat Shqiptare </w:t>
      </w:r>
      <w:r w:rsidR="00B703A6">
        <w:rPr>
          <w:rFonts w:asciiTheme="minorHAnsi" w:hAnsiTheme="minorHAnsi"/>
          <w:bCs/>
          <w:lang w:val="sq-AL" w:eastAsia="sq-AL"/>
        </w:rPr>
        <w:t>sh.a</w:t>
      </w:r>
      <w:r>
        <w:rPr>
          <w:rFonts w:asciiTheme="minorHAnsi" w:hAnsiTheme="minorHAnsi"/>
          <w:bCs/>
          <w:lang w:val="sq-AL" w:eastAsia="sq-AL"/>
        </w:rPr>
        <w:t xml:space="preserve"> dhe RTSH </w:t>
      </w:r>
      <w:r w:rsidR="00B703A6">
        <w:rPr>
          <w:rFonts w:asciiTheme="minorHAnsi" w:hAnsiTheme="minorHAnsi"/>
          <w:bCs/>
          <w:lang w:val="sq-AL" w:eastAsia="sq-AL"/>
        </w:rPr>
        <w:t>sh.a</w:t>
      </w:r>
      <w:r>
        <w:rPr>
          <w:rFonts w:asciiTheme="minorHAnsi" w:hAnsiTheme="minorHAnsi"/>
          <w:bCs/>
          <w:lang w:val="sq-AL" w:eastAsia="sq-AL"/>
        </w:rPr>
        <w:t xml:space="preserve"> (Radio Televizioni Shqiptar), duke analizuar të dhënat përkatëse financiare. </w:t>
      </w:r>
      <w:r w:rsidR="00402E3B">
        <w:rPr>
          <w:rFonts w:asciiTheme="minorHAnsi" w:hAnsiTheme="minorHAnsi"/>
          <w:bCs/>
          <w:lang w:val="sq-AL" w:eastAsia="sq-AL"/>
        </w:rPr>
        <w:t>M</w:t>
      </w:r>
      <w:r w:rsidR="009647C4">
        <w:rPr>
          <w:rFonts w:asciiTheme="minorHAnsi" w:hAnsiTheme="minorHAnsi"/>
          <w:bCs/>
          <w:lang w:val="sq-AL" w:eastAsia="sq-AL"/>
        </w:rPr>
        <w:t>ë</w:t>
      </w:r>
      <w:r w:rsidR="00402E3B">
        <w:rPr>
          <w:rFonts w:asciiTheme="minorHAnsi" w:hAnsiTheme="minorHAnsi"/>
          <w:bCs/>
          <w:lang w:val="sq-AL" w:eastAsia="sq-AL"/>
        </w:rPr>
        <w:t>posht</w:t>
      </w:r>
      <w:r w:rsidR="009647C4">
        <w:rPr>
          <w:rFonts w:asciiTheme="minorHAnsi" w:hAnsiTheme="minorHAnsi"/>
          <w:bCs/>
          <w:lang w:val="sq-AL" w:eastAsia="sq-AL"/>
        </w:rPr>
        <w:t>ë</w:t>
      </w:r>
      <w:r w:rsidR="00402E3B">
        <w:rPr>
          <w:rFonts w:asciiTheme="minorHAnsi" w:hAnsiTheme="minorHAnsi"/>
          <w:bCs/>
          <w:lang w:val="sq-AL" w:eastAsia="sq-AL"/>
        </w:rPr>
        <w:t xml:space="preserve"> paraqitet performanca financiare e pes</w:t>
      </w:r>
      <w:r w:rsidR="009647C4">
        <w:rPr>
          <w:rFonts w:asciiTheme="minorHAnsi" w:hAnsiTheme="minorHAnsi"/>
          <w:bCs/>
          <w:lang w:val="sq-AL" w:eastAsia="sq-AL"/>
        </w:rPr>
        <w:t>ë</w:t>
      </w:r>
      <w:r w:rsidR="00402E3B">
        <w:rPr>
          <w:rFonts w:asciiTheme="minorHAnsi" w:hAnsiTheme="minorHAnsi"/>
          <w:bCs/>
          <w:lang w:val="sq-AL" w:eastAsia="sq-AL"/>
        </w:rPr>
        <w:t xml:space="preserve"> nd</w:t>
      </w:r>
      <w:r w:rsidR="009647C4">
        <w:rPr>
          <w:rFonts w:asciiTheme="minorHAnsi" w:hAnsiTheme="minorHAnsi"/>
          <w:bCs/>
          <w:lang w:val="sq-AL" w:eastAsia="sq-AL"/>
        </w:rPr>
        <w:t>ë</w:t>
      </w:r>
      <w:r w:rsidR="00402E3B">
        <w:rPr>
          <w:rFonts w:asciiTheme="minorHAnsi" w:hAnsiTheme="minorHAnsi"/>
          <w:bCs/>
          <w:lang w:val="sq-AL" w:eastAsia="sq-AL"/>
        </w:rPr>
        <w:t>rmarrjeve shtet</w:t>
      </w:r>
      <w:r w:rsidR="009647C4">
        <w:rPr>
          <w:rFonts w:asciiTheme="minorHAnsi" w:hAnsiTheme="minorHAnsi"/>
          <w:bCs/>
          <w:lang w:val="sq-AL" w:eastAsia="sq-AL"/>
        </w:rPr>
        <w:t>ë</w:t>
      </w:r>
      <w:r w:rsidR="00402E3B">
        <w:rPr>
          <w:rFonts w:asciiTheme="minorHAnsi" w:hAnsiTheme="minorHAnsi"/>
          <w:bCs/>
          <w:lang w:val="sq-AL" w:eastAsia="sq-AL"/>
        </w:rPr>
        <w:t>rore, p</w:t>
      </w:r>
      <w:r w:rsidR="009647C4">
        <w:rPr>
          <w:rFonts w:asciiTheme="minorHAnsi" w:hAnsiTheme="minorHAnsi"/>
          <w:bCs/>
          <w:lang w:val="sq-AL" w:eastAsia="sq-AL"/>
        </w:rPr>
        <w:t>ë</w:t>
      </w:r>
      <w:r w:rsidR="00402E3B">
        <w:rPr>
          <w:rFonts w:asciiTheme="minorHAnsi" w:hAnsiTheme="minorHAnsi"/>
          <w:bCs/>
          <w:lang w:val="sq-AL" w:eastAsia="sq-AL"/>
        </w:rPr>
        <w:t>r T1 2022:</w:t>
      </w:r>
    </w:p>
    <w:p w:rsidR="00402E3B" w:rsidRDefault="00402E3B" w:rsidP="003F6B21">
      <w:pPr>
        <w:keepNext/>
        <w:numPr>
          <w:ilvl w:val="0"/>
          <w:numId w:val="47"/>
        </w:numPr>
        <w:spacing w:before="120" w:line="276" w:lineRule="auto"/>
        <w:jc w:val="both"/>
        <w:rPr>
          <w:rFonts w:ascii="Calibri" w:hAnsi="Calibri"/>
          <w:i/>
          <w:lang w:val="sq-AL"/>
        </w:rPr>
      </w:pPr>
      <w:r>
        <w:rPr>
          <w:rFonts w:ascii="Calibri" w:hAnsi="Calibri"/>
          <w:i/>
          <w:lang w:val="sq-AL"/>
        </w:rPr>
        <w:t xml:space="preserve">Performanca financiare e UKT </w:t>
      </w:r>
      <w:r w:rsidR="00B703A6">
        <w:rPr>
          <w:rFonts w:ascii="Calibri" w:hAnsi="Calibri"/>
          <w:i/>
          <w:lang w:val="sq-AL"/>
        </w:rPr>
        <w:t>sh.a</w:t>
      </w:r>
      <w:r>
        <w:rPr>
          <w:rFonts w:ascii="Calibri" w:hAnsi="Calibri"/>
          <w:i/>
          <w:lang w:val="sq-AL"/>
        </w:rPr>
        <w:t>.</w:t>
      </w:r>
    </w:p>
    <w:p w:rsidR="00402E3B" w:rsidRDefault="00402E3B" w:rsidP="00402E3B">
      <w:pPr>
        <w:spacing w:line="276" w:lineRule="auto"/>
        <w:jc w:val="both"/>
        <w:rPr>
          <w:rFonts w:asciiTheme="minorHAnsi" w:hAnsiTheme="minorHAnsi"/>
          <w:bCs/>
          <w:lang w:val="sq-AL" w:eastAsia="sq-AL"/>
        </w:rPr>
      </w:pPr>
      <w:r w:rsidRPr="00544A4D">
        <w:rPr>
          <w:rFonts w:asciiTheme="minorHAnsi" w:hAnsiTheme="minorHAnsi"/>
          <w:bCs/>
          <w:lang w:val="sq-AL" w:eastAsia="sq-AL"/>
        </w:rPr>
        <w:t xml:space="preserve">Në fund të 2021, për UKT </w:t>
      </w:r>
      <w:r w:rsidR="00B703A6">
        <w:rPr>
          <w:rFonts w:asciiTheme="minorHAnsi" w:hAnsiTheme="minorHAnsi"/>
          <w:bCs/>
          <w:lang w:val="sq-AL" w:eastAsia="sq-AL"/>
        </w:rPr>
        <w:t>sh.a</w:t>
      </w:r>
      <w:r>
        <w:rPr>
          <w:rFonts w:asciiTheme="minorHAnsi" w:hAnsiTheme="minorHAnsi"/>
          <w:bCs/>
          <w:lang w:val="sq-AL" w:eastAsia="sq-AL"/>
        </w:rPr>
        <w:t xml:space="preserve"> (Ujësjellës Kanalizime Tiranë)</w:t>
      </w:r>
      <w:r w:rsidRPr="00544A4D">
        <w:rPr>
          <w:rFonts w:asciiTheme="minorHAnsi" w:hAnsiTheme="minorHAnsi"/>
          <w:bCs/>
          <w:lang w:val="sq-AL" w:eastAsia="sq-AL"/>
        </w:rPr>
        <w:t xml:space="preserve"> niveli i të ardhurave ishte 4,347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dhe shpenzimet 3,461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 xml:space="preserve">LEK, duke </w:t>
      </w:r>
      <w:r w:rsidRPr="00544A4D">
        <w:rPr>
          <w:rFonts w:asciiTheme="minorHAnsi" w:hAnsiTheme="minorHAnsi"/>
          <w:bCs/>
          <w:lang w:val="sq-AL" w:eastAsia="sq-AL"/>
        </w:rPr>
        <w:t>regjistr</w:t>
      </w:r>
      <w:r>
        <w:rPr>
          <w:rFonts w:asciiTheme="minorHAnsi" w:hAnsiTheme="minorHAnsi"/>
          <w:bCs/>
          <w:lang w:val="sq-AL" w:eastAsia="sq-AL"/>
        </w:rPr>
        <w:t>uar</w:t>
      </w:r>
      <w:r w:rsidRPr="00544A4D">
        <w:rPr>
          <w:rFonts w:asciiTheme="minorHAnsi" w:hAnsiTheme="minorHAnsi"/>
          <w:bCs/>
          <w:lang w:val="sq-AL" w:eastAsia="sq-AL"/>
        </w:rPr>
        <w:t xml:space="preserve"> një fitim neto pozitiv prej 886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Ky trend pozitiv vazhdoi dhe në </w:t>
      </w:r>
      <w:r>
        <w:rPr>
          <w:rFonts w:asciiTheme="minorHAnsi" w:hAnsiTheme="minorHAnsi"/>
          <w:bCs/>
          <w:lang w:val="sq-AL" w:eastAsia="sq-AL"/>
        </w:rPr>
        <w:t>T1</w:t>
      </w:r>
      <w:r w:rsidRPr="00544A4D">
        <w:rPr>
          <w:rFonts w:asciiTheme="minorHAnsi" w:hAnsiTheme="minorHAnsi"/>
          <w:bCs/>
          <w:lang w:val="sq-AL" w:eastAsia="sq-AL"/>
        </w:rPr>
        <w:t xml:space="preserve"> 2022, ku të ardhurat e UKT </w:t>
      </w:r>
      <w:r w:rsidR="00B703A6">
        <w:rPr>
          <w:rFonts w:asciiTheme="minorHAnsi" w:hAnsiTheme="minorHAnsi"/>
          <w:bCs/>
          <w:lang w:val="sq-AL" w:eastAsia="sq-AL"/>
        </w:rPr>
        <w:t>sh.a</w:t>
      </w:r>
      <w:r w:rsidRPr="00544A4D">
        <w:rPr>
          <w:rFonts w:asciiTheme="minorHAnsi" w:hAnsiTheme="minorHAnsi"/>
          <w:bCs/>
          <w:lang w:val="sq-AL" w:eastAsia="sq-AL"/>
        </w:rPr>
        <w:t xml:space="preserve"> arritën në 1,015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ndërsa totali i shpenzimeve ishte 816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Kjo tregon një vazhdimësi të ecurisë pozitive të kompanisë ku fitimi neto për periudhën rezuloi rreth 199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w:t>
      </w:r>
    </w:p>
    <w:p w:rsidR="00402E3B" w:rsidRDefault="00343167" w:rsidP="00402E3B">
      <w:pPr>
        <w:spacing w:before="120" w:line="276" w:lineRule="auto"/>
        <w:jc w:val="both"/>
        <w:rPr>
          <w:rFonts w:ascii="Calibri" w:hAnsi="Calibri" w:cs="Calibri"/>
          <w:b/>
          <w:i/>
          <w:iCs/>
          <w:color w:val="17406D"/>
          <w:sz w:val="22"/>
          <w:szCs w:val="22"/>
          <w:lang w:val="sq-AL"/>
        </w:rPr>
      </w:pPr>
      <w:bookmarkStart w:id="110" w:name="_Toc10749675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15</w:t>
      </w:r>
      <w:r w:rsidRPr="00343167">
        <w:rPr>
          <w:rFonts w:asciiTheme="minorHAnsi" w:hAnsiTheme="minorHAnsi"/>
          <w:bCs/>
          <w:i/>
          <w:noProof/>
          <w:sz w:val="22"/>
        </w:rPr>
        <w:fldChar w:fldCharType="end"/>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UKT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(2020 </w:t>
      </w:r>
      <w:r w:rsidR="00325B8D" w:rsidRPr="00B926B8">
        <w:rPr>
          <w:rFonts w:ascii="Calibri" w:hAnsi="Calibri" w:cs="Calibri"/>
          <w:i/>
          <w:iCs/>
          <w:sz w:val="22"/>
          <w:szCs w:val="22"/>
          <w:lang w:val="sq-AL"/>
        </w:rPr>
        <w:t xml:space="preserve">– </w:t>
      </w:r>
      <w:r w:rsidR="00193698">
        <w:rPr>
          <w:rFonts w:ascii="Calibri" w:hAnsi="Calibri" w:cs="Calibri"/>
          <w:i/>
          <w:iCs/>
          <w:sz w:val="22"/>
          <w:szCs w:val="22"/>
          <w:lang w:val="sq-AL"/>
        </w:rPr>
        <w:t>T1</w:t>
      </w:r>
      <w:r w:rsidR="00402E3B" w:rsidRPr="00B926B8">
        <w:rPr>
          <w:rFonts w:ascii="Calibri" w:hAnsi="Calibri" w:cs="Calibri"/>
          <w:i/>
          <w:iCs/>
          <w:sz w:val="22"/>
          <w:szCs w:val="22"/>
          <w:lang w:val="sq-AL"/>
        </w:rPr>
        <w:t xml:space="preserve"> 2022) (në mijë LEK)</w:t>
      </w:r>
      <w:bookmarkEnd w:id="110"/>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402E3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402E3B" w:rsidRDefault="00402E3B" w:rsidP="00402E3B">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402E3B" w:rsidRDefault="00402E3B" w:rsidP="00402E3B">
            <w:pPr>
              <w:jc w:val="right"/>
              <w:rPr>
                <w:rFonts w:ascii="Calibri" w:hAnsi="Calibri" w:cs="Calibri"/>
                <w:b/>
                <w:bCs/>
                <w:color w:val="000000"/>
                <w:sz w:val="20"/>
                <w:szCs w:val="20"/>
              </w:rPr>
            </w:pPr>
            <w:r>
              <w:rPr>
                <w:rFonts w:ascii="Calibri" w:hAnsi="Calibri" w:cs="Calibri"/>
                <w:b/>
                <w:bCs/>
                <w:color w:val="C00000"/>
                <w:sz w:val="22"/>
                <w:szCs w:val="22"/>
              </w:rPr>
              <w:t xml:space="preserve">                     2020</w:t>
            </w:r>
          </w:p>
        </w:tc>
        <w:tc>
          <w:tcPr>
            <w:tcW w:w="1745" w:type="dxa"/>
            <w:tcBorders>
              <w:top w:val="single" w:sz="24" w:space="0" w:color="95B3D7"/>
              <w:left w:val="nil"/>
              <w:bottom w:val="nil"/>
              <w:right w:val="nil"/>
            </w:tcBorders>
            <w:shd w:val="clear" w:color="auto" w:fill="B3DDF2"/>
            <w:noWrap/>
            <w:vAlign w:val="center"/>
            <w:hideMark/>
          </w:tcPr>
          <w:p w:rsidR="00402E3B" w:rsidRDefault="00402E3B" w:rsidP="00B926B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B926B8">
              <w:rPr>
                <w:rFonts w:ascii="Calibri" w:hAnsi="Calibri" w:cs="Calibri"/>
                <w:b/>
                <w:bCs/>
                <w:color w:val="C00000"/>
                <w:sz w:val="22"/>
                <w:szCs w:val="22"/>
              </w:rPr>
              <w:t>T1</w:t>
            </w:r>
            <w:r>
              <w:rPr>
                <w:rFonts w:ascii="Calibri" w:hAnsi="Calibri" w:cs="Calibri"/>
                <w:b/>
                <w:bCs/>
                <w:color w:val="C00000"/>
                <w:sz w:val="22"/>
                <w:szCs w:val="22"/>
              </w:rPr>
              <w:t xml:space="preserve"> 2021</w:t>
            </w:r>
          </w:p>
        </w:tc>
        <w:tc>
          <w:tcPr>
            <w:tcW w:w="1800" w:type="dxa"/>
            <w:tcBorders>
              <w:top w:val="single" w:sz="24" w:space="0" w:color="95B3D7"/>
              <w:left w:val="nil"/>
              <w:bottom w:val="nil"/>
              <w:right w:val="nil"/>
            </w:tcBorders>
            <w:shd w:val="clear" w:color="auto" w:fill="B3DDF2"/>
            <w:vAlign w:val="center"/>
            <w:hideMark/>
          </w:tcPr>
          <w:p w:rsidR="00402E3B" w:rsidRDefault="00402E3B" w:rsidP="00402E3B">
            <w:pPr>
              <w:jc w:val="right"/>
              <w:rPr>
                <w:rFonts w:ascii="Calibri" w:hAnsi="Calibri" w:cs="Calibri"/>
                <w:b/>
                <w:bCs/>
                <w:color w:val="C00000"/>
                <w:sz w:val="22"/>
                <w:szCs w:val="22"/>
              </w:rPr>
            </w:pPr>
            <w:r>
              <w:rPr>
                <w:rFonts w:ascii="Calibri" w:hAnsi="Calibri" w:cs="Calibri"/>
                <w:b/>
                <w:bCs/>
                <w:color w:val="C00000"/>
                <w:sz w:val="22"/>
                <w:szCs w:val="22"/>
              </w:rPr>
              <w:t xml:space="preserve">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402E3B" w:rsidRDefault="00402E3B" w:rsidP="00B926B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B926B8">
              <w:rPr>
                <w:rFonts w:ascii="Calibri" w:hAnsi="Calibri" w:cs="Calibri"/>
                <w:b/>
                <w:bCs/>
                <w:color w:val="C00000"/>
                <w:sz w:val="22"/>
                <w:szCs w:val="22"/>
              </w:rPr>
              <w:t>T1</w:t>
            </w:r>
            <w:r>
              <w:rPr>
                <w:rFonts w:ascii="Calibri" w:hAnsi="Calibri" w:cs="Calibri"/>
                <w:b/>
                <w:bCs/>
                <w:color w:val="C00000"/>
                <w:sz w:val="22"/>
                <w:szCs w:val="22"/>
              </w:rPr>
              <w:t xml:space="preserve"> 2022</w:t>
            </w:r>
          </w:p>
        </w:tc>
      </w:tr>
      <w:tr w:rsidR="00402E3B"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3,903,002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983,149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4,347,387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1,014,607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3,537,874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807,654</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3,461,223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815,963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365,128</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175,495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886,165</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198,644</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5,848,201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5,702,996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5,943,437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5,651,363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20,501,194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20,542,550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21,334,917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21,601,921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26,349,395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26,245,546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27,278,354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27,253,284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8,401,274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7,896,755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8,544,381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8,461,014</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8,028,275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8,261,064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7,927,963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7,802,181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16,429,549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16,157,819</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16,472,344</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16,263,195 </w:t>
            </w:r>
          </w:p>
        </w:tc>
      </w:tr>
      <w:tr w:rsidR="00402E3B" w:rsidTr="00402E3B">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9,919,846 </w:t>
            </w:r>
          </w:p>
        </w:tc>
        <w:tc>
          <w:tcPr>
            <w:tcW w:w="1745"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10,087,727 </w:t>
            </w:r>
          </w:p>
        </w:tc>
        <w:tc>
          <w:tcPr>
            <w:tcW w:w="1800" w:type="dxa"/>
            <w:tcBorders>
              <w:top w:val="nil"/>
              <w:left w:val="nil"/>
              <w:bottom w:val="single" w:sz="24" w:space="0" w:color="95B3D7"/>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10,806,011</w:t>
            </w:r>
          </w:p>
        </w:tc>
        <w:tc>
          <w:tcPr>
            <w:tcW w:w="1800" w:type="dxa"/>
            <w:tcBorders>
              <w:top w:val="nil"/>
              <w:left w:val="nil"/>
              <w:bottom w:val="single" w:sz="24" w:space="0" w:color="95B3D7"/>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10,990,090</w:t>
            </w:r>
          </w:p>
        </w:tc>
      </w:tr>
    </w:tbl>
    <w:p w:rsidR="00402E3B" w:rsidRDefault="00402E3B" w:rsidP="00402E3B">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UKT </w:t>
      </w:r>
      <w:r w:rsidR="00B703A6">
        <w:rPr>
          <w:rFonts w:ascii="Calibri" w:hAnsi="Calibri"/>
          <w:i/>
          <w:sz w:val="20"/>
          <w:szCs w:val="20"/>
          <w:lang w:val="sq-AL"/>
        </w:rPr>
        <w:t>sh.a</w:t>
      </w:r>
      <w:r>
        <w:rPr>
          <w:rFonts w:ascii="Calibri" w:hAnsi="Calibri"/>
          <w:i/>
          <w:sz w:val="20"/>
          <w:szCs w:val="20"/>
          <w:lang w:val="sq-AL"/>
        </w:rPr>
        <w:t>.</w:t>
      </w:r>
    </w:p>
    <w:p w:rsidR="00402E3B" w:rsidRDefault="00402E3B" w:rsidP="003F6B21">
      <w:pPr>
        <w:keepNext/>
        <w:numPr>
          <w:ilvl w:val="0"/>
          <w:numId w:val="47"/>
        </w:numPr>
        <w:spacing w:before="120" w:line="276" w:lineRule="auto"/>
        <w:jc w:val="both"/>
        <w:rPr>
          <w:rFonts w:ascii="Calibri" w:hAnsi="Calibri"/>
          <w:i/>
          <w:lang w:val="sq-AL"/>
        </w:rPr>
      </w:pPr>
      <w:r>
        <w:rPr>
          <w:rFonts w:ascii="Calibri" w:hAnsi="Calibri"/>
          <w:i/>
          <w:lang w:val="sq-AL"/>
        </w:rPr>
        <w:lastRenderedPageBreak/>
        <w:t xml:space="preserve">Performanca financiare e Hekurudhës Shqiptare </w:t>
      </w:r>
      <w:r w:rsidR="00B703A6">
        <w:rPr>
          <w:rFonts w:ascii="Calibri" w:hAnsi="Calibri"/>
          <w:i/>
          <w:lang w:val="sq-AL"/>
        </w:rPr>
        <w:t>sh.a</w:t>
      </w:r>
      <w:r>
        <w:rPr>
          <w:rFonts w:ascii="Calibri" w:hAnsi="Calibri"/>
          <w:i/>
          <w:lang w:val="sq-AL"/>
        </w:rPr>
        <w:t>.</w:t>
      </w:r>
    </w:p>
    <w:p w:rsidR="00402E3B" w:rsidRDefault="00402E3B" w:rsidP="00402E3B">
      <w:pPr>
        <w:spacing w:line="276" w:lineRule="auto"/>
        <w:jc w:val="both"/>
        <w:rPr>
          <w:rFonts w:asciiTheme="minorHAnsi" w:hAnsiTheme="minorHAnsi"/>
          <w:bCs/>
          <w:lang w:val="sq-AL" w:eastAsia="sq-AL"/>
        </w:rPr>
      </w:pPr>
      <w:r w:rsidRPr="00544A4D">
        <w:rPr>
          <w:rFonts w:asciiTheme="minorHAnsi" w:hAnsiTheme="minorHAnsi"/>
          <w:bCs/>
          <w:lang w:val="sq-AL" w:eastAsia="sq-AL"/>
        </w:rPr>
        <w:t xml:space="preserve">Në fund të vitit 2021, Hekurudha Shqiptare nëpërmjet pasqyrave financiare ka raportuar se të ardhurat arritën në 587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ndërsa shpenzimet e përgjithshme në masën 1,014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Shoqëria regjistroi një humbje neto prej 427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për vitin 2021. </w:t>
      </w:r>
      <w:r>
        <w:rPr>
          <w:rFonts w:asciiTheme="minorHAnsi" w:hAnsiTheme="minorHAnsi"/>
          <w:bCs/>
          <w:lang w:val="sq-AL" w:eastAsia="sq-AL"/>
        </w:rPr>
        <w:t>Sipas raportimit</w:t>
      </w:r>
      <w:r w:rsidRPr="00544A4D">
        <w:rPr>
          <w:rFonts w:asciiTheme="minorHAnsi" w:hAnsiTheme="minorHAnsi"/>
          <w:bCs/>
          <w:lang w:val="sq-AL" w:eastAsia="sq-AL"/>
        </w:rPr>
        <w:t xml:space="preserve"> për </w:t>
      </w:r>
      <w:r>
        <w:rPr>
          <w:rFonts w:asciiTheme="minorHAnsi" w:hAnsiTheme="minorHAnsi"/>
          <w:bCs/>
          <w:lang w:val="sq-AL" w:eastAsia="sq-AL"/>
        </w:rPr>
        <w:t xml:space="preserve">T1 </w:t>
      </w:r>
      <w:r w:rsidRPr="00544A4D">
        <w:rPr>
          <w:rFonts w:asciiTheme="minorHAnsi" w:hAnsiTheme="minorHAnsi"/>
          <w:bCs/>
          <w:lang w:val="sq-AL" w:eastAsia="sq-AL"/>
        </w:rPr>
        <w:t xml:space="preserve">2022, të ardhurat nga hekurudhat shqiptare arritën në 104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ndërsa shpenzimet e përgjithshme 221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w:t>
      </w:r>
      <w:r w:rsidR="00193698">
        <w:rPr>
          <w:rFonts w:asciiTheme="minorHAnsi" w:hAnsiTheme="minorHAnsi"/>
          <w:bCs/>
          <w:lang w:val="sq-AL" w:eastAsia="sq-AL"/>
        </w:rPr>
        <w:t xml:space="preserve"> Nd</w:t>
      </w:r>
      <w:r w:rsidR="0093018B">
        <w:rPr>
          <w:rFonts w:asciiTheme="minorHAnsi" w:hAnsiTheme="minorHAnsi"/>
          <w:bCs/>
          <w:lang w:val="sq-AL" w:eastAsia="sq-AL"/>
        </w:rPr>
        <w:t>ë</w:t>
      </w:r>
      <w:r w:rsidR="00193698">
        <w:rPr>
          <w:rFonts w:asciiTheme="minorHAnsi" w:hAnsiTheme="minorHAnsi"/>
          <w:bCs/>
          <w:lang w:val="sq-AL" w:eastAsia="sq-AL"/>
        </w:rPr>
        <w:t xml:space="preserve">rmarrja </w:t>
      </w:r>
      <w:r w:rsidR="00193698" w:rsidRPr="007C479E">
        <w:rPr>
          <w:rFonts w:asciiTheme="minorHAnsi" w:hAnsiTheme="minorHAnsi"/>
          <w:bCs/>
          <w:lang w:val="sq-AL" w:eastAsia="sq-AL"/>
        </w:rPr>
        <w:t xml:space="preserve">ka vazhduar të </w:t>
      </w:r>
      <w:r w:rsidR="00193698">
        <w:rPr>
          <w:rFonts w:asciiTheme="minorHAnsi" w:hAnsiTheme="minorHAnsi"/>
          <w:bCs/>
          <w:lang w:val="sq-AL" w:eastAsia="sq-AL"/>
        </w:rPr>
        <w:t>ket</w:t>
      </w:r>
      <w:r w:rsidR="0093018B">
        <w:rPr>
          <w:rFonts w:asciiTheme="minorHAnsi" w:hAnsiTheme="minorHAnsi"/>
          <w:bCs/>
          <w:lang w:val="sq-AL" w:eastAsia="sq-AL"/>
        </w:rPr>
        <w:t>ë</w:t>
      </w:r>
      <w:r w:rsidR="00193698" w:rsidRPr="007C479E">
        <w:rPr>
          <w:rFonts w:asciiTheme="minorHAnsi" w:hAnsiTheme="minorHAnsi"/>
          <w:bCs/>
          <w:lang w:val="sq-AL" w:eastAsia="sq-AL"/>
        </w:rPr>
        <w:t xml:space="preserve"> </w:t>
      </w:r>
      <w:r w:rsidR="00193698">
        <w:rPr>
          <w:rFonts w:asciiTheme="minorHAnsi" w:hAnsiTheme="minorHAnsi"/>
          <w:bCs/>
          <w:lang w:val="sq-AL" w:eastAsia="sq-AL"/>
        </w:rPr>
        <w:t>një trend</w:t>
      </w:r>
      <w:r w:rsidR="00193698" w:rsidRPr="007C479E">
        <w:rPr>
          <w:rFonts w:asciiTheme="minorHAnsi" w:hAnsiTheme="minorHAnsi"/>
          <w:bCs/>
          <w:lang w:val="sq-AL" w:eastAsia="sq-AL"/>
        </w:rPr>
        <w:t xml:space="preserve"> </w:t>
      </w:r>
      <w:r w:rsidR="00193698" w:rsidRPr="00544A4D">
        <w:rPr>
          <w:rFonts w:asciiTheme="minorHAnsi" w:hAnsiTheme="minorHAnsi"/>
          <w:bCs/>
          <w:lang w:val="sq-AL" w:eastAsia="sq-AL"/>
        </w:rPr>
        <w:t>negativ</w:t>
      </w:r>
      <w:r w:rsidR="00193698" w:rsidRPr="00292934">
        <w:rPr>
          <w:rFonts w:asciiTheme="minorHAnsi" w:hAnsiTheme="minorHAnsi"/>
          <w:bCs/>
          <w:lang w:val="sq-AL" w:eastAsia="sq-AL"/>
        </w:rPr>
        <w:t xml:space="preserve"> </w:t>
      </w:r>
      <w:r w:rsidR="00193698">
        <w:rPr>
          <w:rFonts w:asciiTheme="minorHAnsi" w:hAnsiTheme="minorHAnsi"/>
          <w:bCs/>
          <w:lang w:val="sq-AL" w:eastAsia="sq-AL"/>
        </w:rPr>
        <w:t>me një humbje neto</w:t>
      </w:r>
      <w:r w:rsidR="00193698" w:rsidRPr="00544A4D">
        <w:rPr>
          <w:rFonts w:asciiTheme="minorHAnsi" w:hAnsiTheme="minorHAnsi"/>
          <w:bCs/>
          <w:lang w:val="sq-AL" w:eastAsia="sq-AL"/>
        </w:rPr>
        <w:t xml:space="preserve"> prej 118</w:t>
      </w:r>
      <w:r w:rsidR="00193698">
        <w:rPr>
          <w:rFonts w:asciiTheme="minorHAnsi" w:hAnsiTheme="minorHAnsi"/>
          <w:bCs/>
          <w:lang w:val="sq-AL" w:eastAsia="sq-AL"/>
        </w:rPr>
        <w:t xml:space="preserve"> milion</w:t>
      </w:r>
      <w:r w:rsidR="00193698" w:rsidRPr="00544A4D">
        <w:rPr>
          <w:rFonts w:asciiTheme="minorHAnsi" w:hAnsiTheme="minorHAnsi"/>
          <w:bCs/>
          <w:lang w:val="sq-AL" w:eastAsia="sq-AL"/>
        </w:rPr>
        <w:t xml:space="preserve"> </w:t>
      </w:r>
      <w:r w:rsidR="00193698">
        <w:rPr>
          <w:rFonts w:asciiTheme="minorHAnsi" w:hAnsiTheme="minorHAnsi"/>
          <w:bCs/>
          <w:lang w:val="sq-AL" w:eastAsia="sq-AL"/>
        </w:rPr>
        <w:t>LEK</w:t>
      </w:r>
      <w:r w:rsidR="00193698" w:rsidRPr="00544A4D">
        <w:rPr>
          <w:rFonts w:asciiTheme="minorHAnsi" w:hAnsiTheme="minorHAnsi"/>
          <w:bCs/>
          <w:lang w:val="sq-AL" w:eastAsia="sq-AL"/>
        </w:rPr>
        <w:t xml:space="preserve">, por krahasuar me vitin 2021 vihet re </w:t>
      </w:r>
      <w:r w:rsidR="00193698">
        <w:rPr>
          <w:rFonts w:asciiTheme="minorHAnsi" w:hAnsiTheme="minorHAnsi"/>
          <w:bCs/>
          <w:lang w:val="sq-AL" w:eastAsia="sq-AL"/>
        </w:rPr>
        <w:t xml:space="preserve">tendenca e </w:t>
      </w:r>
      <w:r w:rsidR="00193698" w:rsidRPr="00544A4D">
        <w:rPr>
          <w:rFonts w:asciiTheme="minorHAnsi" w:hAnsiTheme="minorHAnsi"/>
          <w:bCs/>
          <w:lang w:val="sq-AL" w:eastAsia="sq-AL"/>
        </w:rPr>
        <w:t>ulje</w:t>
      </w:r>
      <w:r w:rsidR="00193698">
        <w:rPr>
          <w:rFonts w:asciiTheme="minorHAnsi" w:hAnsiTheme="minorHAnsi"/>
          <w:bCs/>
          <w:lang w:val="sq-AL" w:eastAsia="sq-AL"/>
        </w:rPr>
        <w:t>s</w:t>
      </w:r>
      <w:r w:rsidR="00193698" w:rsidRPr="00544A4D">
        <w:rPr>
          <w:rFonts w:asciiTheme="minorHAnsi" w:hAnsiTheme="minorHAnsi"/>
          <w:bCs/>
          <w:lang w:val="sq-AL" w:eastAsia="sq-AL"/>
        </w:rPr>
        <w:t xml:space="preserve"> </w:t>
      </w:r>
      <w:r w:rsidR="00193698">
        <w:rPr>
          <w:rFonts w:asciiTheme="minorHAnsi" w:hAnsiTheme="minorHAnsi"/>
          <w:bCs/>
          <w:lang w:val="sq-AL" w:eastAsia="sq-AL"/>
        </w:rPr>
        <w:t>së</w:t>
      </w:r>
      <w:r w:rsidR="00193698" w:rsidRPr="00544A4D">
        <w:rPr>
          <w:rFonts w:asciiTheme="minorHAnsi" w:hAnsiTheme="minorHAnsi"/>
          <w:bCs/>
          <w:lang w:val="sq-AL" w:eastAsia="sq-AL"/>
        </w:rPr>
        <w:t xml:space="preserve"> shpenzimeve</w:t>
      </w:r>
      <w:r w:rsidRPr="00544A4D">
        <w:rPr>
          <w:rFonts w:asciiTheme="minorHAnsi" w:hAnsiTheme="minorHAnsi"/>
          <w:bCs/>
          <w:lang w:val="sq-AL" w:eastAsia="sq-AL"/>
        </w:rPr>
        <w:t>.</w:t>
      </w:r>
    </w:p>
    <w:p w:rsidR="00402E3B" w:rsidRDefault="00343167" w:rsidP="00402E3B">
      <w:pPr>
        <w:spacing w:before="120" w:line="276" w:lineRule="auto"/>
        <w:jc w:val="both"/>
        <w:rPr>
          <w:rFonts w:ascii="Calibri" w:hAnsi="Calibri" w:cs="Calibri"/>
          <w:b/>
          <w:i/>
          <w:iCs/>
          <w:color w:val="17406D"/>
          <w:sz w:val="22"/>
          <w:szCs w:val="22"/>
          <w:lang w:val="sq-AL"/>
        </w:rPr>
      </w:pPr>
      <w:bookmarkStart w:id="111" w:name="_Toc107496752"/>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16</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325B8D">
        <w:rPr>
          <w:rFonts w:ascii="Calibri" w:hAnsi="Calibri" w:cs="Calibri"/>
          <w:i/>
          <w:iCs/>
          <w:sz w:val="22"/>
          <w:szCs w:val="22"/>
          <w:lang w:val="sq-AL"/>
        </w:rPr>
        <w:t xml:space="preserve">Të dhënat financiare për Hekurudha Shqiptare </w:t>
      </w:r>
      <w:r w:rsidR="00B703A6">
        <w:rPr>
          <w:rFonts w:ascii="Calibri" w:hAnsi="Calibri" w:cs="Calibri"/>
          <w:i/>
          <w:iCs/>
          <w:sz w:val="22"/>
          <w:szCs w:val="22"/>
          <w:lang w:val="sq-AL"/>
        </w:rPr>
        <w:t>sh.a</w:t>
      </w:r>
      <w:r w:rsidR="00402E3B" w:rsidRPr="00325B8D">
        <w:rPr>
          <w:rFonts w:ascii="Calibri" w:hAnsi="Calibri" w:cs="Calibri"/>
          <w:i/>
          <w:iCs/>
          <w:sz w:val="22"/>
          <w:szCs w:val="22"/>
          <w:lang w:val="sq-AL"/>
        </w:rPr>
        <w:t xml:space="preserve"> (2020</w:t>
      </w:r>
      <w:r w:rsidR="00325B8D">
        <w:rPr>
          <w:rFonts w:ascii="Calibri" w:hAnsi="Calibri" w:cs="Calibri"/>
          <w:i/>
          <w:iCs/>
          <w:sz w:val="22"/>
          <w:szCs w:val="22"/>
          <w:lang w:val="sq-AL"/>
        </w:rPr>
        <w:t xml:space="preserve"> – T1 </w:t>
      </w:r>
      <w:r w:rsidR="00402E3B" w:rsidRPr="00325B8D">
        <w:rPr>
          <w:rFonts w:ascii="Calibri" w:hAnsi="Calibri" w:cs="Calibri"/>
          <w:i/>
          <w:iCs/>
          <w:sz w:val="22"/>
          <w:szCs w:val="22"/>
          <w:lang w:val="sq-AL"/>
        </w:rPr>
        <w:t>2022) (në mijë LEK)</w:t>
      </w:r>
      <w:bookmarkEnd w:id="111"/>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402E3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402E3B" w:rsidRDefault="00402E3B" w:rsidP="00402E3B">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402E3B" w:rsidRDefault="00402E3B" w:rsidP="00E04AC3">
            <w:pPr>
              <w:jc w:val="center"/>
              <w:rPr>
                <w:rFonts w:ascii="Calibri" w:hAnsi="Calibri" w:cs="Calibri"/>
                <w:b/>
                <w:bCs/>
                <w:color w:val="000000"/>
                <w:sz w:val="20"/>
                <w:szCs w:val="20"/>
              </w:rPr>
            </w:pPr>
            <w:r>
              <w:rPr>
                <w:rFonts w:ascii="Calibri" w:hAnsi="Calibri" w:cs="Calibri"/>
                <w:b/>
                <w:bCs/>
                <w:color w:val="C00000"/>
                <w:sz w:val="22"/>
                <w:szCs w:val="22"/>
              </w:rPr>
              <w:t>2020</w:t>
            </w:r>
          </w:p>
        </w:tc>
        <w:tc>
          <w:tcPr>
            <w:tcW w:w="1745" w:type="dxa"/>
            <w:tcBorders>
              <w:top w:val="single" w:sz="24" w:space="0" w:color="95B3D7"/>
              <w:left w:val="nil"/>
              <w:bottom w:val="nil"/>
              <w:right w:val="nil"/>
            </w:tcBorders>
            <w:shd w:val="clear" w:color="auto" w:fill="B3DDF2"/>
            <w:noWrap/>
            <w:vAlign w:val="center"/>
            <w:hideMark/>
          </w:tcPr>
          <w:p w:rsidR="00402E3B" w:rsidRDefault="00B926B8" w:rsidP="00E04AC3">
            <w:pPr>
              <w:jc w:val="center"/>
              <w:rPr>
                <w:rFonts w:ascii="Calibri" w:hAnsi="Calibri" w:cs="Calibri"/>
                <w:b/>
                <w:bCs/>
                <w:color w:val="000000"/>
                <w:sz w:val="20"/>
                <w:szCs w:val="20"/>
              </w:rPr>
            </w:pPr>
            <w:r>
              <w:rPr>
                <w:rFonts w:ascii="Calibri" w:hAnsi="Calibri" w:cs="Calibri"/>
                <w:b/>
                <w:bCs/>
                <w:color w:val="C00000"/>
                <w:sz w:val="22"/>
                <w:szCs w:val="22"/>
              </w:rPr>
              <w:t>T1</w:t>
            </w:r>
            <w:r w:rsidR="00402E3B">
              <w:rPr>
                <w:rFonts w:ascii="Calibri" w:hAnsi="Calibri" w:cs="Calibri"/>
                <w:b/>
                <w:bCs/>
                <w:color w:val="C00000"/>
                <w:sz w:val="22"/>
                <w:szCs w:val="22"/>
              </w:rPr>
              <w:t xml:space="preserve"> 2021</w:t>
            </w:r>
          </w:p>
        </w:tc>
        <w:tc>
          <w:tcPr>
            <w:tcW w:w="1800" w:type="dxa"/>
            <w:tcBorders>
              <w:top w:val="single" w:sz="24" w:space="0" w:color="95B3D7"/>
              <w:left w:val="nil"/>
              <w:bottom w:val="nil"/>
              <w:right w:val="nil"/>
            </w:tcBorders>
            <w:shd w:val="clear" w:color="auto" w:fill="B3DDF2"/>
            <w:vAlign w:val="center"/>
            <w:hideMark/>
          </w:tcPr>
          <w:p w:rsidR="00402E3B" w:rsidRDefault="00402E3B" w:rsidP="00E04AC3">
            <w:pPr>
              <w:jc w:val="center"/>
              <w:rPr>
                <w:rFonts w:ascii="Calibri" w:hAnsi="Calibri" w:cs="Calibri"/>
                <w:b/>
                <w:bCs/>
                <w:color w:val="C00000"/>
                <w:sz w:val="22"/>
                <w:szCs w:val="22"/>
              </w:rPr>
            </w:pPr>
            <w:r>
              <w:rPr>
                <w:rFonts w:ascii="Calibri" w:hAnsi="Calibri" w:cs="Calibri"/>
                <w:b/>
                <w:bCs/>
                <w:color w:val="C00000"/>
                <w:sz w:val="22"/>
                <w:szCs w:val="22"/>
              </w:rPr>
              <w:t>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402E3B" w:rsidRDefault="00B926B8" w:rsidP="00E04AC3">
            <w:pPr>
              <w:jc w:val="center"/>
              <w:rPr>
                <w:rFonts w:ascii="Calibri" w:hAnsi="Calibri" w:cs="Calibri"/>
                <w:b/>
                <w:bCs/>
                <w:color w:val="000000"/>
                <w:sz w:val="20"/>
                <w:szCs w:val="20"/>
              </w:rPr>
            </w:pPr>
            <w:r>
              <w:rPr>
                <w:rFonts w:ascii="Calibri" w:hAnsi="Calibri" w:cs="Calibri"/>
                <w:b/>
                <w:bCs/>
                <w:color w:val="C00000"/>
                <w:sz w:val="22"/>
                <w:szCs w:val="22"/>
              </w:rPr>
              <w:t>T1</w:t>
            </w:r>
            <w:r w:rsidR="00402E3B">
              <w:rPr>
                <w:rFonts w:ascii="Calibri" w:hAnsi="Calibri" w:cs="Calibri"/>
                <w:b/>
                <w:bCs/>
                <w:color w:val="C00000"/>
                <w:sz w:val="22"/>
                <w:szCs w:val="22"/>
              </w:rPr>
              <w:t xml:space="preserve"> 2022</w:t>
            </w:r>
          </w:p>
        </w:tc>
      </w:tr>
      <w:tr w:rsidR="00402E3B"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632,374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143,229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586,655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103,506</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2,687,612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256,829</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1,013,804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221,178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(2,055,238)</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(113,600)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(427,149)</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(117,672)</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371,760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366,116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373,301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519,245</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80,748,980</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80,645,012</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80,422,273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80,323,161</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81,120,740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81,011,128</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80,795,573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80,842,406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959,306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962,734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1,026,315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1,190,351</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1,649,856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1,650,416</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1,694,432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1,694,901</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2,609,162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2,613,150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2,720,747</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2,885,252 </w:t>
            </w:r>
          </w:p>
        </w:tc>
      </w:tr>
      <w:tr w:rsidR="00402E3B" w:rsidTr="00402E3B">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78,511,578 </w:t>
            </w:r>
          </w:p>
        </w:tc>
        <w:tc>
          <w:tcPr>
            <w:tcW w:w="1745"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78,397,978 </w:t>
            </w:r>
          </w:p>
        </w:tc>
        <w:tc>
          <w:tcPr>
            <w:tcW w:w="1800" w:type="dxa"/>
            <w:tcBorders>
              <w:top w:val="nil"/>
              <w:left w:val="nil"/>
              <w:bottom w:val="single" w:sz="24" w:space="0" w:color="95B3D7"/>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78,074,827</w:t>
            </w:r>
          </w:p>
        </w:tc>
        <w:tc>
          <w:tcPr>
            <w:tcW w:w="1800" w:type="dxa"/>
            <w:tcBorders>
              <w:top w:val="nil"/>
              <w:left w:val="nil"/>
              <w:bottom w:val="single" w:sz="24" w:space="0" w:color="95B3D7"/>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77,957,154</w:t>
            </w:r>
          </w:p>
        </w:tc>
      </w:tr>
    </w:tbl>
    <w:p w:rsidR="00402E3B" w:rsidRDefault="00402E3B" w:rsidP="00402E3B">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Hekurudha Shqiptare </w:t>
      </w:r>
      <w:r w:rsidR="00B703A6">
        <w:rPr>
          <w:rFonts w:ascii="Calibri" w:hAnsi="Calibri"/>
          <w:i/>
          <w:sz w:val="20"/>
          <w:szCs w:val="20"/>
          <w:lang w:val="sq-AL"/>
        </w:rPr>
        <w:t>sh.a</w:t>
      </w:r>
      <w:r>
        <w:rPr>
          <w:rFonts w:ascii="Calibri" w:hAnsi="Calibri"/>
          <w:i/>
          <w:sz w:val="20"/>
          <w:szCs w:val="20"/>
          <w:lang w:val="sq-AL"/>
        </w:rPr>
        <w:t>.</w:t>
      </w:r>
    </w:p>
    <w:p w:rsidR="00402E3B" w:rsidRDefault="00402E3B" w:rsidP="003F6B21">
      <w:pPr>
        <w:keepNext/>
        <w:numPr>
          <w:ilvl w:val="0"/>
          <w:numId w:val="47"/>
        </w:numPr>
        <w:spacing w:before="120" w:line="276" w:lineRule="auto"/>
        <w:jc w:val="both"/>
        <w:rPr>
          <w:rFonts w:ascii="Calibri" w:hAnsi="Calibri"/>
          <w:i/>
          <w:lang w:val="sq-AL"/>
        </w:rPr>
      </w:pPr>
      <w:r>
        <w:rPr>
          <w:rFonts w:ascii="Calibri" w:hAnsi="Calibri"/>
          <w:i/>
          <w:lang w:val="sq-AL"/>
        </w:rPr>
        <w:t xml:space="preserve">Performanca financiare e AlbGaz </w:t>
      </w:r>
      <w:r w:rsidR="00B703A6">
        <w:rPr>
          <w:rFonts w:ascii="Calibri" w:hAnsi="Calibri"/>
          <w:i/>
          <w:lang w:val="sq-AL"/>
        </w:rPr>
        <w:t>sh.a</w:t>
      </w:r>
      <w:r>
        <w:rPr>
          <w:rFonts w:ascii="Calibri" w:hAnsi="Calibri"/>
          <w:i/>
          <w:lang w:val="sq-AL"/>
        </w:rPr>
        <w:t>.</w:t>
      </w:r>
    </w:p>
    <w:p w:rsidR="00402E3B" w:rsidRDefault="00402E3B" w:rsidP="00402E3B">
      <w:pPr>
        <w:spacing w:line="276" w:lineRule="auto"/>
        <w:jc w:val="both"/>
        <w:rPr>
          <w:rFonts w:asciiTheme="minorHAnsi" w:hAnsiTheme="minorHAnsi"/>
          <w:bCs/>
          <w:lang w:val="sq-AL" w:eastAsia="sq-AL"/>
        </w:rPr>
      </w:pPr>
      <w:r>
        <w:rPr>
          <w:rFonts w:asciiTheme="minorHAnsi" w:hAnsiTheme="minorHAnsi"/>
          <w:bCs/>
          <w:lang w:val="sq-AL" w:eastAsia="sq-AL"/>
        </w:rPr>
        <w:t xml:space="preserve">Në fund të vitit 2021, AlbGaz raportoi të ardhura në rreth 163 milion LEK dhe shpenzime në rreth 198 milion LEK. Në fund të vitit 2021 raportohet një humbje neto prej 35 milion LEK për shoqërinë, duke treguar kështu një performancë të dobët për periudhën. Për T1 2022 shoqëria AlbGaz </w:t>
      </w:r>
      <w:r w:rsidR="00B703A6">
        <w:rPr>
          <w:rFonts w:asciiTheme="minorHAnsi" w:hAnsiTheme="minorHAnsi"/>
          <w:bCs/>
          <w:lang w:val="sq-AL" w:eastAsia="sq-AL"/>
        </w:rPr>
        <w:t>sh.a</w:t>
      </w:r>
      <w:r>
        <w:rPr>
          <w:rFonts w:asciiTheme="minorHAnsi" w:hAnsiTheme="minorHAnsi"/>
          <w:bCs/>
          <w:lang w:val="sq-AL" w:eastAsia="sq-AL"/>
        </w:rPr>
        <w:t xml:space="preserve"> rapotoi të ardhurat në vlerën rreth 104 milion LEK, ndërsa shpenzimet e përgjithshme në rreth 38 milion LEK. Shoqëria rezultoi me një fitim neto prej 66 milion LEK, me një trend pozitiv krahasuar me vitin e kaluar. </w:t>
      </w:r>
    </w:p>
    <w:p w:rsidR="00402E3B" w:rsidRDefault="00343167" w:rsidP="00402E3B">
      <w:pPr>
        <w:spacing w:before="120" w:line="276" w:lineRule="auto"/>
        <w:jc w:val="both"/>
        <w:rPr>
          <w:rFonts w:ascii="Calibri" w:hAnsi="Calibri" w:cs="Calibri"/>
          <w:b/>
          <w:i/>
          <w:iCs/>
          <w:color w:val="17406D"/>
          <w:sz w:val="22"/>
          <w:szCs w:val="22"/>
          <w:lang w:val="sq-AL"/>
        </w:rPr>
      </w:pPr>
      <w:bookmarkStart w:id="112" w:name="_Toc107496753"/>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17</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AlbGaz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(2020-</w:t>
      </w:r>
      <w:r w:rsidR="00193698">
        <w:rPr>
          <w:rFonts w:ascii="Calibri" w:hAnsi="Calibri" w:cs="Calibri"/>
          <w:i/>
          <w:iCs/>
          <w:sz w:val="22"/>
          <w:szCs w:val="22"/>
          <w:lang w:val="sq-AL"/>
        </w:rPr>
        <w:t>T1</w:t>
      </w:r>
      <w:r w:rsidR="00402E3B" w:rsidRPr="00B926B8">
        <w:rPr>
          <w:rFonts w:ascii="Calibri" w:hAnsi="Calibri" w:cs="Calibri"/>
          <w:i/>
          <w:iCs/>
          <w:sz w:val="22"/>
          <w:szCs w:val="22"/>
          <w:lang w:val="sq-AL"/>
        </w:rPr>
        <w:t xml:space="preserve"> 2022) (në mijë LEK)</w:t>
      </w:r>
      <w:bookmarkEnd w:id="112"/>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402E3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402E3B" w:rsidRDefault="00402E3B" w:rsidP="00402E3B">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402E3B" w:rsidRDefault="00402E3B" w:rsidP="00402E3B">
            <w:pPr>
              <w:jc w:val="right"/>
              <w:rPr>
                <w:rFonts w:ascii="Calibri" w:hAnsi="Calibri" w:cs="Calibri"/>
                <w:b/>
                <w:bCs/>
                <w:color w:val="000000"/>
                <w:sz w:val="20"/>
                <w:szCs w:val="20"/>
              </w:rPr>
            </w:pPr>
            <w:r>
              <w:rPr>
                <w:rFonts w:ascii="Calibri" w:hAnsi="Calibri" w:cs="Calibri"/>
                <w:b/>
                <w:bCs/>
                <w:color w:val="C00000"/>
                <w:sz w:val="22"/>
                <w:szCs w:val="22"/>
              </w:rPr>
              <w:t xml:space="preserve">                     2020</w:t>
            </w:r>
          </w:p>
        </w:tc>
        <w:tc>
          <w:tcPr>
            <w:tcW w:w="1745" w:type="dxa"/>
            <w:tcBorders>
              <w:top w:val="single" w:sz="24" w:space="0" w:color="95B3D7"/>
              <w:left w:val="nil"/>
              <w:bottom w:val="nil"/>
              <w:right w:val="nil"/>
            </w:tcBorders>
            <w:shd w:val="clear" w:color="auto" w:fill="B3DDF2"/>
            <w:noWrap/>
            <w:vAlign w:val="center"/>
            <w:hideMark/>
          </w:tcPr>
          <w:p w:rsidR="00402E3B" w:rsidRDefault="00402E3B" w:rsidP="0019369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193698">
              <w:rPr>
                <w:rFonts w:ascii="Calibri" w:hAnsi="Calibri" w:cs="Calibri"/>
                <w:b/>
                <w:bCs/>
                <w:color w:val="C00000"/>
                <w:sz w:val="22"/>
                <w:szCs w:val="22"/>
              </w:rPr>
              <w:t>T1</w:t>
            </w:r>
            <w:r>
              <w:rPr>
                <w:rFonts w:ascii="Calibri" w:hAnsi="Calibri" w:cs="Calibri"/>
                <w:b/>
                <w:bCs/>
                <w:color w:val="C00000"/>
                <w:sz w:val="22"/>
                <w:szCs w:val="22"/>
              </w:rPr>
              <w:t xml:space="preserve"> 2021</w:t>
            </w:r>
          </w:p>
        </w:tc>
        <w:tc>
          <w:tcPr>
            <w:tcW w:w="1800" w:type="dxa"/>
            <w:tcBorders>
              <w:top w:val="single" w:sz="24" w:space="0" w:color="95B3D7"/>
              <w:left w:val="nil"/>
              <w:bottom w:val="nil"/>
              <w:right w:val="nil"/>
            </w:tcBorders>
            <w:shd w:val="clear" w:color="auto" w:fill="B3DDF2"/>
            <w:vAlign w:val="center"/>
            <w:hideMark/>
          </w:tcPr>
          <w:p w:rsidR="00402E3B" w:rsidRDefault="00402E3B" w:rsidP="00402E3B">
            <w:pPr>
              <w:jc w:val="right"/>
              <w:rPr>
                <w:rFonts w:ascii="Calibri" w:hAnsi="Calibri" w:cs="Calibri"/>
                <w:b/>
                <w:bCs/>
                <w:color w:val="C00000"/>
                <w:sz w:val="22"/>
                <w:szCs w:val="22"/>
              </w:rPr>
            </w:pPr>
            <w:r>
              <w:rPr>
                <w:rFonts w:ascii="Calibri" w:hAnsi="Calibri" w:cs="Calibri"/>
                <w:b/>
                <w:bCs/>
                <w:color w:val="C00000"/>
                <w:sz w:val="22"/>
                <w:szCs w:val="22"/>
              </w:rPr>
              <w:t xml:space="preserve">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402E3B" w:rsidRDefault="00402E3B" w:rsidP="0019369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193698">
              <w:rPr>
                <w:rFonts w:ascii="Calibri" w:hAnsi="Calibri" w:cs="Calibri"/>
                <w:b/>
                <w:bCs/>
                <w:color w:val="C00000"/>
                <w:sz w:val="22"/>
                <w:szCs w:val="22"/>
              </w:rPr>
              <w:t>T1</w:t>
            </w:r>
            <w:r>
              <w:rPr>
                <w:rFonts w:ascii="Calibri" w:hAnsi="Calibri" w:cs="Calibri"/>
                <w:b/>
                <w:bCs/>
                <w:color w:val="C00000"/>
                <w:sz w:val="22"/>
                <w:szCs w:val="22"/>
              </w:rPr>
              <w:t xml:space="preserve"> 2022</w:t>
            </w:r>
          </w:p>
        </w:tc>
      </w:tr>
      <w:tr w:rsidR="00402E3B"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145,044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313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162,587</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104,402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170,209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37,492</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197,657</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38,348</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(25,165)</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(37,179)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(35,070)</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66,054</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188,432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151,023</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255,294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329,661</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688,986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688,240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714,965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713,930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877,418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839,262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970,259</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1,043,592</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79,163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78,499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40,171</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48,103</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607,603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607,290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774,507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773,854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686,767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685,790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814,678</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821,957 </w:t>
            </w:r>
          </w:p>
        </w:tc>
      </w:tr>
      <w:tr w:rsidR="00402E3B" w:rsidTr="00402E3B">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190,651 </w:t>
            </w:r>
          </w:p>
        </w:tc>
        <w:tc>
          <w:tcPr>
            <w:tcW w:w="1745"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153,472 </w:t>
            </w:r>
          </w:p>
        </w:tc>
        <w:tc>
          <w:tcPr>
            <w:tcW w:w="1800" w:type="dxa"/>
            <w:tcBorders>
              <w:top w:val="nil"/>
              <w:left w:val="nil"/>
              <w:bottom w:val="single" w:sz="24" w:space="0" w:color="95B3D7"/>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158,581</w:t>
            </w:r>
          </w:p>
        </w:tc>
        <w:tc>
          <w:tcPr>
            <w:tcW w:w="1800" w:type="dxa"/>
            <w:tcBorders>
              <w:top w:val="nil"/>
              <w:left w:val="nil"/>
              <w:bottom w:val="single" w:sz="24" w:space="0" w:color="95B3D7"/>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221,635</w:t>
            </w:r>
          </w:p>
        </w:tc>
      </w:tr>
    </w:tbl>
    <w:p w:rsidR="00402E3B" w:rsidRDefault="00402E3B" w:rsidP="00402E3B">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AlbGaz </w:t>
      </w:r>
      <w:r w:rsidR="00B703A6">
        <w:rPr>
          <w:rFonts w:ascii="Calibri" w:hAnsi="Calibri"/>
          <w:i/>
          <w:sz w:val="20"/>
          <w:szCs w:val="20"/>
          <w:lang w:val="sq-AL"/>
        </w:rPr>
        <w:t>sh.a</w:t>
      </w:r>
      <w:r>
        <w:rPr>
          <w:rFonts w:ascii="Calibri" w:hAnsi="Calibri"/>
          <w:i/>
          <w:sz w:val="20"/>
          <w:szCs w:val="20"/>
          <w:lang w:val="sq-AL"/>
        </w:rPr>
        <w:t>.</w:t>
      </w:r>
    </w:p>
    <w:p w:rsidR="00402E3B" w:rsidRDefault="00402E3B" w:rsidP="003F6B21">
      <w:pPr>
        <w:keepNext/>
        <w:numPr>
          <w:ilvl w:val="0"/>
          <w:numId w:val="47"/>
        </w:numPr>
        <w:spacing w:before="120" w:line="276" w:lineRule="auto"/>
        <w:jc w:val="both"/>
        <w:rPr>
          <w:rFonts w:ascii="Calibri" w:hAnsi="Calibri"/>
          <w:i/>
          <w:lang w:val="sq-AL"/>
        </w:rPr>
      </w:pPr>
      <w:r>
        <w:rPr>
          <w:rFonts w:ascii="Calibri" w:hAnsi="Calibri"/>
          <w:i/>
          <w:lang w:val="sq-AL"/>
        </w:rPr>
        <w:t xml:space="preserve">Performanca financiare e Albcontrol </w:t>
      </w:r>
      <w:r w:rsidR="00B703A6">
        <w:rPr>
          <w:rFonts w:ascii="Calibri" w:hAnsi="Calibri"/>
          <w:i/>
          <w:lang w:val="sq-AL"/>
        </w:rPr>
        <w:t>sh.a</w:t>
      </w:r>
      <w:r>
        <w:rPr>
          <w:rFonts w:ascii="Calibri" w:hAnsi="Calibri"/>
          <w:i/>
          <w:lang w:val="sq-AL"/>
        </w:rPr>
        <w:t>.</w:t>
      </w:r>
    </w:p>
    <w:p w:rsidR="00402E3B" w:rsidRDefault="00402E3B" w:rsidP="00402E3B">
      <w:pPr>
        <w:spacing w:line="276" w:lineRule="auto"/>
        <w:jc w:val="both"/>
        <w:rPr>
          <w:rFonts w:asciiTheme="minorHAnsi" w:hAnsiTheme="minorHAnsi"/>
          <w:bCs/>
          <w:lang w:val="sq-AL" w:eastAsia="sq-AL"/>
        </w:rPr>
      </w:pPr>
      <w:r w:rsidRPr="00544A4D">
        <w:rPr>
          <w:rFonts w:asciiTheme="minorHAnsi" w:hAnsiTheme="minorHAnsi"/>
          <w:bCs/>
          <w:lang w:val="sq-AL" w:eastAsia="sq-AL"/>
        </w:rPr>
        <w:t xml:space="preserve">Të ardhurat e AlbControl në fund të vitit 2021 ishin 2,777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ndërkohë shpenzimet 2,264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Shoqëria regjistroi një fitim neto prej 513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për vitin 2021. Për </w:t>
      </w:r>
      <w:r>
        <w:rPr>
          <w:rFonts w:asciiTheme="minorHAnsi" w:hAnsiTheme="minorHAnsi"/>
          <w:bCs/>
          <w:lang w:val="sq-AL" w:eastAsia="sq-AL"/>
        </w:rPr>
        <w:t xml:space="preserve">T1 </w:t>
      </w:r>
      <w:r w:rsidRPr="00544A4D">
        <w:rPr>
          <w:rFonts w:asciiTheme="minorHAnsi" w:hAnsiTheme="minorHAnsi"/>
          <w:bCs/>
          <w:lang w:val="sq-AL" w:eastAsia="sq-AL"/>
        </w:rPr>
        <w:t xml:space="preserve">2022, të ardhurat e AlbControl </w:t>
      </w:r>
      <w:r w:rsidR="00B703A6">
        <w:rPr>
          <w:rFonts w:asciiTheme="minorHAnsi" w:hAnsiTheme="minorHAnsi"/>
          <w:bCs/>
          <w:lang w:val="sq-AL" w:eastAsia="sq-AL"/>
        </w:rPr>
        <w:t>sh.a</w:t>
      </w:r>
      <w:r w:rsidRPr="00544A4D">
        <w:rPr>
          <w:rFonts w:asciiTheme="minorHAnsi" w:hAnsiTheme="minorHAnsi"/>
          <w:bCs/>
          <w:lang w:val="sq-AL" w:eastAsia="sq-AL"/>
        </w:rPr>
        <w:t xml:space="preserve"> ishin në vlerën prej 630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ndërsa shpenzimet në total ishin në vlerën prej 523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Albcontrol </w:t>
      </w:r>
      <w:r w:rsidR="00B703A6">
        <w:rPr>
          <w:rFonts w:asciiTheme="minorHAnsi" w:hAnsiTheme="minorHAnsi"/>
          <w:bCs/>
          <w:lang w:val="sq-AL" w:eastAsia="sq-AL"/>
        </w:rPr>
        <w:t>Sh.a</w:t>
      </w:r>
      <w:r w:rsidRPr="00544A4D">
        <w:rPr>
          <w:rFonts w:asciiTheme="minorHAnsi" w:hAnsiTheme="minorHAnsi"/>
          <w:bCs/>
          <w:lang w:val="sq-AL" w:eastAsia="sq-AL"/>
        </w:rPr>
        <w:t xml:space="preserve"> ka vazhduar të ndjekë trendin pozitiv të fundvitit 2021 duke regjistruar një fitim neto për </w:t>
      </w:r>
      <w:r>
        <w:rPr>
          <w:rFonts w:asciiTheme="minorHAnsi" w:hAnsiTheme="minorHAnsi"/>
          <w:bCs/>
          <w:lang w:val="sq-AL" w:eastAsia="sq-AL"/>
        </w:rPr>
        <w:t xml:space="preserve">T1 </w:t>
      </w:r>
      <w:r w:rsidRPr="00544A4D">
        <w:rPr>
          <w:rFonts w:asciiTheme="minorHAnsi" w:hAnsiTheme="minorHAnsi"/>
          <w:bCs/>
          <w:lang w:val="sq-AL" w:eastAsia="sq-AL"/>
        </w:rPr>
        <w:t xml:space="preserve">2022 në një vlerë prej rreth 107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w:t>
      </w:r>
    </w:p>
    <w:p w:rsidR="00B926B8" w:rsidRDefault="00B926B8" w:rsidP="00402E3B">
      <w:pPr>
        <w:spacing w:line="276" w:lineRule="auto"/>
        <w:jc w:val="both"/>
        <w:rPr>
          <w:rFonts w:asciiTheme="minorHAnsi" w:hAnsiTheme="minorHAnsi"/>
          <w:bCs/>
          <w:lang w:val="sq-AL" w:eastAsia="sq-AL"/>
        </w:rPr>
      </w:pPr>
    </w:p>
    <w:p w:rsidR="00402E3B" w:rsidRDefault="00343167" w:rsidP="00402E3B">
      <w:pPr>
        <w:spacing w:before="120" w:line="276" w:lineRule="auto"/>
        <w:jc w:val="both"/>
        <w:rPr>
          <w:rFonts w:ascii="Calibri" w:hAnsi="Calibri" w:cs="Calibri"/>
          <w:b/>
          <w:i/>
          <w:iCs/>
          <w:color w:val="17406D"/>
          <w:sz w:val="22"/>
          <w:szCs w:val="22"/>
          <w:lang w:val="sq-AL"/>
        </w:rPr>
      </w:pPr>
      <w:bookmarkStart w:id="113" w:name="_Toc107496754"/>
      <w:r w:rsidRPr="00343167">
        <w:rPr>
          <w:rFonts w:asciiTheme="minorHAnsi" w:hAnsiTheme="minorHAnsi"/>
          <w:bCs/>
          <w:i/>
          <w:noProof/>
          <w:sz w:val="22"/>
        </w:rPr>
        <w:lastRenderedPageBreak/>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18</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Albcontrol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(2020-</w:t>
      </w:r>
      <w:r w:rsidR="00193698">
        <w:rPr>
          <w:rFonts w:ascii="Calibri" w:hAnsi="Calibri" w:cs="Calibri"/>
          <w:i/>
          <w:iCs/>
          <w:sz w:val="22"/>
          <w:szCs w:val="22"/>
          <w:lang w:val="sq-AL"/>
        </w:rPr>
        <w:t>T1</w:t>
      </w:r>
      <w:r w:rsidR="00402E3B" w:rsidRPr="00B926B8">
        <w:rPr>
          <w:rFonts w:ascii="Calibri" w:hAnsi="Calibri" w:cs="Calibri"/>
          <w:i/>
          <w:iCs/>
          <w:sz w:val="22"/>
          <w:szCs w:val="22"/>
          <w:lang w:val="sq-AL"/>
        </w:rPr>
        <w:t xml:space="preserve"> 2022) (në mijë LEK)</w:t>
      </w:r>
      <w:bookmarkEnd w:id="113"/>
      <w:r w:rsidR="00402E3B">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402E3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402E3B" w:rsidRDefault="00402E3B" w:rsidP="00402E3B">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402E3B" w:rsidRDefault="00402E3B" w:rsidP="00402E3B">
            <w:pPr>
              <w:jc w:val="right"/>
              <w:rPr>
                <w:rFonts w:ascii="Calibri" w:hAnsi="Calibri" w:cs="Calibri"/>
                <w:b/>
                <w:bCs/>
                <w:color w:val="000000"/>
                <w:sz w:val="20"/>
                <w:szCs w:val="20"/>
              </w:rPr>
            </w:pPr>
            <w:r>
              <w:rPr>
                <w:rFonts w:ascii="Calibri" w:hAnsi="Calibri" w:cs="Calibri"/>
                <w:b/>
                <w:bCs/>
                <w:color w:val="C00000"/>
                <w:sz w:val="22"/>
                <w:szCs w:val="22"/>
              </w:rPr>
              <w:t xml:space="preserve">                     2020</w:t>
            </w:r>
          </w:p>
        </w:tc>
        <w:tc>
          <w:tcPr>
            <w:tcW w:w="1745" w:type="dxa"/>
            <w:tcBorders>
              <w:top w:val="single" w:sz="24" w:space="0" w:color="95B3D7"/>
              <w:left w:val="nil"/>
              <w:bottom w:val="nil"/>
              <w:right w:val="nil"/>
            </w:tcBorders>
            <w:shd w:val="clear" w:color="auto" w:fill="B3DDF2"/>
            <w:noWrap/>
            <w:vAlign w:val="center"/>
            <w:hideMark/>
          </w:tcPr>
          <w:p w:rsidR="00402E3B" w:rsidRDefault="00402E3B" w:rsidP="0019369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193698">
              <w:rPr>
                <w:rFonts w:ascii="Calibri" w:hAnsi="Calibri" w:cs="Calibri"/>
                <w:b/>
                <w:bCs/>
                <w:color w:val="C00000"/>
                <w:sz w:val="22"/>
                <w:szCs w:val="22"/>
              </w:rPr>
              <w:t>T1</w:t>
            </w:r>
            <w:r>
              <w:rPr>
                <w:rFonts w:ascii="Calibri" w:hAnsi="Calibri" w:cs="Calibri"/>
                <w:b/>
                <w:bCs/>
                <w:color w:val="C00000"/>
                <w:sz w:val="22"/>
                <w:szCs w:val="22"/>
              </w:rPr>
              <w:t xml:space="preserve"> 2021</w:t>
            </w:r>
          </w:p>
        </w:tc>
        <w:tc>
          <w:tcPr>
            <w:tcW w:w="1800" w:type="dxa"/>
            <w:tcBorders>
              <w:top w:val="single" w:sz="24" w:space="0" w:color="95B3D7"/>
              <w:left w:val="nil"/>
              <w:bottom w:val="nil"/>
              <w:right w:val="nil"/>
            </w:tcBorders>
            <w:shd w:val="clear" w:color="auto" w:fill="B3DDF2"/>
            <w:vAlign w:val="center"/>
            <w:hideMark/>
          </w:tcPr>
          <w:p w:rsidR="00402E3B" w:rsidRDefault="00402E3B" w:rsidP="00402E3B">
            <w:pPr>
              <w:jc w:val="right"/>
              <w:rPr>
                <w:rFonts w:ascii="Calibri" w:hAnsi="Calibri" w:cs="Calibri"/>
                <w:b/>
                <w:bCs/>
                <w:color w:val="C00000"/>
                <w:sz w:val="22"/>
                <w:szCs w:val="22"/>
              </w:rPr>
            </w:pPr>
            <w:r>
              <w:rPr>
                <w:rFonts w:ascii="Calibri" w:hAnsi="Calibri" w:cs="Calibri"/>
                <w:b/>
                <w:bCs/>
                <w:color w:val="C00000"/>
                <w:sz w:val="22"/>
                <w:szCs w:val="22"/>
              </w:rPr>
              <w:t xml:space="preserve">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402E3B" w:rsidRDefault="00402E3B" w:rsidP="00193698">
            <w:pPr>
              <w:jc w:val="right"/>
              <w:rPr>
                <w:rFonts w:ascii="Calibri" w:hAnsi="Calibri" w:cs="Calibri"/>
                <w:b/>
                <w:bCs/>
                <w:color w:val="000000"/>
                <w:sz w:val="20"/>
                <w:szCs w:val="20"/>
              </w:rPr>
            </w:pPr>
            <w:r>
              <w:rPr>
                <w:rFonts w:ascii="Calibri" w:hAnsi="Calibri" w:cs="Calibri"/>
                <w:b/>
                <w:bCs/>
                <w:color w:val="C00000"/>
                <w:sz w:val="22"/>
                <w:szCs w:val="22"/>
              </w:rPr>
              <w:t xml:space="preserve">               </w:t>
            </w:r>
            <w:r w:rsidR="00193698">
              <w:rPr>
                <w:rFonts w:ascii="Calibri" w:hAnsi="Calibri" w:cs="Calibri"/>
                <w:b/>
                <w:bCs/>
                <w:color w:val="C00000"/>
                <w:sz w:val="22"/>
                <w:szCs w:val="22"/>
              </w:rPr>
              <w:t>T1</w:t>
            </w:r>
            <w:r>
              <w:rPr>
                <w:rFonts w:ascii="Calibri" w:hAnsi="Calibri" w:cs="Calibri"/>
                <w:b/>
                <w:bCs/>
                <w:color w:val="C00000"/>
                <w:sz w:val="22"/>
                <w:szCs w:val="22"/>
              </w:rPr>
              <w:t xml:space="preserve"> 2022</w:t>
            </w:r>
          </w:p>
        </w:tc>
      </w:tr>
      <w:tr w:rsidR="00402E3B"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1,721,796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304,609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2,777,397</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629,966</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2,273,054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483,760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2,263,931</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522,827</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(551,258)</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(179,151)</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513,466</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107,139</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1,978,366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1,893,376</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3,325,735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3,876,514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5,464,013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5,368,346</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4,843,166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4,660,898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7,442,379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7,261,722</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8,168,901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8,537,412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781,692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570,246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1,095,950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1,364,628</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150,050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359,990 </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38,572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31,265</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931,742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930,236</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1,134,522</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1,395,893</w:t>
            </w:r>
          </w:p>
        </w:tc>
      </w:tr>
      <w:tr w:rsidR="00402E3B" w:rsidTr="00402E3B">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6,510,637 </w:t>
            </w:r>
          </w:p>
        </w:tc>
        <w:tc>
          <w:tcPr>
            <w:tcW w:w="1745"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6,331,486 </w:t>
            </w:r>
          </w:p>
        </w:tc>
        <w:tc>
          <w:tcPr>
            <w:tcW w:w="1800" w:type="dxa"/>
            <w:tcBorders>
              <w:top w:val="nil"/>
              <w:left w:val="nil"/>
              <w:bottom w:val="single" w:sz="24" w:space="0" w:color="95B3D7"/>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7,034,380</w:t>
            </w:r>
          </w:p>
        </w:tc>
        <w:tc>
          <w:tcPr>
            <w:tcW w:w="1800" w:type="dxa"/>
            <w:tcBorders>
              <w:top w:val="nil"/>
              <w:left w:val="nil"/>
              <w:bottom w:val="single" w:sz="24" w:space="0" w:color="95B3D7"/>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7,141,519</w:t>
            </w:r>
          </w:p>
        </w:tc>
      </w:tr>
    </w:tbl>
    <w:p w:rsidR="00402E3B" w:rsidRDefault="00402E3B" w:rsidP="00402E3B">
      <w:pPr>
        <w:spacing w:before="240" w:line="360" w:lineRule="auto"/>
        <w:ind w:firstLine="360"/>
        <w:contextualSpacing/>
        <w:jc w:val="both"/>
        <w:rPr>
          <w:rFonts w:ascii="Calibri" w:hAnsi="Calibri"/>
          <w:i/>
          <w:sz w:val="20"/>
          <w:szCs w:val="20"/>
          <w:lang w:val="sq-AL"/>
        </w:rPr>
      </w:pPr>
      <w:r>
        <w:fldChar w:fldCharType="end"/>
      </w:r>
      <w:r>
        <w:rPr>
          <w:rFonts w:ascii="Calibri" w:hAnsi="Calibri"/>
          <w:i/>
          <w:sz w:val="20"/>
          <w:szCs w:val="20"/>
          <w:lang w:val="sq-AL"/>
        </w:rPr>
        <w:t xml:space="preserve">Burimi: Albcontrol </w:t>
      </w:r>
      <w:r w:rsidR="00B703A6">
        <w:rPr>
          <w:rFonts w:ascii="Calibri" w:hAnsi="Calibri"/>
          <w:i/>
          <w:sz w:val="20"/>
          <w:szCs w:val="20"/>
          <w:lang w:val="sq-AL"/>
        </w:rPr>
        <w:t>sh.a</w:t>
      </w:r>
      <w:r>
        <w:rPr>
          <w:rFonts w:ascii="Calibri" w:hAnsi="Calibri"/>
          <w:i/>
          <w:sz w:val="20"/>
          <w:szCs w:val="20"/>
          <w:lang w:val="sq-AL"/>
        </w:rPr>
        <w:t>.</w:t>
      </w:r>
    </w:p>
    <w:p w:rsidR="00402E3B" w:rsidRDefault="00402E3B" w:rsidP="003F6B21">
      <w:pPr>
        <w:keepNext/>
        <w:numPr>
          <w:ilvl w:val="0"/>
          <w:numId w:val="47"/>
        </w:numPr>
        <w:spacing w:before="120" w:line="276" w:lineRule="auto"/>
        <w:jc w:val="both"/>
        <w:rPr>
          <w:rFonts w:ascii="Calibri" w:hAnsi="Calibri"/>
          <w:i/>
          <w:lang w:val="sq-AL"/>
        </w:rPr>
      </w:pPr>
      <w:r>
        <w:rPr>
          <w:rFonts w:ascii="Calibri" w:hAnsi="Calibri"/>
          <w:i/>
          <w:lang w:val="sq-AL"/>
        </w:rPr>
        <w:t xml:space="preserve">Performanca financiare e RTSH </w:t>
      </w:r>
      <w:r w:rsidR="00B703A6">
        <w:rPr>
          <w:rFonts w:ascii="Calibri" w:hAnsi="Calibri"/>
          <w:i/>
          <w:lang w:val="sq-AL"/>
        </w:rPr>
        <w:t>sh.a</w:t>
      </w:r>
      <w:r>
        <w:rPr>
          <w:rFonts w:ascii="Calibri" w:hAnsi="Calibri"/>
          <w:i/>
          <w:lang w:val="sq-AL"/>
        </w:rPr>
        <w:t>.</w:t>
      </w:r>
    </w:p>
    <w:p w:rsidR="00402E3B" w:rsidRDefault="00193698" w:rsidP="00B926B8">
      <w:pPr>
        <w:jc w:val="both"/>
        <w:rPr>
          <w:rFonts w:asciiTheme="minorHAnsi" w:hAnsiTheme="minorHAnsi"/>
          <w:bCs/>
          <w:lang w:val="sq-AL" w:eastAsia="sq-AL"/>
        </w:rPr>
      </w:pPr>
      <w:r w:rsidRPr="00544A4D">
        <w:rPr>
          <w:rFonts w:asciiTheme="minorHAnsi" w:hAnsiTheme="minorHAnsi"/>
          <w:bCs/>
          <w:lang w:val="sq-AL" w:eastAsia="sq-AL"/>
        </w:rPr>
        <w:t xml:space="preserve">Për </w:t>
      </w:r>
      <w:r>
        <w:rPr>
          <w:rFonts w:asciiTheme="minorHAnsi" w:hAnsiTheme="minorHAnsi"/>
          <w:bCs/>
          <w:lang w:val="sq-AL" w:eastAsia="sq-AL"/>
        </w:rPr>
        <w:t>T1 2022</w:t>
      </w:r>
      <w:r w:rsidRPr="00544A4D">
        <w:rPr>
          <w:rFonts w:asciiTheme="minorHAnsi" w:hAnsiTheme="minorHAnsi"/>
          <w:bCs/>
          <w:lang w:val="sq-AL" w:eastAsia="sq-AL"/>
        </w:rPr>
        <w:t xml:space="preserve"> të ardhurat e RTSH </w:t>
      </w:r>
      <w:r>
        <w:rPr>
          <w:rFonts w:asciiTheme="minorHAnsi" w:hAnsiTheme="minorHAnsi"/>
          <w:bCs/>
          <w:lang w:val="sq-AL" w:eastAsia="sq-AL"/>
        </w:rPr>
        <w:t xml:space="preserve">sh.a </w:t>
      </w:r>
      <w:r w:rsidR="00EC7D1A">
        <w:rPr>
          <w:rFonts w:asciiTheme="minorHAnsi" w:hAnsiTheme="minorHAnsi"/>
          <w:bCs/>
          <w:lang w:val="sq-AL" w:eastAsia="sq-AL"/>
        </w:rPr>
        <w:t>kap</w:t>
      </w:r>
      <w:r w:rsidR="0093018B">
        <w:rPr>
          <w:rFonts w:asciiTheme="minorHAnsi" w:hAnsiTheme="minorHAnsi"/>
          <w:bCs/>
          <w:lang w:val="sq-AL" w:eastAsia="sq-AL"/>
        </w:rPr>
        <w:t>ë</w:t>
      </w:r>
      <w:r w:rsidR="00EC7D1A">
        <w:rPr>
          <w:rFonts w:asciiTheme="minorHAnsi" w:hAnsiTheme="minorHAnsi"/>
          <w:bCs/>
          <w:lang w:val="sq-AL" w:eastAsia="sq-AL"/>
        </w:rPr>
        <w:t xml:space="preserve">n </w:t>
      </w:r>
      <w:r>
        <w:rPr>
          <w:rFonts w:asciiTheme="minorHAnsi" w:hAnsiTheme="minorHAnsi"/>
          <w:bCs/>
          <w:lang w:val="sq-AL" w:eastAsia="sq-AL"/>
        </w:rPr>
        <w:t>vlerën rreth 538</w:t>
      </w:r>
      <w:r w:rsidRPr="00544A4D">
        <w:rPr>
          <w:rFonts w:asciiTheme="minorHAnsi" w:hAnsiTheme="minorHAnsi"/>
          <w:bCs/>
          <w:lang w:val="sq-AL" w:eastAsia="sq-AL"/>
        </w:rPr>
        <w:t xml:space="preserve">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Pr="00544A4D">
        <w:rPr>
          <w:rFonts w:asciiTheme="minorHAnsi" w:hAnsiTheme="minorHAnsi"/>
          <w:bCs/>
          <w:lang w:val="sq-AL" w:eastAsia="sq-AL"/>
        </w:rPr>
        <w:t xml:space="preserve"> ndërsa shpenzimet </w:t>
      </w:r>
      <w:r>
        <w:rPr>
          <w:rFonts w:asciiTheme="minorHAnsi" w:hAnsiTheme="minorHAnsi"/>
          <w:bCs/>
          <w:lang w:val="sq-AL" w:eastAsia="sq-AL"/>
        </w:rPr>
        <w:t>arritën</w:t>
      </w:r>
      <w:r w:rsidRPr="00544A4D">
        <w:rPr>
          <w:rFonts w:asciiTheme="minorHAnsi" w:hAnsiTheme="minorHAnsi"/>
          <w:bCs/>
          <w:lang w:val="sq-AL" w:eastAsia="sq-AL"/>
        </w:rPr>
        <w:t xml:space="preserve"> në vlerën prej </w:t>
      </w:r>
      <w:r>
        <w:rPr>
          <w:rFonts w:asciiTheme="minorHAnsi" w:hAnsiTheme="minorHAnsi"/>
          <w:bCs/>
          <w:lang w:val="sq-AL" w:eastAsia="sq-AL"/>
        </w:rPr>
        <w:t>483</w:t>
      </w:r>
      <w:r w:rsidRPr="00544A4D">
        <w:rPr>
          <w:rFonts w:asciiTheme="minorHAnsi" w:hAnsiTheme="minorHAnsi"/>
          <w:bCs/>
          <w:lang w:val="sq-AL" w:eastAsia="sq-AL"/>
        </w:rPr>
        <w:t xml:space="preserve">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 duke</w:t>
      </w:r>
      <w:r w:rsidRPr="00544A4D">
        <w:rPr>
          <w:rFonts w:asciiTheme="minorHAnsi" w:hAnsiTheme="minorHAnsi"/>
          <w:bCs/>
          <w:lang w:val="sq-AL" w:eastAsia="sq-AL"/>
        </w:rPr>
        <w:t xml:space="preserve"> </w:t>
      </w:r>
      <w:r>
        <w:rPr>
          <w:rFonts w:asciiTheme="minorHAnsi" w:hAnsiTheme="minorHAnsi"/>
          <w:bCs/>
          <w:lang w:val="sq-AL" w:eastAsia="sq-AL"/>
        </w:rPr>
        <w:t xml:space="preserve">rezultuar </w:t>
      </w:r>
      <w:r w:rsidRPr="00544A4D">
        <w:rPr>
          <w:rFonts w:asciiTheme="minorHAnsi" w:hAnsiTheme="minorHAnsi"/>
          <w:bCs/>
          <w:lang w:val="sq-AL" w:eastAsia="sq-AL"/>
        </w:rPr>
        <w:t xml:space="preserve">me një </w:t>
      </w:r>
      <w:r>
        <w:rPr>
          <w:rFonts w:asciiTheme="minorHAnsi" w:hAnsiTheme="minorHAnsi"/>
          <w:bCs/>
          <w:lang w:val="sq-AL" w:eastAsia="sq-AL"/>
        </w:rPr>
        <w:t>fitim neto prej 55</w:t>
      </w:r>
      <w:r w:rsidRPr="00544A4D">
        <w:rPr>
          <w:rFonts w:asciiTheme="minorHAnsi" w:hAnsiTheme="minorHAnsi"/>
          <w:bCs/>
          <w:lang w:val="sq-AL" w:eastAsia="sq-AL"/>
        </w:rPr>
        <w:t xml:space="preserve"> </w:t>
      </w:r>
      <w:r>
        <w:rPr>
          <w:rFonts w:asciiTheme="minorHAnsi" w:hAnsiTheme="minorHAnsi"/>
          <w:bCs/>
          <w:lang w:val="sq-AL" w:eastAsia="sq-AL"/>
        </w:rPr>
        <w:t>milion</w:t>
      </w:r>
      <w:r w:rsidRPr="00544A4D">
        <w:rPr>
          <w:rFonts w:asciiTheme="minorHAnsi" w:hAnsiTheme="minorHAnsi"/>
          <w:bCs/>
          <w:lang w:val="sq-AL" w:eastAsia="sq-AL"/>
        </w:rPr>
        <w:t xml:space="preserve"> </w:t>
      </w:r>
      <w:r>
        <w:rPr>
          <w:rFonts w:asciiTheme="minorHAnsi" w:hAnsiTheme="minorHAnsi"/>
          <w:bCs/>
          <w:lang w:val="sq-AL" w:eastAsia="sq-AL"/>
        </w:rPr>
        <w:t>LEK</w:t>
      </w:r>
      <w:r w:rsidR="00EC7D1A">
        <w:rPr>
          <w:rFonts w:asciiTheme="minorHAnsi" w:hAnsiTheme="minorHAnsi"/>
          <w:bCs/>
          <w:lang w:val="sq-AL" w:eastAsia="sq-AL"/>
        </w:rPr>
        <w:t>.</w:t>
      </w:r>
      <w:r w:rsidRPr="00544A4D">
        <w:rPr>
          <w:rFonts w:asciiTheme="minorHAnsi" w:hAnsiTheme="minorHAnsi"/>
          <w:bCs/>
          <w:lang w:val="sq-AL" w:eastAsia="sq-AL"/>
        </w:rPr>
        <w:t xml:space="preserve"> </w:t>
      </w:r>
      <w:r w:rsidR="00EC7D1A">
        <w:rPr>
          <w:rFonts w:asciiTheme="minorHAnsi" w:hAnsiTheme="minorHAnsi"/>
          <w:bCs/>
          <w:lang w:val="sq-AL" w:eastAsia="sq-AL"/>
        </w:rPr>
        <w:t>Kundrejt vitit 2021 kur s</w:t>
      </w:r>
      <w:r w:rsidR="00EC7D1A" w:rsidRPr="00544A4D">
        <w:rPr>
          <w:rFonts w:asciiTheme="minorHAnsi" w:hAnsiTheme="minorHAnsi"/>
          <w:bCs/>
          <w:lang w:val="sq-AL" w:eastAsia="sq-AL"/>
        </w:rPr>
        <w:t>hoqëria reg</w:t>
      </w:r>
      <w:r w:rsidR="00EC7D1A">
        <w:rPr>
          <w:rFonts w:asciiTheme="minorHAnsi" w:hAnsiTheme="minorHAnsi"/>
          <w:bCs/>
          <w:lang w:val="sq-AL" w:eastAsia="sq-AL"/>
        </w:rPr>
        <w:t>jistroi një humbje neto prej 461</w:t>
      </w:r>
      <w:r w:rsidR="00EC7D1A" w:rsidRPr="00544A4D">
        <w:rPr>
          <w:rFonts w:asciiTheme="minorHAnsi" w:hAnsiTheme="minorHAnsi"/>
          <w:bCs/>
          <w:lang w:val="sq-AL" w:eastAsia="sq-AL"/>
        </w:rPr>
        <w:t xml:space="preserve"> </w:t>
      </w:r>
      <w:r w:rsidR="00EC7D1A">
        <w:rPr>
          <w:rFonts w:asciiTheme="minorHAnsi" w:hAnsiTheme="minorHAnsi"/>
          <w:bCs/>
          <w:lang w:val="sq-AL" w:eastAsia="sq-AL"/>
        </w:rPr>
        <w:t>milion</w:t>
      </w:r>
      <w:r w:rsidR="00EC7D1A" w:rsidRPr="00544A4D">
        <w:rPr>
          <w:rFonts w:asciiTheme="minorHAnsi" w:hAnsiTheme="minorHAnsi"/>
          <w:bCs/>
          <w:lang w:val="sq-AL" w:eastAsia="sq-AL"/>
        </w:rPr>
        <w:t xml:space="preserve"> </w:t>
      </w:r>
      <w:r w:rsidR="00EC7D1A">
        <w:rPr>
          <w:rFonts w:asciiTheme="minorHAnsi" w:hAnsiTheme="minorHAnsi"/>
          <w:bCs/>
          <w:lang w:val="sq-AL" w:eastAsia="sq-AL"/>
        </w:rPr>
        <w:t>LEK, gjat</w:t>
      </w:r>
      <w:r w:rsidR="0093018B">
        <w:rPr>
          <w:rFonts w:asciiTheme="minorHAnsi" w:hAnsiTheme="minorHAnsi"/>
          <w:bCs/>
          <w:lang w:val="sq-AL" w:eastAsia="sq-AL"/>
        </w:rPr>
        <w:t>ë</w:t>
      </w:r>
      <w:r w:rsidR="00EC7D1A">
        <w:rPr>
          <w:rFonts w:asciiTheme="minorHAnsi" w:hAnsiTheme="minorHAnsi"/>
          <w:bCs/>
          <w:lang w:val="sq-AL" w:eastAsia="sq-AL"/>
        </w:rPr>
        <w:t xml:space="preserve"> fillimit t</w:t>
      </w:r>
      <w:r w:rsidR="0093018B">
        <w:rPr>
          <w:rFonts w:asciiTheme="minorHAnsi" w:hAnsiTheme="minorHAnsi"/>
          <w:bCs/>
          <w:lang w:val="sq-AL" w:eastAsia="sq-AL"/>
        </w:rPr>
        <w:t>ë</w:t>
      </w:r>
      <w:r w:rsidR="00EC7D1A">
        <w:rPr>
          <w:rFonts w:asciiTheme="minorHAnsi" w:hAnsiTheme="minorHAnsi"/>
          <w:bCs/>
          <w:lang w:val="sq-AL" w:eastAsia="sq-AL"/>
        </w:rPr>
        <w:t xml:space="preserve"> 2022 v</w:t>
      </w:r>
      <w:r w:rsidR="0093018B">
        <w:rPr>
          <w:rFonts w:asciiTheme="minorHAnsi" w:hAnsiTheme="minorHAnsi"/>
          <w:bCs/>
          <w:lang w:val="sq-AL" w:eastAsia="sq-AL"/>
        </w:rPr>
        <w:t>ë</w:t>
      </w:r>
      <w:r w:rsidR="00EC7D1A">
        <w:rPr>
          <w:rFonts w:asciiTheme="minorHAnsi" w:hAnsiTheme="minorHAnsi"/>
          <w:bCs/>
          <w:lang w:val="sq-AL" w:eastAsia="sq-AL"/>
        </w:rPr>
        <w:t>rehet nj</w:t>
      </w:r>
      <w:r w:rsidR="0093018B">
        <w:rPr>
          <w:rFonts w:asciiTheme="minorHAnsi" w:hAnsiTheme="minorHAnsi"/>
          <w:bCs/>
          <w:lang w:val="sq-AL" w:eastAsia="sq-AL"/>
        </w:rPr>
        <w:t>ë</w:t>
      </w:r>
      <w:r w:rsidR="00EC7D1A">
        <w:rPr>
          <w:rFonts w:asciiTheme="minorHAnsi" w:hAnsiTheme="minorHAnsi"/>
          <w:bCs/>
          <w:lang w:val="sq-AL" w:eastAsia="sq-AL"/>
        </w:rPr>
        <w:t xml:space="preserve"> p</w:t>
      </w:r>
      <w:r w:rsidR="0093018B">
        <w:rPr>
          <w:rFonts w:asciiTheme="minorHAnsi" w:hAnsiTheme="minorHAnsi"/>
          <w:bCs/>
          <w:lang w:val="sq-AL" w:eastAsia="sq-AL"/>
        </w:rPr>
        <w:t>ë</w:t>
      </w:r>
      <w:r w:rsidR="00EC7D1A">
        <w:rPr>
          <w:rFonts w:asciiTheme="minorHAnsi" w:hAnsiTheme="minorHAnsi"/>
          <w:bCs/>
          <w:lang w:val="sq-AL" w:eastAsia="sq-AL"/>
        </w:rPr>
        <w:t>rmir</w:t>
      </w:r>
      <w:r w:rsidR="0093018B">
        <w:rPr>
          <w:rFonts w:asciiTheme="minorHAnsi" w:hAnsiTheme="minorHAnsi"/>
          <w:bCs/>
          <w:lang w:val="sq-AL" w:eastAsia="sq-AL"/>
        </w:rPr>
        <w:t>ë</w:t>
      </w:r>
      <w:r w:rsidR="00EC7D1A">
        <w:rPr>
          <w:rFonts w:asciiTheme="minorHAnsi" w:hAnsiTheme="minorHAnsi"/>
          <w:bCs/>
          <w:lang w:val="sq-AL" w:eastAsia="sq-AL"/>
        </w:rPr>
        <w:t>sim i treguesve</w:t>
      </w:r>
      <w:r w:rsidR="00402E3B" w:rsidRPr="00544A4D">
        <w:rPr>
          <w:rFonts w:asciiTheme="minorHAnsi" w:hAnsiTheme="minorHAnsi"/>
          <w:bCs/>
          <w:lang w:val="sq-AL" w:eastAsia="sq-AL"/>
        </w:rPr>
        <w:t xml:space="preserve">. </w:t>
      </w:r>
    </w:p>
    <w:p w:rsidR="00402E3B" w:rsidRDefault="00343167" w:rsidP="00402E3B">
      <w:pPr>
        <w:spacing w:before="120" w:line="276" w:lineRule="auto"/>
        <w:jc w:val="both"/>
        <w:rPr>
          <w:rFonts w:ascii="Calibri" w:hAnsi="Calibri" w:cs="Calibri"/>
          <w:b/>
          <w:i/>
          <w:iCs/>
          <w:color w:val="17406D"/>
          <w:sz w:val="22"/>
          <w:szCs w:val="22"/>
          <w:lang w:val="sq-AL"/>
        </w:rPr>
      </w:pPr>
      <w:bookmarkStart w:id="114" w:name="_Toc107496755"/>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19</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RTSH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(2020-</w:t>
      </w:r>
      <w:r w:rsidR="00EC7D1A">
        <w:rPr>
          <w:rFonts w:ascii="Calibri" w:hAnsi="Calibri" w:cs="Calibri"/>
          <w:i/>
          <w:iCs/>
          <w:sz w:val="22"/>
          <w:szCs w:val="22"/>
          <w:lang w:val="sq-AL"/>
        </w:rPr>
        <w:t>T1</w:t>
      </w:r>
      <w:r w:rsidR="00402E3B" w:rsidRPr="00B926B8">
        <w:rPr>
          <w:rFonts w:ascii="Calibri" w:hAnsi="Calibri" w:cs="Calibri"/>
          <w:i/>
          <w:iCs/>
          <w:sz w:val="22"/>
          <w:szCs w:val="22"/>
          <w:lang w:val="sq-AL"/>
        </w:rPr>
        <w:t>2022) (në mijë LEK)</w:t>
      </w:r>
      <w:bookmarkEnd w:id="114"/>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402E3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402E3B" w:rsidRDefault="00402E3B" w:rsidP="00402E3B">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402E3B" w:rsidRDefault="00402E3B" w:rsidP="00402E3B">
            <w:pPr>
              <w:jc w:val="right"/>
              <w:rPr>
                <w:rFonts w:ascii="Calibri" w:hAnsi="Calibri" w:cs="Calibri"/>
                <w:b/>
                <w:bCs/>
                <w:color w:val="000000"/>
                <w:sz w:val="20"/>
                <w:szCs w:val="20"/>
              </w:rPr>
            </w:pPr>
            <w:r>
              <w:rPr>
                <w:rFonts w:ascii="Calibri" w:hAnsi="Calibri" w:cs="Calibri"/>
                <w:b/>
                <w:bCs/>
                <w:color w:val="C00000"/>
                <w:sz w:val="22"/>
                <w:szCs w:val="22"/>
              </w:rPr>
              <w:t xml:space="preserve">                     2020</w:t>
            </w:r>
          </w:p>
        </w:tc>
        <w:tc>
          <w:tcPr>
            <w:tcW w:w="1745" w:type="dxa"/>
            <w:tcBorders>
              <w:top w:val="single" w:sz="24" w:space="0" w:color="95B3D7"/>
              <w:left w:val="nil"/>
              <w:bottom w:val="nil"/>
              <w:right w:val="nil"/>
            </w:tcBorders>
            <w:shd w:val="clear" w:color="auto" w:fill="B3DDF2"/>
            <w:noWrap/>
            <w:vAlign w:val="center"/>
            <w:hideMark/>
          </w:tcPr>
          <w:p w:rsidR="00402E3B" w:rsidRDefault="00402E3B" w:rsidP="00EC7D1A">
            <w:pPr>
              <w:jc w:val="right"/>
              <w:rPr>
                <w:rFonts w:ascii="Calibri" w:hAnsi="Calibri" w:cs="Calibri"/>
                <w:b/>
                <w:bCs/>
                <w:color w:val="000000"/>
                <w:sz w:val="20"/>
                <w:szCs w:val="20"/>
              </w:rPr>
            </w:pPr>
            <w:r>
              <w:rPr>
                <w:rFonts w:ascii="Calibri" w:hAnsi="Calibri" w:cs="Calibri"/>
                <w:b/>
                <w:bCs/>
                <w:color w:val="C00000"/>
                <w:sz w:val="22"/>
                <w:szCs w:val="22"/>
              </w:rPr>
              <w:t xml:space="preserve">              </w:t>
            </w:r>
            <w:r w:rsidR="00EC7D1A">
              <w:rPr>
                <w:rFonts w:ascii="Calibri" w:hAnsi="Calibri" w:cs="Calibri"/>
                <w:b/>
                <w:bCs/>
                <w:color w:val="C00000"/>
                <w:sz w:val="22"/>
                <w:szCs w:val="22"/>
              </w:rPr>
              <w:t xml:space="preserve">T1 </w:t>
            </w:r>
            <w:r>
              <w:rPr>
                <w:rFonts w:ascii="Calibri" w:hAnsi="Calibri" w:cs="Calibri"/>
                <w:b/>
                <w:bCs/>
                <w:color w:val="C00000"/>
                <w:sz w:val="22"/>
                <w:szCs w:val="22"/>
              </w:rPr>
              <w:t>2021</w:t>
            </w:r>
          </w:p>
        </w:tc>
        <w:tc>
          <w:tcPr>
            <w:tcW w:w="1800" w:type="dxa"/>
            <w:tcBorders>
              <w:top w:val="single" w:sz="24" w:space="0" w:color="95B3D7"/>
              <w:left w:val="nil"/>
              <w:bottom w:val="nil"/>
              <w:right w:val="nil"/>
            </w:tcBorders>
            <w:shd w:val="clear" w:color="auto" w:fill="B3DDF2"/>
            <w:vAlign w:val="center"/>
            <w:hideMark/>
          </w:tcPr>
          <w:p w:rsidR="00402E3B" w:rsidRDefault="00402E3B" w:rsidP="00402E3B">
            <w:pPr>
              <w:jc w:val="right"/>
              <w:rPr>
                <w:rFonts w:ascii="Calibri" w:hAnsi="Calibri" w:cs="Calibri"/>
                <w:b/>
                <w:bCs/>
                <w:color w:val="C00000"/>
                <w:sz w:val="22"/>
                <w:szCs w:val="22"/>
              </w:rPr>
            </w:pPr>
            <w:r>
              <w:rPr>
                <w:rFonts w:ascii="Calibri" w:hAnsi="Calibri" w:cs="Calibri"/>
                <w:b/>
                <w:bCs/>
                <w:color w:val="C00000"/>
                <w:sz w:val="22"/>
                <w:szCs w:val="22"/>
              </w:rPr>
              <w:t xml:space="preserve">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402E3B" w:rsidRDefault="00402E3B" w:rsidP="00EC7D1A">
            <w:pPr>
              <w:jc w:val="right"/>
              <w:rPr>
                <w:rFonts w:ascii="Calibri" w:hAnsi="Calibri" w:cs="Calibri"/>
                <w:b/>
                <w:bCs/>
                <w:color w:val="000000"/>
                <w:sz w:val="20"/>
                <w:szCs w:val="20"/>
              </w:rPr>
            </w:pPr>
            <w:r>
              <w:rPr>
                <w:rFonts w:ascii="Calibri" w:hAnsi="Calibri" w:cs="Calibri"/>
                <w:b/>
                <w:bCs/>
                <w:color w:val="C00000"/>
                <w:sz w:val="22"/>
                <w:szCs w:val="22"/>
              </w:rPr>
              <w:t xml:space="preserve">               </w:t>
            </w:r>
            <w:r w:rsidR="00EC7D1A">
              <w:rPr>
                <w:rFonts w:ascii="Calibri" w:hAnsi="Calibri" w:cs="Calibri"/>
                <w:b/>
                <w:bCs/>
                <w:color w:val="C00000"/>
                <w:sz w:val="22"/>
                <w:szCs w:val="22"/>
              </w:rPr>
              <w:t>T1</w:t>
            </w:r>
            <w:r>
              <w:rPr>
                <w:rFonts w:ascii="Calibri" w:hAnsi="Calibri" w:cs="Calibri"/>
                <w:b/>
                <w:bCs/>
                <w:color w:val="C00000"/>
                <w:sz w:val="22"/>
                <w:szCs w:val="22"/>
              </w:rPr>
              <w:t xml:space="preserve"> 2022</w:t>
            </w:r>
          </w:p>
        </w:tc>
      </w:tr>
      <w:tr w:rsidR="00402E3B"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2"/>
              </w:rPr>
              <w:t xml:space="preserve">             2,075,073</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513,410</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2"/>
              </w:rPr>
              <w:t xml:space="preserve">             2,109,207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537,925 </w:t>
            </w:r>
          </w:p>
        </w:tc>
      </w:tr>
      <w:tr w:rsidR="00402E3B"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402E3B" w:rsidRDefault="00402E3B" w:rsidP="00402E3B">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2"/>
              </w:rPr>
              <w:t xml:space="preserve">             2,284,627 </w:t>
            </w:r>
          </w:p>
        </w:tc>
        <w:tc>
          <w:tcPr>
            <w:tcW w:w="1745" w:type="dxa"/>
            <w:tcBorders>
              <w:top w:val="nil"/>
              <w:left w:val="nil"/>
              <w:bottom w:val="nil"/>
              <w:right w:val="nil"/>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461,819</w:t>
            </w:r>
          </w:p>
        </w:tc>
        <w:tc>
          <w:tcPr>
            <w:tcW w:w="1800" w:type="dxa"/>
            <w:tcBorders>
              <w:top w:val="nil"/>
              <w:left w:val="nil"/>
              <w:bottom w:val="nil"/>
              <w:right w:val="nil"/>
            </w:tcBorders>
            <w:shd w:val="clear" w:color="auto" w:fill="FFFFFF"/>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2"/>
              </w:rPr>
              <w:t xml:space="preserve">            2,570,379 </w:t>
            </w:r>
          </w:p>
        </w:tc>
        <w:tc>
          <w:tcPr>
            <w:tcW w:w="1800" w:type="dxa"/>
            <w:tcBorders>
              <w:top w:val="nil"/>
              <w:left w:val="nil"/>
              <w:bottom w:val="nil"/>
              <w:right w:val="single" w:sz="24" w:space="0" w:color="95B3D7"/>
            </w:tcBorders>
            <w:shd w:val="clear" w:color="auto" w:fill="FFFFFF"/>
            <w:noWrap/>
            <w:vAlign w:val="center"/>
            <w:hideMark/>
          </w:tcPr>
          <w:p w:rsidR="00402E3B" w:rsidRDefault="00402E3B" w:rsidP="00402E3B">
            <w:pPr>
              <w:jc w:val="right"/>
              <w:rPr>
                <w:rFonts w:ascii="Calibri" w:hAnsi="Calibri" w:cs="Calibri"/>
                <w:i/>
                <w:color w:val="000000"/>
                <w:sz w:val="18"/>
                <w:szCs w:val="20"/>
              </w:rPr>
            </w:pPr>
            <w:r>
              <w:rPr>
                <w:rFonts w:ascii="Calibri" w:hAnsi="Calibri" w:cs="Calibri"/>
                <w:i/>
                <w:color w:val="000000"/>
                <w:sz w:val="18"/>
                <w:szCs w:val="20"/>
              </w:rPr>
              <w:t xml:space="preserve">             482,599</w:t>
            </w:r>
          </w:p>
        </w:tc>
      </w:tr>
      <w:tr w:rsidR="00402E3B" w:rsidTr="00402E3B">
        <w:trPr>
          <w:trHeight w:val="228"/>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402E3B" w:rsidRDefault="00402E3B" w:rsidP="00402E3B">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(209,554) </w:t>
            </w:r>
          </w:p>
        </w:tc>
        <w:tc>
          <w:tcPr>
            <w:tcW w:w="1745" w:type="dxa"/>
            <w:tcBorders>
              <w:top w:val="nil"/>
              <w:left w:val="nil"/>
              <w:bottom w:val="single" w:sz="24" w:space="0" w:color="95B3D7"/>
              <w:right w:val="nil"/>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51,591 </w:t>
            </w:r>
          </w:p>
        </w:tc>
        <w:tc>
          <w:tcPr>
            <w:tcW w:w="1800" w:type="dxa"/>
            <w:tcBorders>
              <w:top w:val="nil"/>
              <w:left w:val="nil"/>
              <w:bottom w:val="single" w:sz="24" w:space="0" w:color="95B3D7"/>
              <w:right w:val="nil"/>
            </w:tcBorders>
            <w:shd w:val="clear" w:color="auto" w:fill="FFFFFF"/>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(461,173)</w:t>
            </w:r>
          </w:p>
        </w:tc>
        <w:tc>
          <w:tcPr>
            <w:tcW w:w="1800" w:type="dxa"/>
            <w:tcBorders>
              <w:top w:val="nil"/>
              <w:left w:val="nil"/>
              <w:bottom w:val="single" w:sz="24" w:space="0" w:color="95B3D7"/>
              <w:right w:val="single" w:sz="24" w:space="0" w:color="95B3D7"/>
            </w:tcBorders>
            <w:shd w:val="clear" w:color="auto" w:fill="FFFFFF"/>
            <w:noWrap/>
            <w:vAlign w:val="center"/>
            <w:hideMark/>
          </w:tcPr>
          <w:p w:rsidR="00402E3B" w:rsidRDefault="00402E3B" w:rsidP="00402E3B">
            <w:pPr>
              <w:jc w:val="right"/>
              <w:rPr>
                <w:rFonts w:ascii="Calibri" w:hAnsi="Calibri" w:cs="Calibri"/>
                <w:b/>
                <w:i/>
                <w:color w:val="C00000"/>
                <w:sz w:val="20"/>
                <w:szCs w:val="20"/>
              </w:rPr>
            </w:pPr>
            <w:r>
              <w:rPr>
                <w:rFonts w:ascii="Calibri" w:hAnsi="Calibri" w:cs="Calibri"/>
                <w:b/>
                <w:i/>
                <w:color w:val="C00000"/>
                <w:sz w:val="20"/>
                <w:szCs w:val="20"/>
              </w:rPr>
              <w:t xml:space="preserve">                55,326</w:t>
            </w:r>
          </w:p>
        </w:tc>
      </w:tr>
    </w:tbl>
    <w:p w:rsidR="00402E3B" w:rsidRDefault="00402E3B" w:rsidP="00402E3B">
      <w:pPr>
        <w:spacing w:before="240" w:line="360" w:lineRule="auto"/>
        <w:ind w:firstLine="63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RTSH </w:t>
      </w:r>
      <w:r w:rsidR="00B703A6">
        <w:rPr>
          <w:rFonts w:ascii="Calibri" w:hAnsi="Calibri"/>
          <w:i/>
          <w:sz w:val="20"/>
          <w:szCs w:val="20"/>
          <w:lang w:val="sq-AL"/>
        </w:rPr>
        <w:t>sh.a</w:t>
      </w:r>
      <w:r>
        <w:rPr>
          <w:rFonts w:ascii="Calibri" w:hAnsi="Calibri"/>
          <w:i/>
          <w:sz w:val="20"/>
          <w:szCs w:val="20"/>
          <w:lang w:val="sq-AL"/>
        </w:rPr>
        <w:t>.</w:t>
      </w:r>
    </w:p>
    <w:p w:rsidR="00001086" w:rsidRDefault="00001086" w:rsidP="00001086">
      <w:pPr>
        <w:rPr>
          <w:lang w:val="sq-AL"/>
        </w:rPr>
      </w:pPr>
    </w:p>
    <w:p w:rsidR="00562780" w:rsidRPr="00BF5960" w:rsidRDefault="00F30139" w:rsidP="0093018B">
      <w:pPr>
        <w:pStyle w:val="Heading2"/>
        <w:numPr>
          <w:ilvl w:val="0"/>
          <w:numId w:val="29"/>
        </w:numPr>
        <w:ind w:left="810" w:hanging="810"/>
        <w:rPr>
          <w:sz w:val="26"/>
          <w:szCs w:val="26"/>
        </w:rPr>
      </w:pPr>
      <w:bookmarkStart w:id="115" w:name="_Toc107496997"/>
      <w:r w:rsidRPr="00BF5960">
        <w:rPr>
          <w:sz w:val="26"/>
          <w:szCs w:val="26"/>
        </w:rPr>
        <w:t xml:space="preserve">Ndërmarrjet shtetërore – </w:t>
      </w:r>
      <w:r w:rsidR="00562780" w:rsidRPr="00BF5960">
        <w:rPr>
          <w:sz w:val="26"/>
          <w:szCs w:val="26"/>
        </w:rPr>
        <w:t>Sektori</w:t>
      </w:r>
      <w:r w:rsidRPr="00BF5960">
        <w:rPr>
          <w:sz w:val="26"/>
          <w:szCs w:val="26"/>
        </w:rPr>
        <w:t xml:space="preserve"> </w:t>
      </w:r>
      <w:r w:rsidR="00562780" w:rsidRPr="00BF5960">
        <w:rPr>
          <w:sz w:val="26"/>
          <w:szCs w:val="26"/>
        </w:rPr>
        <w:t>Energjetik</w:t>
      </w:r>
      <w:bookmarkEnd w:id="106"/>
      <w:bookmarkEnd w:id="107"/>
      <w:bookmarkEnd w:id="108"/>
      <w:bookmarkEnd w:id="115"/>
    </w:p>
    <w:p w:rsidR="00BF5960" w:rsidRDefault="00BF5960" w:rsidP="00EC7D1A">
      <w:pPr>
        <w:jc w:val="both"/>
        <w:rPr>
          <w:rFonts w:asciiTheme="minorHAnsi" w:hAnsiTheme="minorHAnsi"/>
          <w:bCs/>
          <w:lang w:val="sq-AL" w:eastAsia="sq-AL"/>
        </w:rPr>
      </w:pPr>
      <w:r>
        <w:rPr>
          <w:rFonts w:asciiTheme="minorHAnsi" w:hAnsiTheme="minorHAnsi"/>
          <w:bCs/>
          <w:lang w:val="sq-AL" w:eastAsia="sq-AL"/>
        </w:rPr>
        <w:t>Ky sektor strategjik ka qenë dhe mbetet nën monitorimin e Ministrisë së Financave dhe Ekonomisë, duke patur parasysh ndikimin e konsiderueshëm fiskal dhe impaktin e ndjeshëm të tij në ekonomi. Ky monitorim në zbatim të Ligjit Organik të Buxhetit “</w:t>
      </w:r>
      <w:r w:rsidRPr="00BF5960">
        <w:rPr>
          <w:rFonts w:asciiTheme="minorHAnsi" w:hAnsiTheme="minorHAnsi"/>
          <w:bCs/>
          <w:i/>
          <w:lang w:val="sq-AL" w:eastAsia="sq-AL"/>
        </w:rPr>
        <w:t>Për menaxhimin e sistemit buxhetor në Republikën e Shqipërisë”, të ndryshuar</w:t>
      </w:r>
      <w:r>
        <w:rPr>
          <w:rFonts w:asciiTheme="minorHAnsi" w:hAnsiTheme="minorHAnsi"/>
          <w:bCs/>
          <w:lang w:val="sq-AL" w:eastAsia="sq-AL"/>
        </w:rPr>
        <w:t xml:space="preserve">” i cili është kryer periodikisht mbi bazë tremujore, ka konsistuar në analizimin e treguesve të performancës financiare të secilës prej tre kompanive KESH </w:t>
      </w:r>
      <w:r w:rsidR="00B703A6">
        <w:rPr>
          <w:rFonts w:asciiTheme="minorHAnsi" w:hAnsiTheme="minorHAnsi"/>
          <w:bCs/>
          <w:lang w:val="sq-AL" w:eastAsia="sq-AL"/>
        </w:rPr>
        <w:t>Sh.a</w:t>
      </w:r>
      <w:r>
        <w:rPr>
          <w:rFonts w:asciiTheme="minorHAnsi" w:hAnsiTheme="minorHAnsi"/>
          <w:bCs/>
          <w:lang w:val="sq-AL" w:eastAsia="sq-AL"/>
        </w:rPr>
        <w:t xml:space="preserve">, OSHEE Group </w:t>
      </w:r>
      <w:r w:rsidR="00B703A6">
        <w:rPr>
          <w:rFonts w:asciiTheme="minorHAnsi" w:hAnsiTheme="minorHAnsi"/>
          <w:bCs/>
          <w:lang w:val="sq-AL" w:eastAsia="sq-AL"/>
        </w:rPr>
        <w:t>Sh.a</w:t>
      </w:r>
      <w:r>
        <w:rPr>
          <w:rFonts w:asciiTheme="minorHAnsi" w:hAnsiTheme="minorHAnsi"/>
          <w:bCs/>
          <w:lang w:val="sq-AL" w:eastAsia="sq-AL"/>
        </w:rPr>
        <w:t xml:space="preserve"> dhe OST </w:t>
      </w:r>
      <w:r w:rsidR="00B703A6">
        <w:rPr>
          <w:rFonts w:asciiTheme="minorHAnsi" w:hAnsiTheme="minorHAnsi"/>
          <w:bCs/>
          <w:lang w:val="sq-AL" w:eastAsia="sq-AL"/>
        </w:rPr>
        <w:t>Sh.a</w:t>
      </w:r>
      <w:r w:rsidR="00266524" w:rsidRPr="00F6793D">
        <w:rPr>
          <w:rFonts w:asciiTheme="minorHAnsi" w:hAnsiTheme="minorHAnsi"/>
          <w:bCs/>
          <w:lang w:val="sq-AL" w:eastAsia="sq-AL"/>
        </w:rPr>
        <w:t>.</w:t>
      </w:r>
      <w:r>
        <w:rPr>
          <w:rFonts w:asciiTheme="minorHAnsi" w:hAnsiTheme="minorHAnsi"/>
          <w:bCs/>
          <w:lang w:val="sq-AL" w:eastAsia="sq-AL"/>
        </w:rPr>
        <w:t xml:space="preserve"> </w:t>
      </w:r>
      <w:r w:rsidR="00266524" w:rsidRPr="00266524">
        <w:rPr>
          <w:rFonts w:asciiTheme="minorHAnsi" w:hAnsiTheme="minorHAnsi"/>
          <w:bCs/>
          <w:lang w:val="sq-AL" w:eastAsia="sq-AL"/>
        </w:rPr>
        <w:t>Projektet e investimeve me financim të huaj për Sektorin e Energjisë për vitin 202</w:t>
      </w:r>
      <w:r>
        <w:rPr>
          <w:rFonts w:asciiTheme="minorHAnsi" w:hAnsiTheme="minorHAnsi"/>
          <w:bCs/>
          <w:lang w:val="sq-AL" w:eastAsia="sq-AL"/>
        </w:rPr>
        <w:t>2</w:t>
      </w:r>
      <w:r w:rsidR="00266524" w:rsidRPr="00266524">
        <w:rPr>
          <w:rFonts w:asciiTheme="minorHAnsi" w:hAnsiTheme="minorHAnsi"/>
          <w:bCs/>
          <w:lang w:val="sq-AL" w:eastAsia="sq-AL"/>
        </w:rPr>
        <w:t xml:space="preserve">, </w:t>
      </w:r>
      <w:r>
        <w:rPr>
          <w:rFonts w:asciiTheme="minorHAnsi" w:hAnsiTheme="minorHAnsi"/>
          <w:bCs/>
          <w:lang w:val="sq-AL" w:eastAsia="sq-AL"/>
        </w:rPr>
        <w:t>u miratuan në nivelin 2.1 miliardë LEK sipas buxhetit fillestar dhe Aktit Normativ nr.3 datë 12.03.2022.</w:t>
      </w:r>
      <w:r w:rsidR="00EC7D1A">
        <w:rPr>
          <w:rFonts w:asciiTheme="minorHAnsi" w:hAnsiTheme="minorHAnsi"/>
          <w:bCs/>
          <w:lang w:val="sq-AL" w:eastAsia="sq-AL"/>
        </w:rPr>
        <w:t xml:space="preserve"> </w:t>
      </w:r>
      <w:r w:rsidRPr="00544A4D">
        <w:rPr>
          <w:rFonts w:asciiTheme="minorHAnsi" w:hAnsiTheme="minorHAnsi"/>
          <w:bCs/>
          <w:lang w:val="sq-AL" w:eastAsia="sq-AL"/>
        </w:rPr>
        <w:t xml:space="preserve">Gjatë </w:t>
      </w:r>
      <w:r w:rsidR="00EC7D1A">
        <w:rPr>
          <w:rFonts w:asciiTheme="minorHAnsi" w:hAnsiTheme="minorHAnsi"/>
          <w:bCs/>
          <w:lang w:val="sq-AL" w:eastAsia="sq-AL"/>
        </w:rPr>
        <w:t>4M I 2022,</w:t>
      </w:r>
      <w:r w:rsidRPr="00544A4D">
        <w:rPr>
          <w:rFonts w:asciiTheme="minorHAnsi" w:hAnsiTheme="minorHAnsi"/>
          <w:bCs/>
          <w:lang w:val="sq-AL" w:eastAsia="sq-AL"/>
        </w:rPr>
        <w:t xml:space="preserve"> sektori energjitik është përballur me një situatë jo të favorshme në terma financiarë, një vazhdimësi kjo e fund-vitit 2021, si pasojë e situatës jo të mirë meteorologjike në vend e cila ka ulur nivelin e prodhimit të energjisë vendase nga KESH </w:t>
      </w:r>
      <w:r w:rsidR="00B703A6">
        <w:rPr>
          <w:rFonts w:asciiTheme="minorHAnsi" w:hAnsiTheme="minorHAnsi"/>
          <w:bCs/>
          <w:lang w:val="sq-AL" w:eastAsia="sq-AL"/>
        </w:rPr>
        <w:t>sh.a</w:t>
      </w:r>
      <w:r w:rsidRPr="00544A4D">
        <w:rPr>
          <w:rFonts w:asciiTheme="minorHAnsi" w:hAnsiTheme="minorHAnsi"/>
          <w:bCs/>
          <w:lang w:val="sq-AL" w:eastAsia="sq-AL"/>
        </w:rPr>
        <w:t xml:space="preserve">. Mosplotësimi i planit të furnizimit me energji elektrike si pasojë e motit të thatë ka detyruar KESH </w:t>
      </w:r>
      <w:r w:rsidR="00B703A6">
        <w:rPr>
          <w:rFonts w:asciiTheme="minorHAnsi" w:hAnsiTheme="minorHAnsi"/>
          <w:bCs/>
          <w:lang w:val="sq-AL" w:eastAsia="sq-AL"/>
        </w:rPr>
        <w:t>sh.a</w:t>
      </w:r>
      <w:r w:rsidRPr="00544A4D">
        <w:rPr>
          <w:rFonts w:asciiTheme="minorHAnsi" w:hAnsiTheme="minorHAnsi"/>
          <w:bCs/>
          <w:lang w:val="sq-AL" w:eastAsia="sq-AL"/>
        </w:rPr>
        <w:t xml:space="preserve"> të plotësojë këtë mungesë me blerje në tregun e lirë. Ndikim në sektor kanë patur dhe goditjet që tregjet evropiane të energjisë pësuan përgjatë kësaj periudhe si pasojë e konfliktit në Ukrainë dhe rritjes së paparashikuar eksponenciale të çmimit të energjisë në Tregun e Lirë. Për rrjedhojë, KESH </w:t>
      </w:r>
      <w:r w:rsidR="00B703A6">
        <w:rPr>
          <w:rFonts w:asciiTheme="minorHAnsi" w:hAnsiTheme="minorHAnsi"/>
          <w:bCs/>
          <w:lang w:val="sq-AL" w:eastAsia="sq-AL"/>
        </w:rPr>
        <w:t>sh.a</w:t>
      </w:r>
      <w:r w:rsidRPr="00544A4D">
        <w:rPr>
          <w:rFonts w:asciiTheme="minorHAnsi" w:hAnsiTheme="minorHAnsi"/>
          <w:bCs/>
          <w:lang w:val="sq-AL" w:eastAsia="sq-AL"/>
        </w:rPr>
        <w:t xml:space="preserve"> si pasojë e motit të thatë është detyruar të plotësojë këtë mungesë në prodhim me blerje në tregun e lirë, duke ndikuar negativisht kjo në një ulje të performancës financiare të shoqërisë dhe duke sjellë mungesë likuiditeti për të</w:t>
      </w:r>
      <w:r>
        <w:rPr>
          <w:rFonts w:asciiTheme="minorHAnsi" w:hAnsiTheme="minorHAnsi"/>
          <w:bCs/>
          <w:lang w:val="sq-AL" w:eastAsia="sq-AL"/>
        </w:rPr>
        <w:t>.</w:t>
      </w:r>
      <w:r w:rsidR="00EC7D1A">
        <w:rPr>
          <w:rFonts w:asciiTheme="minorHAnsi" w:hAnsiTheme="minorHAnsi"/>
          <w:bCs/>
          <w:lang w:val="sq-AL" w:eastAsia="sq-AL"/>
        </w:rPr>
        <w:t xml:space="preserve"> K</w:t>
      </w:r>
      <w:r>
        <w:rPr>
          <w:rFonts w:asciiTheme="minorHAnsi" w:hAnsiTheme="minorHAnsi"/>
          <w:bCs/>
          <w:lang w:val="sq-AL" w:eastAsia="sq-AL"/>
        </w:rPr>
        <w:t xml:space="preserve">rahasuar me </w:t>
      </w:r>
      <w:r w:rsidR="00EC7D1A">
        <w:rPr>
          <w:rFonts w:asciiTheme="minorHAnsi" w:hAnsiTheme="minorHAnsi"/>
          <w:bCs/>
          <w:lang w:val="sq-AL" w:eastAsia="sq-AL"/>
        </w:rPr>
        <w:t>4M I 2021</w:t>
      </w:r>
      <w:r>
        <w:rPr>
          <w:rFonts w:asciiTheme="minorHAnsi" w:hAnsiTheme="minorHAnsi"/>
          <w:bCs/>
          <w:lang w:val="sq-AL" w:eastAsia="sq-AL"/>
        </w:rPr>
        <w:t xml:space="preserve"> vërehet se: </w:t>
      </w:r>
    </w:p>
    <w:p w:rsidR="00BF5960" w:rsidRPr="00BF5960" w:rsidRDefault="00BF5960" w:rsidP="00EC7D1A">
      <w:pPr>
        <w:pStyle w:val="ListParagraph"/>
        <w:numPr>
          <w:ilvl w:val="0"/>
          <w:numId w:val="46"/>
        </w:numPr>
        <w:jc w:val="both"/>
        <w:rPr>
          <w:rFonts w:asciiTheme="minorHAnsi" w:hAnsiTheme="minorHAnsi"/>
          <w:bCs/>
          <w:i/>
          <w:sz w:val="22"/>
          <w:lang w:val="sq-AL" w:eastAsia="sq-AL"/>
        </w:rPr>
      </w:pPr>
      <w:r w:rsidRPr="00BF5960">
        <w:rPr>
          <w:rFonts w:asciiTheme="minorHAnsi" w:hAnsiTheme="minorHAnsi"/>
          <w:bCs/>
          <w:i/>
          <w:sz w:val="22"/>
          <w:lang w:val="sq-AL" w:eastAsia="sq-AL"/>
        </w:rPr>
        <w:t xml:space="preserve">Niveli i përgjithshëm i prodhimit vendas është ulur me rreth 37.6 përqind krahasuar me të njejtën periudhë të një viti më parë. </w:t>
      </w:r>
    </w:p>
    <w:p w:rsidR="00BF5960" w:rsidRPr="00BF5960" w:rsidRDefault="00BF5960" w:rsidP="00EC7D1A">
      <w:pPr>
        <w:pStyle w:val="ListParagraph"/>
        <w:numPr>
          <w:ilvl w:val="0"/>
          <w:numId w:val="46"/>
        </w:numPr>
        <w:spacing w:before="120"/>
        <w:jc w:val="both"/>
        <w:rPr>
          <w:rFonts w:asciiTheme="minorHAnsi" w:hAnsiTheme="minorHAnsi"/>
          <w:bCs/>
          <w:i/>
          <w:sz w:val="22"/>
          <w:lang w:val="sq-AL" w:eastAsia="sq-AL"/>
        </w:rPr>
      </w:pPr>
      <w:r w:rsidRPr="00BF5960">
        <w:rPr>
          <w:rFonts w:asciiTheme="minorHAnsi" w:hAnsiTheme="minorHAnsi"/>
          <w:bCs/>
          <w:i/>
          <w:sz w:val="22"/>
          <w:lang w:val="sq-AL" w:eastAsia="sq-AL"/>
        </w:rPr>
        <w:t>Prodhimi neto vendas është vetëm 2.71 T</w:t>
      </w:r>
      <w:r w:rsidR="009647C4">
        <w:rPr>
          <w:rFonts w:asciiTheme="minorHAnsi" w:hAnsiTheme="minorHAnsi"/>
          <w:bCs/>
          <w:i/>
          <w:sz w:val="22"/>
          <w:lang w:val="sq-AL" w:eastAsia="sq-AL"/>
        </w:rPr>
        <w:t>Ë</w:t>
      </w:r>
      <w:r w:rsidRPr="00BF5960">
        <w:rPr>
          <w:rFonts w:asciiTheme="minorHAnsi" w:hAnsiTheme="minorHAnsi"/>
          <w:bCs/>
          <w:i/>
          <w:sz w:val="22"/>
          <w:lang w:val="sq-AL" w:eastAsia="sq-AL"/>
        </w:rPr>
        <w:t>h krahasur me të njejtën periudhë të vitit të kaluar ku prodhimi neto vendas ka qënë rreth 4.34 T</w:t>
      </w:r>
      <w:r w:rsidR="009647C4">
        <w:rPr>
          <w:rFonts w:asciiTheme="minorHAnsi" w:hAnsiTheme="minorHAnsi"/>
          <w:bCs/>
          <w:i/>
          <w:sz w:val="22"/>
          <w:lang w:val="sq-AL" w:eastAsia="sq-AL"/>
        </w:rPr>
        <w:t>Ë</w:t>
      </w:r>
      <w:r w:rsidRPr="00BF5960">
        <w:rPr>
          <w:rFonts w:asciiTheme="minorHAnsi" w:hAnsiTheme="minorHAnsi"/>
          <w:bCs/>
          <w:i/>
          <w:sz w:val="22"/>
          <w:lang w:val="sq-AL" w:eastAsia="sq-AL"/>
        </w:rPr>
        <w:t xml:space="preserve">h. </w:t>
      </w:r>
    </w:p>
    <w:p w:rsidR="00BF5960" w:rsidRPr="00BF5960" w:rsidRDefault="00BF5960" w:rsidP="00EC7D1A">
      <w:pPr>
        <w:pStyle w:val="ListParagraph"/>
        <w:numPr>
          <w:ilvl w:val="0"/>
          <w:numId w:val="46"/>
        </w:numPr>
        <w:spacing w:before="120"/>
        <w:jc w:val="both"/>
        <w:rPr>
          <w:rFonts w:asciiTheme="minorHAnsi" w:hAnsiTheme="minorHAnsi"/>
          <w:bCs/>
          <w:i/>
          <w:sz w:val="22"/>
          <w:lang w:val="sq-AL" w:eastAsia="sq-AL"/>
        </w:rPr>
      </w:pPr>
      <w:r w:rsidRPr="00BF5960">
        <w:rPr>
          <w:rFonts w:asciiTheme="minorHAnsi" w:hAnsiTheme="minorHAnsi"/>
          <w:bCs/>
          <w:i/>
          <w:sz w:val="22"/>
          <w:lang w:val="sq-AL" w:eastAsia="sq-AL"/>
        </w:rPr>
        <w:t xml:space="preserve">Konkretisht, gjatë 4M 2022, KESH </w:t>
      </w:r>
      <w:r w:rsidR="00B703A6">
        <w:rPr>
          <w:rFonts w:asciiTheme="minorHAnsi" w:hAnsiTheme="minorHAnsi"/>
          <w:bCs/>
          <w:i/>
          <w:sz w:val="22"/>
          <w:lang w:val="sq-AL" w:eastAsia="sq-AL"/>
        </w:rPr>
        <w:t>sh.a</w:t>
      </w:r>
      <w:r w:rsidRPr="00BF5960">
        <w:rPr>
          <w:rFonts w:asciiTheme="minorHAnsi" w:hAnsiTheme="minorHAnsi"/>
          <w:bCs/>
          <w:i/>
          <w:sz w:val="22"/>
          <w:lang w:val="sq-AL" w:eastAsia="sq-AL"/>
        </w:rPr>
        <w:t xml:space="preserve"> realizoi një nivel prodhimi neto publik prej rreth 1.25 T</w:t>
      </w:r>
      <w:r w:rsidR="009647C4">
        <w:rPr>
          <w:rFonts w:asciiTheme="minorHAnsi" w:hAnsiTheme="minorHAnsi"/>
          <w:bCs/>
          <w:i/>
          <w:sz w:val="22"/>
          <w:lang w:val="sq-AL" w:eastAsia="sq-AL"/>
        </w:rPr>
        <w:t>Ë</w:t>
      </w:r>
      <w:r w:rsidRPr="00BF5960">
        <w:rPr>
          <w:rFonts w:asciiTheme="minorHAnsi" w:hAnsiTheme="minorHAnsi"/>
          <w:bCs/>
          <w:i/>
          <w:sz w:val="22"/>
          <w:lang w:val="sq-AL" w:eastAsia="sq-AL"/>
        </w:rPr>
        <w:t>h, krahasuar me 2.41 T</w:t>
      </w:r>
      <w:r w:rsidR="009647C4">
        <w:rPr>
          <w:rFonts w:asciiTheme="minorHAnsi" w:hAnsiTheme="minorHAnsi"/>
          <w:bCs/>
          <w:i/>
          <w:sz w:val="22"/>
          <w:lang w:val="sq-AL" w:eastAsia="sq-AL"/>
        </w:rPr>
        <w:t>Ë</w:t>
      </w:r>
      <w:r w:rsidRPr="00BF5960">
        <w:rPr>
          <w:rFonts w:asciiTheme="minorHAnsi" w:hAnsiTheme="minorHAnsi"/>
          <w:bCs/>
          <w:i/>
          <w:sz w:val="22"/>
          <w:lang w:val="sq-AL" w:eastAsia="sq-AL"/>
        </w:rPr>
        <w:t>h realizuar në të njejtën periudhë të vitit të kaluar, një ulje kjo prej rreth 48.2</w:t>
      </w:r>
      <w:r>
        <w:rPr>
          <w:rFonts w:asciiTheme="minorHAnsi" w:hAnsiTheme="minorHAnsi"/>
          <w:bCs/>
          <w:i/>
          <w:sz w:val="22"/>
          <w:lang w:val="sq-AL" w:eastAsia="sq-AL"/>
        </w:rPr>
        <w:t>%</w:t>
      </w:r>
      <w:r w:rsidRPr="00BF5960">
        <w:rPr>
          <w:rFonts w:asciiTheme="minorHAnsi" w:hAnsiTheme="minorHAnsi"/>
          <w:bCs/>
          <w:i/>
          <w:sz w:val="22"/>
          <w:lang w:val="sq-AL" w:eastAsia="sq-AL"/>
        </w:rPr>
        <w:t xml:space="preserve">. </w:t>
      </w:r>
    </w:p>
    <w:p w:rsidR="00BF5960" w:rsidRPr="00BF5960" w:rsidRDefault="00BF5960" w:rsidP="00EC7D1A">
      <w:pPr>
        <w:pStyle w:val="ListParagraph"/>
        <w:numPr>
          <w:ilvl w:val="0"/>
          <w:numId w:val="46"/>
        </w:numPr>
        <w:spacing w:before="120"/>
        <w:jc w:val="both"/>
        <w:rPr>
          <w:rFonts w:asciiTheme="minorHAnsi" w:hAnsiTheme="minorHAnsi"/>
          <w:bCs/>
          <w:i/>
          <w:sz w:val="22"/>
          <w:lang w:val="sq-AL" w:eastAsia="sq-AL"/>
        </w:rPr>
      </w:pPr>
      <w:r w:rsidRPr="00BF5960">
        <w:rPr>
          <w:rFonts w:asciiTheme="minorHAnsi" w:hAnsiTheme="minorHAnsi"/>
          <w:bCs/>
          <w:i/>
          <w:sz w:val="22"/>
          <w:lang w:val="sq-AL" w:eastAsia="sq-AL"/>
        </w:rPr>
        <w:lastRenderedPageBreak/>
        <w:t xml:space="preserve">Ky është një tregues përkeqësimi i konsiderueshëm që tregon që deri në 4M e vitit 2022 situata hidrike nuk është në kushte shumë të favorshme. Për pasojë, pritet një përkeqësim i situatës financiare për KESH </w:t>
      </w:r>
      <w:r w:rsidR="00B703A6">
        <w:rPr>
          <w:rFonts w:asciiTheme="minorHAnsi" w:hAnsiTheme="minorHAnsi"/>
          <w:bCs/>
          <w:i/>
          <w:sz w:val="22"/>
          <w:lang w:val="sq-AL" w:eastAsia="sq-AL"/>
        </w:rPr>
        <w:t>sh.a</w:t>
      </w:r>
      <w:r w:rsidRPr="00BF5960">
        <w:rPr>
          <w:rFonts w:asciiTheme="minorHAnsi" w:hAnsiTheme="minorHAnsi"/>
          <w:bCs/>
          <w:i/>
          <w:sz w:val="22"/>
          <w:lang w:val="sq-AL" w:eastAsia="sq-AL"/>
        </w:rPr>
        <w:t>, e cila është larg arritjes për të siguruar furnizimin e një viti normal prej 3.85 T</w:t>
      </w:r>
      <w:r w:rsidR="009647C4">
        <w:rPr>
          <w:rFonts w:asciiTheme="minorHAnsi" w:hAnsiTheme="minorHAnsi"/>
          <w:bCs/>
          <w:i/>
          <w:sz w:val="22"/>
          <w:lang w:val="sq-AL" w:eastAsia="sq-AL"/>
        </w:rPr>
        <w:t>Ë</w:t>
      </w:r>
      <w:r w:rsidRPr="00BF5960">
        <w:rPr>
          <w:rFonts w:asciiTheme="minorHAnsi" w:hAnsiTheme="minorHAnsi"/>
          <w:bCs/>
          <w:i/>
          <w:sz w:val="22"/>
          <w:lang w:val="sq-AL" w:eastAsia="sq-AL"/>
        </w:rPr>
        <w:t xml:space="preserve">h. </w:t>
      </w:r>
    </w:p>
    <w:p w:rsidR="00BF5960" w:rsidRPr="00BF5960" w:rsidRDefault="00BF5960" w:rsidP="00EC7D1A">
      <w:pPr>
        <w:pStyle w:val="ListParagraph"/>
        <w:numPr>
          <w:ilvl w:val="0"/>
          <w:numId w:val="46"/>
        </w:numPr>
        <w:spacing w:before="120"/>
        <w:jc w:val="both"/>
        <w:rPr>
          <w:rFonts w:asciiTheme="minorHAnsi" w:hAnsiTheme="minorHAnsi"/>
          <w:bCs/>
          <w:i/>
          <w:sz w:val="22"/>
          <w:lang w:val="sq-AL" w:eastAsia="sq-AL"/>
        </w:rPr>
      </w:pPr>
      <w:r w:rsidRPr="00BF5960">
        <w:rPr>
          <w:rFonts w:asciiTheme="minorHAnsi" w:hAnsiTheme="minorHAnsi"/>
          <w:bCs/>
          <w:i/>
          <w:sz w:val="22"/>
          <w:lang w:val="sq-AL" w:eastAsia="sq-AL"/>
        </w:rPr>
        <w:t xml:space="preserve">Sa i përket humbjeve në sistemin e shpërndarjes së energjisë elektrike ato rezultuan në nivelin 22.81 përqind për 4M 2022, duke shënuar një rënie të mëtejshme të nivelit të humbjeve krahasuar me të njejtën periudhë të një viti më parë, ku humbjet figuruan në nivelin 23.91 përqind. </w:t>
      </w:r>
    </w:p>
    <w:p w:rsidR="00BF5960" w:rsidRPr="00BF5960" w:rsidRDefault="00BF5960" w:rsidP="00EC7D1A">
      <w:pPr>
        <w:pStyle w:val="ListParagraph"/>
        <w:numPr>
          <w:ilvl w:val="0"/>
          <w:numId w:val="46"/>
        </w:numPr>
        <w:spacing w:before="120"/>
        <w:jc w:val="both"/>
        <w:rPr>
          <w:rFonts w:asciiTheme="minorHAnsi" w:hAnsiTheme="minorHAnsi"/>
          <w:bCs/>
          <w:i/>
          <w:sz w:val="22"/>
          <w:lang w:val="sq-AL" w:eastAsia="sq-AL"/>
        </w:rPr>
      </w:pPr>
      <w:r w:rsidRPr="00BF5960">
        <w:rPr>
          <w:rFonts w:asciiTheme="minorHAnsi" w:hAnsiTheme="minorHAnsi"/>
          <w:bCs/>
          <w:i/>
          <w:sz w:val="22"/>
          <w:lang w:val="sq-AL" w:eastAsia="sq-AL"/>
        </w:rPr>
        <w:t>Niveli i arkëtimeve për 4M 2022 arriti vlerën prej 91.9 përqind, relativisht e pandryshuar krahasuar me të njëjtën periudhë të një viti më parë, e cila dëshmon stabilitetin e operatorit në këtë drejtim.</w:t>
      </w:r>
    </w:p>
    <w:p w:rsidR="00BF5960" w:rsidRDefault="00BF5960" w:rsidP="00BF5960">
      <w:pPr>
        <w:spacing w:before="120" w:after="120" w:line="276" w:lineRule="auto"/>
        <w:jc w:val="both"/>
        <w:rPr>
          <w:rFonts w:asciiTheme="minorHAnsi" w:hAnsiTheme="minorHAnsi"/>
          <w:bCs/>
          <w:highlight w:val="yellow"/>
          <w:lang w:val="sq-AL" w:eastAsia="sq-AL"/>
        </w:rPr>
      </w:pPr>
      <w:r>
        <w:rPr>
          <w:rFonts w:asciiTheme="minorHAnsi" w:hAnsiTheme="minorHAnsi"/>
          <w:bCs/>
          <w:lang w:val="sq-AL" w:eastAsia="sq-AL"/>
        </w:rPr>
        <w:t>Nisur nga treguesit e parashtruar sa më sipër, ku ndër më kyesorët që kanë ndikuar në përformancën e sektorit janë, ulja e nivelit të prodhimit të energjisë vendase dhe përshkallëzimi i krizës globale energjitike shkaktuar nga konflikti në Ukrainë, nëpërmjet VKM nr.256 datë 04.29.2022 “</w:t>
      </w:r>
      <w:r w:rsidRPr="00BF5960">
        <w:rPr>
          <w:rFonts w:asciiTheme="minorHAnsi" w:hAnsiTheme="minorHAnsi"/>
          <w:bCs/>
          <w:i/>
          <w:lang w:val="sq-AL" w:eastAsia="sq-AL"/>
        </w:rPr>
        <w:t xml:space="preserve">Për disa ndryshime në </w:t>
      </w:r>
      <w:r>
        <w:rPr>
          <w:rFonts w:asciiTheme="minorHAnsi" w:hAnsiTheme="minorHAnsi"/>
          <w:bCs/>
          <w:i/>
          <w:lang w:val="sq-AL" w:eastAsia="sq-AL"/>
        </w:rPr>
        <w:t>VKM</w:t>
      </w:r>
      <w:r w:rsidRPr="00BF5960">
        <w:rPr>
          <w:rFonts w:asciiTheme="minorHAnsi" w:hAnsiTheme="minorHAnsi"/>
          <w:bCs/>
          <w:i/>
          <w:lang w:val="sq-AL" w:eastAsia="sq-AL"/>
        </w:rPr>
        <w:t xml:space="preserve"> nr.584 datë 8.10.2021</w:t>
      </w:r>
      <w:r>
        <w:rPr>
          <w:rFonts w:asciiTheme="minorHAnsi" w:hAnsiTheme="minorHAnsi"/>
          <w:bCs/>
          <w:i/>
          <w:lang w:val="sq-AL" w:eastAsia="sq-AL"/>
        </w:rPr>
        <w:t xml:space="preserve"> </w:t>
      </w:r>
      <w:r w:rsidRPr="00BF5960">
        <w:rPr>
          <w:rFonts w:asciiTheme="minorHAnsi" w:hAnsiTheme="minorHAnsi"/>
          <w:bCs/>
          <w:i/>
          <w:lang w:val="sq-AL" w:eastAsia="sq-AL"/>
        </w:rPr>
        <w:t>“Për Shpalljen e emergjencës në furnizimin me energji elektrike</w:t>
      </w:r>
      <w:r>
        <w:rPr>
          <w:rFonts w:asciiTheme="minorHAnsi" w:hAnsiTheme="minorHAnsi"/>
          <w:bCs/>
          <w:lang w:val="sq-AL" w:eastAsia="sq-AL"/>
        </w:rPr>
        <w:t xml:space="preserve">”, Këshillli i Ministrave vendosi ndryshimin e kohëzgjatjes së gjendjes së emergjencës së furnizimit me energji elektrike deri më 31 </w:t>
      </w:r>
      <w:r w:rsidR="00B926B8">
        <w:rPr>
          <w:rFonts w:asciiTheme="minorHAnsi" w:hAnsiTheme="minorHAnsi"/>
          <w:bCs/>
          <w:lang w:val="sq-AL" w:eastAsia="sq-AL"/>
        </w:rPr>
        <w:t>D</w:t>
      </w:r>
      <w:r>
        <w:rPr>
          <w:rFonts w:asciiTheme="minorHAnsi" w:hAnsiTheme="minorHAnsi"/>
          <w:bCs/>
          <w:lang w:val="sq-AL" w:eastAsia="sq-AL"/>
        </w:rPr>
        <w:t xml:space="preserve">hjetor 2022. Kjo, me qëllim vazhdimin e mbështetjes nga buxheti i shtetit së këtij sektori gjatë kësaj përiudhe, duke asistuar kështu KESH </w:t>
      </w:r>
      <w:r w:rsidR="00B703A6">
        <w:rPr>
          <w:rFonts w:asciiTheme="minorHAnsi" w:hAnsiTheme="minorHAnsi"/>
          <w:bCs/>
          <w:lang w:val="sq-AL" w:eastAsia="sq-AL"/>
        </w:rPr>
        <w:t>sh.a</w:t>
      </w:r>
      <w:r>
        <w:rPr>
          <w:rFonts w:asciiTheme="minorHAnsi" w:hAnsiTheme="minorHAnsi"/>
          <w:bCs/>
          <w:lang w:val="sq-AL" w:eastAsia="sq-AL"/>
        </w:rPr>
        <w:t>. në blerjen e energjisë elektrike në tregun e lirë për të  plotësuar mangësitë në prodhim.</w:t>
      </w:r>
    </w:p>
    <w:p w:rsidR="00BF5960" w:rsidRDefault="00BF5960" w:rsidP="00BF5960">
      <w:pPr>
        <w:spacing w:before="120" w:after="120" w:line="276" w:lineRule="auto"/>
        <w:jc w:val="both"/>
        <w:rPr>
          <w:rFonts w:asciiTheme="minorHAnsi" w:hAnsiTheme="minorHAnsi"/>
          <w:bCs/>
          <w:highlight w:val="yellow"/>
          <w:lang w:val="sq-AL" w:eastAsia="sq-AL"/>
        </w:rPr>
      </w:pPr>
      <w:r>
        <w:rPr>
          <w:rFonts w:asciiTheme="minorHAnsi" w:hAnsiTheme="minorHAnsi"/>
          <w:bCs/>
          <w:lang w:val="sq-AL" w:eastAsia="sq-AL"/>
        </w:rPr>
        <w:t>Në terma të riskut fiskal, impakti i sektorit si kosto apo të ardhura të munguara në financat publike, për vitin 2022, vlerësohet në rreth 6 miliardë LEK</w:t>
      </w:r>
      <w:r w:rsidR="00E04AC3">
        <w:rPr>
          <w:rFonts w:asciiTheme="minorHAnsi" w:hAnsiTheme="minorHAnsi"/>
          <w:bCs/>
          <w:lang w:val="sq-AL" w:eastAsia="sq-AL"/>
        </w:rPr>
        <w:t xml:space="preserve"> p</w:t>
      </w:r>
      <w:r w:rsidR="00FA4974">
        <w:rPr>
          <w:rFonts w:asciiTheme="minorHAnsi" w:hAnsiTheme="minorHAnsi"/>
          <w:bCs/>
          <w:lang w:val="sq-AL" w:eastAsia="sq-AL"/>
        </w:rPr>
        <w:t>ë</w:t>
      </w:r>
      <w:r w:rsidR="00E04AC3">
        <w:rPr>
          <w:rFonts w:asciiTheme="minorHAnsi" w:hAnsiTheme="minorHAnsi"/>
          <w:bCs/>
          <w:lang w:val="sq-AL" w:eastAsia="sq-AL"/>
        </w:rPr>
        <w:t>r T1 2022</w:t>
      </w:r>
      <w:r>
        <w:rPr>
          <w:rFonts w:asciiTheme="minorHAnsi" w:hAnsiTheme="minorHAnsi"/>
          <w:bCs/>
          <w:lang w:val="sq-AL" w:eastAsia="sq-AL"/>
        </w:rPr>
        <w:t xml:space="preserve"> nga rreth 5.5 miliardë LEK në vitin 2021, duke treguar një përkeqësim të gjendjes së detyrimeve. Kjo situatë është ndikuar nga kushtet e pafavorshme atmosferike që ulën ndjeshëm nivelin e prodhimit dhe gjithashtu prej rritjes të paparashikuar eksponenciale të çmimit të energjisë në Tregun e Lirë (kriza globale e energjisë) që për rrjedhojë ndikuan negativisht në performancën financiare të kompanive të sektorit energjitik. </w:t>
      </w:r>
    </w:p>
    <w:p w:rsidR="00266524" w:rsidRDefault="00EC7D1A" w:rsidP="00BF5960">
      <w:pPr>
        <w:spacing w:after="120" w:line="276" w:lineRule="auto"/>
        <w:jc w:val="both"/>
        <w:rPr>
          <w:rFonts w:asciiTheme="minorHAnsi" w:hAnsiTheme="minorHAnsi"/>
          <w:bCs/>
          <w:lang w:val="sq-AL" w:eastAsia="sq-AL"/>
        </w:rPr>
      </w:pPr>
      <w:r w:rsidRPr="00EC7D1A">
        <w:rPr>
          <w:rFonts w:asciiTheme="minorHAnsi" w:hAnsiTheme="minorHAnsi"/>
          <w:bCs/>
          <w:lang w:val="sq-AL" w:eastAsia="sq-AL"/>
        </w:rPr>
        <w:t>Në kuadër të reformës në sektorin e energjisë, Ministria e Financave dhe Ekonomisë dhe Ministria e Infrastrukturës dhe Energjisë, bashkëfirmosën Urdhërin e Përbashkët nr.379/2021 datë 30.09.2021 “</w:t>
      </w:r>
      <w:r w:rsidRPr="00EC7D1A">
        <w:rPr>
          <w:rFonts w:asciiTheme="minorHAnsi" w:hAnsiTheme="minorHAnsi"/>
          <w:bCs/>
          <w:i/>
          <w:lang w:val="sq-AL" w:eastAsia="sq-AL"/>
        </w:rPr>
        <w:t>Mbi zbatimin e planit të masave për reduktimin e detyrimeve të prapambetura në sektorin e energjisë elektrike</w:t>
      </w:r>
      <w:r w:rsidRPr="00EC7D1A">
        <w:rPr>
          <w:rFonts w:asciiTheme="minorHAnsi" w:hAnsiTheme="minorHAnsi"/>
          <w:bCs/>
          <w:lang w:val="sq-AL" w:eastAsia="sq-AL"/>
        </w:rPr>
        <w:t xml:space="preserve">”, nëpërmjet së cilit, ndërmarrjet e sektorit energjitik raportojnë në mënyrë periodike mujore, mbi shlyerjen e detyrimeve të prapambetura të ndërsjella ndërmjet sektorit të energjisë dhe entiteve të tjera publike. Përgjatë vitit 2022, në përputhje me udhëzimin e sipërcituar, MFE ka monitoruar periodikisht mbi bazë mujore detyrimet e ndërsjella të raportuara nga ndërmarrjet e sektorit të energjisë dhe entiteve të tjera publike. </w:t>
      </w:r>
      <w:r>
        <w:rPr>
          <w:rFonts w:asciiTheme="minorHAnsi" w:hAnsiTheme="minorHAnsi"/>
          <w:bCs/>
          <w:lang w:val="sq-AL" w:eastAsia="sq-AL"/>
        </w:rPr>
        <w:t>N</w:t>
      </w:r>
      <w:r w:rsidR="0093018B">
        <w:rPr>
          <w:rFonts w:asciiTheme="minorHAnsi" w:hAnsiTheme="minorHAnsi"/>
          <w:bCs/>
          <w:lang w:val="sq-AL" w:eastAsia="sq-AL"/>
        </w:rPr>
        <w:t>ë</w:t>
      </w:r>
      <w:r>
        <w:rPr>
          <w:rFonts w:asciiTheme="minorHAnsi" w:hAnsiTheme="minorHAnsi"/>
          <w:bCs/>
          <w:lang w:val="sq-AL" w:eastAsia="sq-AL"/>
        </w:rPr>
        <w:t xml:space="preserve"> nivel 5M</w:t>
      </w:r>
      <w:r w:rsidRPr="00EC7D1A">
        <w:rPr>
          <w:rFonts w:asciiTheme="minorHAnsi" w:hAnsiTheme="minorHAnsi"/>
          <w:bCs/>
          <w:lang w:val="sq-AL" w:eastAsia="sq-AL"/>
        </w:rPr>
        <w:t xml:space="preserve"> vërehet një trend rritës i detyrimeve të ndërsjella. Nga ana e ndërmarrjeve raportohet se, mos shlyerja e detyrimeve të ndërsjella në kohë ka ardhur si pasojë e situatës jo të mirë financiare të tyre, rrjedhojë kjo edhe e paqëndrueshmërisë ekonomike të tregjeve globale</w:t>
      </w:r>
      <w:r w:rsidR="00266524">
        <w:rPr>
          <w:rFonts w:asciiTheme="minorHAnsi" w:hAnsiTheme="minorHAnsi"/>
          <w:bCs/>
          <w:lang w:val="sq-AL" w:eastAsia="sq-AL"/>
        </w:rPr>
        <w:t>.</w:t>
      </w:r>
      <w:r w:rsidRPr="00EC7D1A">
        <w:rPr>
          <w:rFonts w:asciiTheme="minorHAnsi" w:hAnsiTheme="minorHAnsi"/>
          <w:bCs/>
          <w:lang w:val="sq-AL" w:eastAsia="sq-AL"/>
        </w:rPr>
        <w:t xml:space="preserve"> </w:t>
      </w:r>
      <w:r>
        <w:rPr>
          <w:rFonts w:asciiTheme="minorHAnsi" w:hAnsiTheme="minorHAnsi"/>
          <w:bCs/>
          <w:lang w:val="sq-AL" w:eastAsia="sq-AL"/>
        </w:rPr>
        <w:t xml:space="preserve">Mëposhtë jepet një tablo e detyrimeve të ndërsjella, </w:t>
      </w:r>
      <w:r w:rsidR="0093018B">
        <w:rPr>
          <w:rFonts w:asciiTheme="minorHAnsi" w:hAnsiTheme="minorHAnsi"/>
          <w:bCs/>
          <w:lang w:val="sq-AL" w:eastAsia="sq-AL"/>
        </w:rPr>
        <w:t>të regjistruara deri në Maj</w:t>
      </w:r>
      <w:r>
        <w:rPr>
          <w:rFonts w:asciiTheme="minorHAnsi" w:hAnsiTheme="minorHAnsi"/>
          <w:bCs/>
          <w:lang w:val="sq-AL" w:eastAsia="sq-AL"/>
        </w:rPr>
        <w:t xml:space="preserve"> 2022</w:t>
      </w:r>
    </w:p>
    <w:p w:rsidR="00BF5960" w:rsidRPr="00BF5960" w:rsidRDefault="00343167" w:rsidP="00BF5960">
      <w:pPr>
        <w:pStyle w:val="Caption"/>
        <w:spacing w:after="0"/>
        <w:rPr>
          <w:rFonts w:asciiTheme="minorHAnsi" w:hAnsiTheme="minorHAnsi"/>
          <w:b w:val="0"/>
          <w:bCs w:val="0"/>
          <w:i/>
          <w:color w:val="auto"/>
          <w:sz w:val="22"/>
          <w:szCs w:val="24"/>
          <w:lang w:val="sq-AL"/>
        </w:rPr>
      </w:pPr>
      <w:bookmarkStart w:id="116" w:name="_Toc107496756"/>
      <w:r w:rsidRPr="00343167">
        <w:rPr>
          <w:rFonts w:asciiTheme="minorHAnsi" w:hAnsiTheme="minorHAnsi"/>
          <w:b w:val="0"/>
          <w:bCs w:val="0"/>
          <w:i/>
          <w:noProof/>
          <w:color w:val="auto"/>
          <w:sz w:val="22"/>
          <w:szCs w:val="24"/>
        </w:rPr>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20</w:t>
      </w:r>
      <w:r w:rsidRPr="00343167">
        <w:rPr>
          <w:rFonts w:asciiTheme="minorHAnsi" w:hAnsiTheme="minorHAnsi"/>
          <w:b w:val="0"/>
          <w:bCs w:val="0"/>
          <w:i/>
          <w:noProof/>
          <w:color w:val="auto"/>
          <w:sz w:val="22"/>
          <w:szCs w:val="24"/>
        </w:rPr>
        <w:fldChar w:fldCharType="end"/>
      </w:r>
      <w:r w:rsidRPr="00343167">
        <w:rPr>
          <w:rFonts w:asciiTheme="minorHAnsi" w:hAnsiTheme="minorHAnsi"/>
          <w:b w:val="0"/>
          <w:bCs w:val="0"/>
          <w:i/>
          <w:noProof/>
          <w:color w:val="auto"/>
          <w:sz w:val="22"/>
          <w:szCs w:val="24"/>
        </w:rPr>
        <w:t xml:space="preserve">: </w:t>
      </w:r>
      <w:r w:rsidR="00BF5960" w:rsidRPr="00343167">
        <w:rPr>
          <w:rFonts w:asciiTheme="minorHAnsi" w:hAnsiTheme="minorHAnsi"/>
          <w:b w:val="0"/>
          <w:bCs w:val="0"/>
          <w:i/>
          <w:color w:val="auto"/>
          <w:sz w:val="22"/>
          <w:szCs w:val="24"/>
          <w:lang w:val="sq-AL"/>
        </w:rPr>
        <w:t>Detyrimet e ndërsjella midis ndërmarjeve të sektorit energjitik, ML/IB,MFE dhe DPT:</w:t>
      </w:r>
      <w:bookmarkEnd w:id="116"/>
    </w:p>
    <w:tbl>
      <w:tblPr>
        <w:tblStyle w:val="TableGrid2"/>
        <w:tblW w:w="9232" w:type="dxa"/>
        <w:jc w:val="center"/>
        <w:tblLook w:val="04A0" w:firstRow="1" w:lastRow="0" w:firstColumn="1" w:lastColumn="0" w:noHBand="0" w:noVBand="1"/>
      </w:tblPr>
      <w:tblGrid>
        <w:gridCol w:w="2065"/>
        <w:gridCol w:w="1030"/>
        <w:gridCol w:w="1182"/>
        <w:gridCol w:w="1337"/>
        <w:gridCol w:w="1182"/>
        <w:gridCol w:w="1082"/>
        <w:gridCol w:w="1354"/>
      </w:tblGrid>
      <w:tr w:rsidR="00BF5960" w:rsidRPr="00BF5960" w:rsidTr="00BF5960">
        <w:trPr>
          <w:trHeight w:val="467"/>
          <w:jc w:val="center"/>
        </w:trPr>
        <w:tc>
          <w:tcPr>
            <w:tcW w:w="2065"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eastAsia="Calibri" w:hAnsiTheme="minorHAnsi"/>
                <w:b/>
                <w:color w:val="FFFFFF" w:themeColor="background1"/>
                <w:sz w:val="18"/>
                <w:szCs w:val="20"/>
                <w:lang w:val="sq-AL"/>
              </w:rPr>
            </w:pPr>
            <w:r w:rsidRPr="00BF5960">
              <w:rPr>
                <w:rFonts w:asciiTheme="minorHAnsi" w:eastAsia="Calibri" w:hAnsiTheme="minorHAnsi"/>
                <w:b/>
                <w:color w:val="FFFFFF" w:themeColor="background1"/>
                <w:sz w:val="18"/>
                <w:szCs w:val="20"/>
                <w:lang w:val="sq-AL"/>
              </w:rPr>
              <w:t>Deri në 31 Maj 2022</w:t>
            </w:r>
          </w:p>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eastAsia="Calibri" w:hAnsiTheme="minorHAnsi"/>
                <w:b/>
                <w:color w:val="FFFFFF" w:themeColor="background1"/>
                <w:sz w:val="18"/>
                <w:szCs w:val="20"/>
                <w:lang w:val="sq-AL"/>
              </w:rPr>
              <w:t>(në mld LEK)</w:t>
            </w:r>
          </w:p>
        </w:tc>
        <w:tc>
          <w:tcPr>
            <w:tcW w:w="103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KESH</w:t>
            </w:r>
          </w:p>
        </w:tc>
        <w:tc>
          <w:tcPr>
            <w:tcW w:w="11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OST</w:t>
            </w:r>
          </w:p>
        </w:tc>
        <w:tc>
          <w:tcPr>
            <w:tcW w:w="1337"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OSHEE</w:t>
            </w:r>
          </w:p>
        </w:tc>
        <w:tc>
          <w:tcPr>
            <w:tcW w:w="11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MFE</w:t>
            </w:r>
          </w:p>
        </w:tc>
        <w:tc>
          <w:tcPr>
            <w:tcW w:w="10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DPT</w:t>
            </w: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Total</w:t>
            </w:r>
          </w:p>
        </w:tc>
      </w:tr>
      <w:tr w:rsidR="00BF5960" w:rsidRPr="00BF5960" w:rsidTr="00BF5960">
        <w:trPr>
          <w:trHeight w:val="251"/>
          <w:jc w:val="center"/>
        </w:trPr>
        <w:tc>
          <w:tcPr>
            <w:tcW w:w="2065"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b/>
                <w:bCs/>
                <w:color w:val="000000"/>
                <w:sz w:val="18"/>
                <w:szCs w:val="20"/>
              </w:rPr>
            </w:pPr>
            <w:r w:rsidRPr="00BF5960">
              <w:rPr>
                <w:rFonts w:asciiTheme="minorHAnsi" w:hAnsiTheme="minorHAnsi"/>
                <w:b/>
                <w:bCs/>
                <w:color w:val="000000"/>
                <w:sz w:val="18"/>
                <w:szCs w:val="20"/>
              </w:rPr>
              <w:t>KESH ndaj:</w:t>
            </w:r>
          </w:p>
        </w:tc>
        <w:tc>
          <w:tcPr>
            <w:tcW w:w="1030"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0**</w:t>
            </w:r>
          </w:p>
        </w:tc>
        <w:tc>
          <w:tcPr>
            <w:tcW w:w="1337"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18.41</w:t>
            </w:r>
          </w:p>
        </w:tc>
        <w:tc>
          <w:tcPr>
            <w:tcW w:w="10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0.01</w:t>
            </w: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18.42</w:t>
            </w:r>
          </w:p>
        </w:tc>
      </w:tr>
      <w:tr w:rsidR="00BF5960" w:rsidRPr="00BF5960" w:rsidTr="00BF5960">
        <w:trPr>
          <w:trHeight w:val="260"/>
          <w:jc w:val="center"/>
        </w:trPr>
        <w:tc>
          <w:tcPr>
            <w:tcW w:w="2065"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b/>
                <w:bCs/>
                <w:color w:val="000000"/>
                <w:sz w:val="18"/>
                <w:szCs w:val="20"/>
              </w:rPr>
            </w:pPr>
            <w:r w:rsidRPr="00BF5960">
              <w:rPr>
                <w:rFonts w:asciiTheme="minorHAnsi" w:hAnsiTheme="minorHAnsi"/>
                <w:b/>
                <w:bCs/>
                <w:color w:val="000000"/>
                <w:sz w:val="18"/>
                <w:szCs w:val="20"/>
              </w:rPr>
              <w:t>OST ndaj:</w:t>
            </w:r>
          </w:p>
        </w:tc>
        <w:tc>
          <w:tcPr>
            <w:tcW w:w="1030"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6.9*</w:t>
            </w: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337"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1.03</w:t>
            </w: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14.93</w:t>
            </w:r>
          </w:p>
        </w:tc>
        <w:tc>
          <w:tcPr>
            <w:tcW w:w="10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22.86</w:t>
            </w:r>
          </w:p>
        </w:tc>
      </w:tr>
      <w:tr w:rsidR="00BF5960" w:rsidRPr="00BF5960" w:rsidTr="00BF5960">
        <w:trPr>
          <w:trHeight w:val="251"/>
          <w:jc w:val="center"/>
        </w:trPr>
        <w:tc>
          <w:tcPr>
            <w:tcW w:w="2065"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b/>
                <w:bCs/>
                <w:color w:val="000000"/>
                <w:sz w:val="18"/>
                <w:szCs w:val="20"/>
              </w:rPr>
            </w:pPr>
            <w:r w:rsidRPr="00BF5960">
              <w:rPr>
                <w:rFonts w:asciiTheme="minorHAnsi" w:hAnsiTheme="minorHAnsi"/>
                <w:b/>
                <w:bCs/>
                <w:color w:val="000000"/>
                <w:sz w:val="18"/>
                <w:szCs w:val="20"/>
              </w:rPr>
              <w:t>OSHEE ndaj:</w:t>
            </w:r>
          </w:p>
        </w:tc>
        <w:tc>
          <w:tcPr>
            <w:tcW w:w="1030"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53.70</w:t>
            </w: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19.39</w:t>
            </w:r>
          </w:p>
        </w:tc>
        <w:tc>
          <w:tcPr>
            <w:tcW w:w="1337"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4.60</w:t>
            </w:r>
          </w:p>
        </w:tc>
        <w:tc>
          <w:tcPr>
            <w:tcW w:w="10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6.70</w:t>
            </w: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84.40</w:t>
            </w:r>
          </w:p>
        </w:tc>
      </w:tr>
      <w:tr w:rsidR="00BF5960" w:rsidRPr="00BF5960" w:rsidTr="00BF5960">
        <w:trPr>
          <w:trHeight w:val="179"/>
          <w:jc w:val="center"/>
        </w:trPr>
        <w:tc>
          <w:tcPr>
            <w:tcW w:w="2065"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b/>
                <w:bCs/>
                <w:color w:val="000000"/>
                <w:sz w:val="18"/>
                <w:szCs w:val="20"/>
              </w:rPr>
            </w:pPr>
            <w:r w:rsidRPr="00BF5960">
              <w:rPr>
                <w:rFonts w:asciiTheme="minorHAnsi" w:hAnsiTheme="minorHAnsi"/>
                <w:b/>
                <w:bCs/>
                <w:color w:val="000000"/>
                <w:sz w:val="18"/>
                <w:szCs w:val="20"/>
              </w:rPr>
              <w:t>Ndermarrjet UK ndaj:</w:t>
            </w:r>
          </w:p>
        </w:tc>
        <w:tc>
          <w:tcPr>
            <w:tcW w:w="1030"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337"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22.71</w:t>
            </w: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0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0.76</w:t>
            </w: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23.47</w:t>
            </w:r>
          </w:p>
        </w:tc>
      </w:tr>
      <w:tr w:rsidR="00BF5960" w:rsidRPr="00BF5960" w:rsidTr="00BF5960">
        <w:trPr>
          <w:trHeight w:val="215"/>
          <w:jc w:val="center"/>
        </w:trPr>
        <w:tc>
          <w:tcPr>
            <w:tcW w:w="2065"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b/>
                <w:bCs/>
                <w:color w:val="000000"/>
                <w:sz w:val="18"/>
                <w:szCs w:val="20"/>
              </w:rPr>
            </w:pPr>
            <w:r w:rsidRPr="00BF5960">
              <w:rPr>
                <w:rFonts w:asciiTheme="minorHAnsi" w:hAnsiTheme="minorHAnsi"/>
                <w:b/>
                <w:bCs/>
                <w:color w:val="000000"/>
                <w:sz w:val="18"/>
                <w:szCs w:val="20"/>
              </w:rPr>
              <w:t>ML/IB</w:t>
            </w:r>
          </w:p>
        </w:tc>
        <w:tc>
          <w:tcPr>
            <w:tcW w:w="1030"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337"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jc w:val="center"/>
              <w:rPr>
                <w:rFonts w:asciiTheme="minorHAnsi" w:hAnsiTheme="minorHAnsi"/>
                <w:color w:val="000000"/>
                <w:sz w:val="18"/>
                <w:szCs w:val="20"/>
              </w:rPr>
            </w:pPr>
            <w:r w:rsidRPr="00BF5960">
              <w:rPr>
                <w:rFonts w:asciiTheme="minorHAnsi" w:hAnsiTheme="minorHAnsi"/>
                <w:color w:val="000000"/>
                <w:sz w:val="18"/>
                <w:szCs w:val="20"/>
              </w:rPr>
              <w:t>5.50</w:t>
            </w:r>
          </w:p>
        </w:tc>
        <w:tc>
          <w:tcPr>
            <w:tcW w:w="11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082" w:type="dxa"/>
            <w:tcBorders>
              <w:top w:val="single" w:sz="4" w:space="0" w:color="auto"/>
              <w:left w:val="single" w:sz="4" w:space="0" w:color="auto"/>
              <w:bottom w:val="single" w:sz="4" w:space="0" w:color="auto"/>
              <w:right w:val="single" w:sz="4" w:space="0" w:color="auto"/>
            </w:tcBorders>
            <w:vAlign w:val="center"/>
            <w:hideMark/>
          </w:tcPr>
          <w:p w:rsidR="00BF5960" w:rsidRPr="00BF5960" w:rsidRDefault="00BF5960" w:rsidP="00EC7D1A">
            <w:pPr>
              <w:rPr>
                <w:rFonts w:asciiTheme="minorHAnsi" w:eastAsia="MS Mincho" w:hAnsiTheme="minorHAnsi"/>
                <w:sz w:val="18"/>
                <w:szCs w:val="20"/>
              </w:rPr>
            </w:pP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5.50</w:t>
            </w:r>
          </w:p>
        </w:tc>
      </w:tr>
      <w:tr w:rsidR="00BF5960" w:rsidRPr="00BF5960" w:rsidTr="00BF5960">
        <w:trPr>
          <w:trHeight w:val="251"/>
          <w:jc w:val="center"/>
        </w:trPr>
        <w:tc>
          <w:tcPr>
            <w:tcW w:w="2065"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Total</w:t>
            </w:r>
          </w:p>
        </w:tc>
        <w:tc>
          <w:tcPr>
            <w:tcW w:w="1030"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60.60</w:t>
            </w:r>
          </w:p>
        </w:tc>
        <w:tc>
          <w:tcPr>
            <w:tcW w:w="11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19.39</w:t>
            </w:r>
          </w:p>
        </w:tc>
        <w:tc>
          <w:tcPr>
            <w:tcW w:w="1337"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29.24</w:t>
            </w:r>
          </w:p>
        </w:tc>
        <w:tc>
          <w:tcPr>
            <w:tcW w:w="11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37.94</w:t>
            </w:r>
          </w:p>
        </w:tc>
        <w:tc>
          <w:tcPr>
            <w:tcW w:w="1082"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FFFFFF" w:themeColor="background1"/>
                <w:sz w:val="18"/>
                <w:szCs w:val="20"/>
              </w:rPr>
            </w:pPr>
            <w:r w:rsidRPr="00BF5960">
              <w:rPr>
                <w:rFonts w:asciiTheme="minorHAnsi" w:hAnsiTheme="minorHAnsi"/>
                <w:b/>
                <w:bCs/>
                <w:color w:val="FFFFFF" w:themeColor="background1"/>
                <w:sz w:val="18"/>
                <w:szCs w:val="20"/>
              </w:rPr>
              <w:t>7.47</w:t>
            </w:r>
          </w:p>
        </w:tc>
        <w:tc>
          <w:tcPr>
            <w:tcW w:w="1354" w:type="dxa"/>
            <w:tcBorders>
              <w:top w:val="single" w:sz="4" w:space="0" w:color="auto"/>
              <w:left w:val="single" w:sz="4" w:space="0" w:color="auto"/>
              <w:bottom w:val="single" w:sz="4" w:space="0" w:color="auto"/>
              <w:right w:val="single" w:sz="4" w:space="0" w:color="auto"/>
            </w:tcBorders>
            <w:shd w:val="clear" w:color="auto" w:fill="548DD4" w:themeFill="text2" w:themeFillTint="99"/>
            <w:vAlign w:val="center"/>
            <w:hideMark/>
          </w:tcPr>
          <w:p w:rsidR="00BF5960" w:rsidRPr="00BF5960" w:rsidRDefault="00BF5960" w:rsidP="00EC7D1A">
            <w:pPr>
              <w:jc w:val="center"/>
              <w:rPr>
                <w:rFonts w:asciiTheme="minorHAnsi" w:hAnsiTheme="minorHAnsi"/>
                <w:b/>
                <w:bCs/>
                <w:color w:val="C00000"/>
                <w:sz w:val="18"/>
                <w:szCs w:val="20"/>
              </w:rPr>
            </w:pPr>
            <w:r w:rsidRPr="00BF5960">
              <w:rPr>
                <w:rFonts w:asciiTheme="minorHAnsi" w:hAnsiTheme="minorHAnsi"/>
                <w:b/>
                <w:bCs/>
                <w:color w:val="FFFFFF" w:themeColor="background1"/>
                <w:sz w:val="18"/>
                <w:szCs w:val="20"/>
              </w:rPr>
              <w:t>154.65</w:t>
            </w:r>
          </w:p>
        </w:tc>
      </w:tr>
    </w:tbl>
    <w:p w:rsidR="00BF5960" w:rsidRDefault="00BF5960" w:rsidP="00BF5960">
      <w:pPr>
        <w:spacing w:line="276" w:lineRule="auto"/>
        <w:rPr>
          <w:rFonts w:ascii="Calibri" w:eastAsia="SimSun" w:hAnsi="Calibri"/>
          <w:i/>
          <w:sz w:val="20"/>
          <w:szCs w:val="20"/>
          <w:lang w:val="sq-AL"/>
        </w:rPr>
      </w:pPr>
      <w:bookmarkStart w:id="117" w:name="_Toc104980345"/>
      <w:bookmarkStart w:id="118" w:name="_Toc104907136"/>
      <w:r>
        <w:rPr>
          <w:rFonts w:ascii="Calibri" w:eastAsia="SimSun" w:hAnsi="Calibri"/>
          <w:i/>
          <w:sz w:val="20"/>
          <w:szCs w:val="20"/>
          <w:lang w:val="sq-AL"/>
        </w:rPr>
        <w:t>Burimi: KESH, OST, OSHEE Group, AKUM</w:t>
      </w:r>
      <w:bookmarkStart w:id="119" w:name="_Toc104980346"/>
      <w:bookmarkStart w:id="120" w:name="_Toc104907137"/>
      <w:bookmarkEnd w:id="117"/>
      <w:bookmarkEnd w:id="118"/>
      <w:r>
        <w:rPr>
          <w:rFonts w:ascii="Calibri" w:eastAsia="SimSun" w:hAnsi="Calibri"/>
          <w:i/>
          <w:sz w:val="20"/>
          <w:szCs w:val="20"/>
          <w:lang w:val="sq-AL"/>
        </w:rPr>
        <w:t>, 2022</w:t>
      </w:r>
    </w:p>
    <w:p w:rsidR="00BF5960" w:rsidRDefault="00BF5960" w:rsidP="00BF5960">
      <w:pPr>
        <w:spacing w:before="120" w:line="276" w:lineRule="auto"/>
        <w:rPr>
          <w:rFonts w:ascii="Calibri" w:eastAsia="SimSun" w:hAnsi="Calibri"/>
          <w:sz w:val="16"/>
          <w:szCs w:val="16"/>
          <w:lang w:val="sq-AL"/>
        </w:rPr>
      </w:pPr>
      <w:r>
        <w:rPr>
          <w:rFonts w:ascii="Calibri" w:eastAsia="SimSun" w:hAnsi="Calibri"/>
          <w:sz w:val="16"/>
          <w:szCs w:val="16"/>
          <w:lang w:val="sq-AL"/>
        </w:rPr>
        <w:t>*Vlera e detyrimeve të ndërsjellta varion nga 6.9-7.36 mld LEK, per shkak të mosrakordimit mes kompanive.</w:t>
      </w:r>
      <w:bookmarkEnd w:id="119"/>
      <w:bookmarkEnd w:id="120"/>
    </w:p>
    <w:p w:rsidR="00BF5960" w:rsidRDefault="00BF5960" w:rsidP="00BF5960">
      <w:pPr>
        <w:spacing w:line="276" w:lineRule="auto"/>
        <w:rPr>
          <w:rFonts w:ascii="Calibri" w:eastAsia="SimSun" w:hAnsi="Calibri"/>
          <w:sz w:val="16"/>
          <w:szCs w:val="16"/>
          <w:lang w:val="sq-AL"/>
        </w:rPr>
      </w:pPr>
      <w:r>
        <w:rPr>
          <w:rFonts w:ascii="Calibri" w:eastAsia="SimSun" w:hAnsi="Calibri"/>
          <w:sz w:val="16"/>
          <w:szCs w:val="16"/>
          <w:lang w:val="sq-AL"/>
        </w:rPr>
        <w:t>**Vlera e detyrimeve të ndërsjellta varion nga 0-0.621 mld LEK, per shkak të mosrakordimit mes kompanive.</w:t>
      </w:r>
    </w:p>
    <w:p w:rsidR="0093018B" w:rsidRDefault="0093018B" w:rsidP="0093018B">
      <w:pPr>
        <w:spacing w:before="120" w:line="276" w:lineRule="auto"/>
        <w:jc w:val="both"/>
        <w:rPr>
          <w:rFonts w:asciiTheme="minorHAnsi" w:hAnsiTheme="minorHAnsi"/>
          <w:bCs/>
          <w:lang w:val="sq-AL" w:eastAsia="sq-AL"/>
        </w:rPr>
      </w:pPr>
      <w:r w:rsidRPr="00B32DBF">
        <w:rPr>
          <w:rFonts w:asciiTheme="minorHAnsi" w:hAnsiTheme="minorHAnsi"/>
          <w:bCs/>
          <w:lang w:val="sq-AL" w:eastAsia="sq-AL"/>
        </w:rPr>
        <w:lastRenderedPageBreak/>
        <w:t xml:space="preserve">Lidhur me detyrimet e mësipërme, </w:t>
      </w:r>
      <w:r>
        <w:rPr>
          <w:rFonts w:asciiTheme="minorHAnsi" w:hAnsiTheme="minorHAnsi"/>
          <w:bCs/>
          <w:lang w:val="sq-AL" w:eastAsia="sq-AL"/>
        </w:rPr>
        <w:t xml:space="preserve">vërehet se: </w:t>
      </w:r>
    </w:p>
    <w:p w:rsidR="0093018B" w:rsidRPr="0093018B" w:rsidRDefault="0093018B" w:rsidP="0093018B">
      <w:pPr>
        <w:pStyle w:val="ListParagraph"/>
        <w:numPr>
          <w:ilvl w:val="0"/>
          <w:numId w:val="46"/>
        </w:numPr>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Totali i detyrimeve të ndërsjellta që KESH sh.a ka deri në fund të muajit Maj 2022 ndaj palëve të treta rezulton në një shumë totale progresive 18.42 miliardë lekë, një rritje kjo me 1.6% krahasuar me totalin e detyrimeve të ndërsjella që KESH sh.a ka patur ndaj palëve të treta deri në fund të 2021 (18.13</w:t>
      </w:r>
      <w:r>
        <w:rPr>
          <w:rFonts w:asciiTheme="minorHAnsi" w:hAnsiTheme="minorHAnsi"/>
          <w:bCs/>
          <w:i/>
          <w:sz w:val="22"/>
          <w:lang w:val="sq-AL" w:eastAsia="sq-AL"/>
        </w:rPr>
        <w:t>mld</w:t>
      </w:r>
      <w:r w:rsidRPr="0093018B">
        <w:rPr>
          <w:rFonts w:asciiTheme="minorHAnsi" w:hAnsiTheme="minorHAnsi"/>
          <w:bCs/>
          <w:i/>
          <w:sz w:val="22"/>
          <w:lang w:val="sq-AL" w:eastAsia="sq-AL"/>
        </w:rPr>
        <w:t xml:space="preserve"> lekë).</w:t>
      </w:r>
    </w:p>
    <w:p w:rsidR="0093018B" w:rsidRPr="0093018B" w:rsidRDefault="0093018B" w:rsidP="0093018B">
      <w:pPr>
        <w:pStyle w:val="ListParagraph"/>
        <w:numPr>
          <w:ilvl w:val="0"/>
          <w:numId w:val="46"/>
        </w:numPr>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 xml:space="preserve">Totali i detyrimeve të ndërsjella që OST sh.a ka deri në fund të muajit Maj 2022 ndaj palëve të treta rezulton në një shumë totale progresive 22.86 miliardë lekë, një rritje kjo me 3.3% krahasuar me totalin e detyrimeve të ndërsjella që OST sh.a ka patur ndaj palëve të treta deri në fund të 2021 (22.13 </w:t>
      </w:r>
      <w:r>
        <w:rPr>
          <w:rFonts w:asciiTheme="minorHAnsi" w:hAnsiTheme="minorHAnsi"/>
          <w:bCs/>
          <w:i/>
          <w:sz w:val="22"/>
          <w:lang w:val="sq-AL" w:eastAsia="sq-AL"/>
        </w:rPr>
        <w:t>mld</w:t>
      </w:r>
      <w:r w:rsidRPr="0093018B">
        <w:rPr>
          <w:rFonts w:asciiTheme="minorHAnsi" w:hAnsiTheme="minorHAnsi"/>
          <w:bCs/>
          <w:i/>
          <w:sz w:val="22"/>
          <w:lang w:val="sq-AL" w:eastAsia="sq-AL"/>
        </w:rPr>
        <w:t xml:space="preserve"> lekë).</w:t>
      </w:r>
    </w:p>
    <w:p w:rsidR="0093018B" w:rsidRPr="0093018B" w:rsidRDefault="0093018B" w:rsidP="0093018B">
      <w:pPr>
        <w:pStyle w:val="ListParagraph"/>
        <w:numPr>
          <w:ilvl w:val="0"/>
          <w:numId w:val="46"/>
        </w:numPr>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Totali i detyrimeve të ndërsjella që OSHEE Group sh.a ka deri në fund të muajit Maj 2022 ndaj palëve të treta rezulton në një shumë totale progresive 84.40 miliardë lekë, një rritje kjo me 10.3% krahasuar me totalin e detyrimeve të ndërsjella që OSHEE Group sh.a ka patur ndaj palëve të treta deri në fund të vitit 2021 (76.55 miliardë lekë).</w:t>
      </w:r>
    </w:p>
    <w:p w:rsidR="0093018B" w:rsidRPr="0093018B" w:rsidRDefault="0093018B" w:rsidP="0093018B">
      <w:pPr>
        <w:pStyle w:val="ListParagraph"/>
        <w:numPr>
          <w:ilvl w:val="0"/>
          <w:numId w:val="46"/>
        </w:numPr>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Totali i detyrimeve të ndërsjella që Ndërmarrjet UK sh.a kanë deri në fund të muajit Maj 2022 ndaj palëve të treta rezulton në një shumë totale progresive 23.47 miliardë lekë, një rritje kjo me 7.2% krahasuar me totalin e detyrimeve të ndërsjella që Ndërmarrjet UK sh.a kanë patur ndaj palëve të treta deri në fund të vitit 2021 (21.90 miliardë lekë).</w:t>
      </w:r>
    </w:p>
    <w:p w:rsidR="0093018B" w:rsidRPr="0093018B" w:rsidRDefault="0093018B" w:rsidP="0093018B">
      <w:pPr>
        <w:pStyle w:val="ListParagraph"/>
        <w:numPr>
          <w:ilvl w:val="0"/>
          <w:numId w:val="46"/>
        </w:numPr>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Totali i detyrimeve të ndërsjella që Ministritë e Linjës/Institucionet Buxhetore kanë deri në fund të muajit Maj 2022 ndaj palëve të treta rezulton në një shumë totale progresive 5.5 miliardë lekë, duke rezultuar me të njëjtin nivel me detyrimet e ndërsjella deri në fund të vitit 2021.</w:t>
      </w:r>
    </w:p>
    <w:p w:rsidR="0093018B" w:rsidRPr="0093018B" w:rsidRDefault="0093018B" w:rsidP="0093018B">
      <w:pPr>
        <w:pStyle w:val="ListParagraph"/>
        <w:numPr>
          <w:ilvl w:val="0"/>
          <w:numId w:val="46"/>
        </w:numPr>
        <w:spacing w:after="120"/>
        <w:ind w:left="360" w:hanging="270"/>
        <w:jc w:val="both"/>
        <w:rPr>
          <w:rFonts w:asciiTheme="minorHAnsi" w:hAnsiTheme="minorHAnsi"/>
          <w:bCs/>
          <w:i/>
          <w:sz w:val="22"/>
          <w:lang w:val="sq-AL" w:eastAsia="sq-AL"/>
        </w:rPr>
      </w:pPr>
      <w:r w:rsidRPr="0093018B">
        <w:rPr>
          <w:rFonts w:asciiTheme="minorHAnsi" w:hAnsiTheme="minorHAnsi"/>
          <w:bCs/>
          <w:i/>
          <w:sz w:val="22"/>
          <w:lang w:val="sq-AL" w:eastAsia="sq-AL"/>
        </w:rPr>
        <w:t>Totali i detyrimeve të prapambetura të ndërsjellta në fund të muajit Maj 2022, krahasur me vitin 2021, ka patur një trend rritës.</w:t>
      </w:r>
    </w:p>
    <w:p w:rsidR="0093018B" w:rsidRDefault="0093018B" w:rsidP="00BF5960">
      <w:pPr>
        <w:spacing w:line="276" w:lineRule="auto"/>
        <w:rPr>
          <w:rFonts w:ascii="Calibri" w:eastAsia="SimSun" w:hAnsi="Calibri"/>
          <w:sz w:val="16"/>
          <w:szCs w:val="16"/>
          <w:lang w:val="sq-AL"/>
        </w:rPr>
      </w:pPr>
    </w:p>
    <w:p w:rsidR="00426228" w:rsidRPr="005F1541" w:rsidRDefault="00426228" w:rsidP="00027D74">
      <w:pPr>
        <w:spacing w:before="120" w:after="120" w:line="276" w:lineRule="auto"/>
        <w:jc w:val="both"/>
        <w:rPr>
          <w:rFonts w:asciiTheme="minorHAnsi" w:hAnsiTheme="minorHAnsi"/>
          <w:b/>
          <w:bCs/>
          <w:i/>
          <w:color w:val="0070C0"/>
          <w:lang w:val="sq-AL" w:eastAsia="sq-AL"/>
        </w:rPr>
      </w:pPr>
      <w:bookmarkStart w:id="121" w:name="_Toc76470030"/>
      <w:r w:rsidRPr="005F1541">
        <w:rPr>
          <w:rFonts w:asciiTheme="minorHAnsi" w:hAnsiTheme="minorHAnsi"/>
          <w:b/>
          <w:bCs/>
          <w:i/>
          <w:color w:val="0070C0"/>
          <w:lang w:val="sq-AL" w:eastAsia="sq-AL"/>
        </w:rPr>
        <w:t>Të Dhëna Financiare për Sektorin Energjetik</w:t>
      </w:r>
      <w:bookmarkEnd w:id="121"/>
    </w:p>
    <w:p w:rsidR="00426228" w:rsidRDefault="00F07CB3" w:rsidP="00F07CB3">
      <w:pPr>
        <w:spacing w:before="120" w:after="120"/>
        <w:jc w:val="both"/>
        <w:rPr>
          <w:rFonts w:asciiTheme="minorHAnsi" w:hAnsiTheme="minorHAnsi"/>
          <w:bCs/>
          <w:lang w:val="sq-AL" w:eastAsia="sq-AL"/>
        </w:rPr>
      </w:pPr>
      <w:r w:rsidRPr="00F07CB3">
        <w:rPr>
          <w:rFonts w:asciiTheme="minorHAnsi" w:hAnsiTheme="minorHAnsi"/>
          <w:bCs/>
          <w:lang w:val="sq-AL" w:eastAsia="sq-AL"/>
        </w:rPr>
        <w:t xml:space="preserve">Në zbatim të Udhëzimit Plotësues nr.1/2022 “Për zbatimin e Buxhetit të vitit 2022”, Ministria e Financave dhe Ekonomisë, periodikisht mbi bazë tremujore, ka mbledhur, përpunuar dhe analizuar informacionin e nevojshëm në lidhje me treguesit e performancës financiare të tre kompanive të sektorit energjitik. Kjo, me qëllim identifikimin, vlerësimin, monitorimin dhe raportimin e risqeve fiskale që rezultojnë nga ndërmarrjet publike me kapital shtetëror në tërësi dhe nga sektori energjetik në veçanti, duke konsideruar rëndësinë strategjike të tij dhe problematikat sensitive që e karakterizojnë. Bazuar në të dhënat më të fundit të raportuara pranë MFE-së për </w:t>
      </w:r>
      <w:r w:rsidR="0093018B">
        <w:rPr>
          <w:rFonts w:asciiTheme="minorHAnsi" w:hAnsiTheme="minorHAnsi"/>
          <w:bCs/>
          <w:lang w:val="sq-AL" w:eastAsia="sq-AL"/>
        </w:rPr>
        <w:t>T1</w:t>
      </w:r>
      <w:r w:rsidRPr="00F07CB3">
        <w:rPr>
          <w:rFonts w:asciiTheme="minorHAnsi" w:hAnsiTheme="minorHAnsi"/>
          <w:bCs/>
          <w:lang w:val="sq-AL" w:eastAsia="sq-AL"/>
        </w:rPr>
        <w:t xml:space="preserve"> 2022, mëposhtë paraqitet performanca financiare e tre ndërmarrjeve të sektorit energjitik  (KESH </w:t>
      </w:r>
      <w:r w:rsidR="00B703A6">
        <w:rPr>
          <w:rFonts w:asciiTheme="minorHAnsi" w:hAnsiTheme="minorHAnsi"/>
          <w:bCs/>
          <w:lang w:val="sq-AL" w:eastAsia="sq-AL"/>
        </w:rPr>
        <w:t>sh.a</w:t>
      </w:r>
      <w:r w:rsidRPr="00F07CB3">
        <w:rPr>
          <w:rFonts w:asciiTheme="minorHAnsi" w:hAnsiTheme="minorHAnsi"/>
          <w:bCs/>
          <w:lang w:val="sq-AL" w:eastAsia="sq-AL"/>
        </w:rPr>
        <w:t xml:space="preserve">, OSHEE Group </w:t>
      </w:r>
      <w:r w:rsidR="00B703A6">
        <w:rPr>
          <w:rFonts w:asciiTheme="minorHAnsi" w:hAnsiTheme="minorHAnsi"/>
          <w:bCs/>
          <w:lang w:val="sq-AL" w:eastAsia="sq-AL"/>
        </w:rPr>
        <w:t>sh.a</w:t>
      </w:r>
      <w:r w:rsidRPr="00F07CB3">
        <w:rPr>
          <w:rFonts w:asciiTheme="minorHAnsi" w:hAnsiTheme="minorHAnsi"/>
          <w:bCs/>
          <w:lang w:val="sq-AL" w:eastAsia="sq-AL"/>
        </w:rPr>
        <w:t xml:space="preserve"> dhe OST </w:t>
      </w:r>
      <w:r w:rsidR="00B703A6">
        <w:rPr>
          <w:rFonts w:asciiTheme="minorHAnsi" w:hAnsiTheme="minorHAnsi"/>
          <w:bCs/>
          <w:lang w:val="sq-AL" w:eastAsia="sq-AL"/>
        </w:rPr>
        <w:t>sh.a</w:t>
      </w:r>
      <w:r w:rsidRPr="00F07CB3">
        <w:rPr>
          <w:rFonts w:asciiTheme="minorHAnsi" w:hAnsiTheme="minorHAnsi"/>
          <w:bCs/>
          <w:lang w:val="sq-AL" w:eastAsia="sq-AL"/>
        </w:rPr>
        <w:t>) mbi bazë krahasimore</w:t>
      </w:r>
      <w:r w:rsidR="0093018B">
        <w:rPr>
          <w:rFonts w:asciiTheme="minorHAnsi" w:hAnsiTheme="minorHAnsi"/>
          <w:bCs/>
          <w:lang w:val="sq-AL" w:eastAsia="sq-AL"/>
        </w:rPr>
        <w:t xml:space="preserve"> për të njëjtat periudha pararendëse</w:t>
      </w:r>
      <w:r>
        <w:rPr>
          <w:rFonts w:asciiTheme="minorHAnsi" w:hAnsiTheme="minorHAnsi"/>
          <w:bCs/>
          <w:lang w:val="sq-AL" w:eastAsia="sq-AL"/>
        </w:rPr>
        <w:t>:</w:t>
      </w:r>
      <w:r w:rsidR="00426228">
        <w:rPr>
          <w:rFonts w:asciiTheme="minorHAnsi" w:hAnsiTheme="minorHAnsi"/>
          <w:bCs/>
          <w:lang w:val="sq-AL" w:eastAsia="sq-AL"/>
        </w:rPr>
        <w:t xml:space="preserve">   </w:t>
      </w:r>
    </w:p>
    <w:p w:rsidR="00F07CB3" w:rsidRDefault="00F07CB3" w:rsidP="003F6B21">
      <w:pPr>
        <w:keepNext/>
        <w:numPr>
          <w:ilvl w:val="0"/>
          <w:numId w:val="47"/>
        </w:numPr>
        <w:spacing w:before="120" w:line="276" w:lineRule="auto"/>
        <w:jc w:val="both"/>
        <w:rPr>
          <w:rFonts w:ascii="Calibri" w:hAnsi="Calibri"/>
          <w:i/>
          <w:sz w:val="22"/>
          <w:lang w:val="sq-AL"/>
        </w:rPr>
      </w:pPr>
      <w:bookmarkStart w:id="122" w:name="_Toc104984085"/>
      <w:r>
        <w:rPr>
          <w:rFonts w:ascii="Calibri" w:hAnsi="Calibri"/>
          <w:i/>
          <w:sz w:val="22"/>
          <w:lang w:val="sq-AL"/>
        </w:rPr>
        <w:t>Performanca financiare e Sektorit Energjitik.</w:t>
      </w:r>
    </w:p>
    <w:p w:rsidR="00F07CB3" w:rsidRPr="00343167" w:rsidRDefault="00343167" w:rsidP="00F07CB3">
      <w:pPr>
        <w:keepNext/>
        <w:spacing w:before="120" w:line="276" w:lineRule="auto"/>
        <w:jc w:val="both"/>
        <w:rPr>
          <w:rFonts w:ascii="Calibri" w:hAnsi="Calibri" w:cs="Calibri"/>
          <w:i/>
          <w:iCs/>
          <w:color w:val="17406D"/>
          <w:sz w:val="22"/>
          <w:szCs w:val="22"/>
          <w:lang w:val="sq-AL"/>
        </w:rPr>
      </w:pPr>
      <w:bookmarkStart w:id="123" w:name="_Toc107496757"/>
      <w:bookmarkEnd w:id="122"/>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21</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Të dhënat financiare 3 mujore për Sektorin Energjitik (në mijë LEK)</w:t>
      </w:r>
      <w:bookmarkEnd w:id="123"/>
    </w:p>
    <w:tbl>
      <w:tblPr>
        <w:tblpPr w:leftFromText="180" w:rightFromText="180" w:vertAnchor="text" w:horzAnchor="page" w:tblpX="2353" w:tblpY="39"/>
        <w:tblW w:w="6768" w:type="dxa"/>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35"/>
        <w:gridCol w:w="1710"/>
        <w:gridCol w:w="1710"/>
      </w:tblGrid>
      <w:tr w:rsidR="00F07CB3" w:rsidTr="00F07CB3">
        <w:trPr>
          <w:trHeight w:val="254"/>
        </w:trPr>
        <w:tc>
          <w:tcPr>
            <w:tcW w:w="1613" w:type="dxa"/>
            <w:tcBorders>
              <w:top w:val="single" w:sz="24" w:space="0" w:color="95B3D7"/>
              <w:left w:val="single" w:sz="24" w:space="0" w:color="95B3D7"/>
              <w:bottom w:val="nil"/>
              <w:right w:val="nil"/>
            </w:tcBorders>
            <w:shd w:val="clear" w:color="auto" w:fill="B3DDF2"/>
            <w:noWrap/>
            <w:vAlign w:val="center"/>
            <w:hideMark/>
          </w:tcPr>
          <w:p w:rsidR="00F07CB3" w:rsidRDefault="00F07CB3" w:rsidP="00F07CB3">
            <w:pPr>
              <w:ind w:left="-3918"/>
              <w:rPr>
                <w:rFonts w:ascii="Calibri" w:hAnsi="Calibri" w:cs="Calibri"/>
                <w:b/>
                <w:color w:val="C00000"/>
                <w:sz w:val="22"/>
                <w:szCs w:val="22"/>
                <w:lang w:val="sq-AL"/>
              </w:rPr>
            </w:pPr>
            <w:r>
              <w:rPr>
                <w:rFonts w:ascii="Calibri" w:hAnsi="Calibri" w:cs="Calibri"/>
                <w:b/>
                <w:color w:val="C00000"/>
                <w:sz w:val="22"/>
                <w:szCs w:val="22"/>
                <w:lang w:val="sq-AL"/>
              </w:rPr>
              <w:t>Zërat/Periudha</w:t>
            </w:r>
          </w:p>
        </w:tc>
        <w:tc>
          <w:tcPr>
            <w:tcW w:w="1735" w:type="dxa"/>
            <w:tcBorders>
              <w:top w:val="single" w:sz="24" w:space="0" w:color="95B3D7"/>
              <w:left w:val="nil"/>
              <w:bottom w:val="nil"/>
              <w:right w:val="nil"/>
            </w:tcBorders>
            <w:shd w:val="clear" w:color="auto" w:fill="B3DDF2"/>
            <w:noWrap/>
            <w:vAlign w:val="center"/>
            <w:hideMark/>
          </w:tcPr>
          <w:p w:rsidR="00F07CB3" w:rsidRDefault="0093018B" w:rsidP="0093018B">
            <w:pPr>
              <w:jc w:val="center"/>
              <w:rPr>
                <w:rFonts w:ascii="Calibri" w:hAnsi="Calibri" w:cs="Calibri"/>
                <w:b/>
                <w:bCs/>
                <w:color w:val="C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2020</w:t>
            </w:r>
          </w:p>
        </w:tc>
        <w:tc>
          <w:tcPr>
            <w:tcW w:w="1710" w:type="dxa"/>
            <w:tcBorders>
              <w:top w:val="single" w:sz="24" w:space="0" w:color="95B3D7"/>
              <w:left w:val="nil"/>
              <w:bottom w:val="nil"/>
              <w:right w:val="nil"/>
            </w:tcBorders>
            <w:shd w:val="clear" w:color="auto" w:fill="B3DDF2"/>
            <w:noWrap/>
            <w:vAlign w:val="center"/>
            <w:hideMark/>
          </w:tcPr>
          <w:p w:rsidR="00F07CB3" w:rsidRDefault="0093018B" w:rsidP="0093018B">
            <w:pPr>
              <w:jc w:val="center"/>
              <w:rPr>
                <w:rFonts w:ascii="Calibri" w:hAnsi="Calibri" w:cs="Calibri"/>
                <w:b/>
                <w:bCs/>
                <w:color w:val="C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2021</w:t>
            </w:r>
          </w:p>
        </w:tc>
        <w:tc>
          <w:tcPr>
            <w:tcW w:w="1710" w:type="dxa"/>
            <w:tcBorders>
              <w:top w:val="single" w:sz="24" w:space="0" w:color="95B3D7"/>
              <w:left w:val="nil"/>
              <w:bottom w:val="nil"/>
              <w:right w:val="single" w:sz="24" w:space="0" w:color="95B3D7"/>
            </w:tcBorders>
            <w:shd w:val="clear" w:color="auto" w:fill="B3DDF2"/>
            <w:noWrap/>
            <w:vAlign w:val="center"/>
            <w:hideMark/>
          </w:tcPr>
          <w:p w:rsidR="00F07CB3" w:rsidRDefault="0093018B" w:rsidP="0093018B">
            <w:pPr>
              <w:jc w:val="center"/>
              <w:rPr>
                <w:rFonts w:ascii="Calibri" w:hAnsi="Calibri" w:cs="Calibri"/>
                <w:b/>
                <w:bCs/>
                <w:color w:val="C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2022</w:t>
            </w:r>
            <w:r w:rsidR="00F07CB3">
              <w:rPr>
                <w:rFonts w:ascii="Calibri" w:hAnsi="Calibri" w:cs="Calibri"/>
                <w:b/>
                <w:bCs/>
                <w:color w:val="C00000"/>
                <w:sz w:val="22"/>
                <w:szCs w:val="22"/>
                <w:vertAlign w:val="superscript"/>
              </w:rPr>
              <w:footnoteReference w:id="4"/>
            </w:r>
          </w:p>
        </w:tc>
      </w:tr>
      <w:tr w:rsidR="00F07CB3" w:rsidTr="00F07CB3">
        <w:trPr>
          <w:trHeight w:val="171"/>
        </w:trPr>
        <w:tc>
          <w:tcPr>
            <w:tcW w:w="1613" w:type="dxa"/>
            <w:tcBorders>
              <w:top w:val="nil"/>
              <w:left w:val="single" w:sz="24" w:space="0" w:color="95B3D7"/>
              <w:bottom w:val="nil"/>
              <w:right w:val="nil"/>
            </w:tcBorders>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Të ardhurat</w:t>
            </w:r>
          </w:p>
        </w:tc>
        <w:tc>
          <w:tcPr>
            <w:tcW w:w="1735" w:type="dxa"/>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18,580,708 </w:t>
            </w:r>
          </w:p>
        </w:tc>
        <w:tc>
          <w:tcPr>
            <w:tcW w:w="1710" w:type="dxa"/>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23,864,065 </w:t>
            </w:r>
          </w:p>
        </w:tc>
        <w:tc>
          <w:tcPr>
            <w:tcW w:w="1710" w:type="dxa"/>
            <w:tcBorders>
              <w:top w:val="nil"/>
              <w:left w:val="nil"/>
              <w:bottom w:val="nil"/>
              <w:right w:val="single" w:sz="24" w:space="0" w:color="95B3D7"/>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32,210,088 </w:t>
            </w:r>
          </w:p>
        </w:tc>
      </w:tr>
      <w:tr w:rsidR="00F07CB3" w:rsidTr="00F07CB3">
        <w:trPr>
          <w:trHeight w:val="171"/>
        </w:trPr>
        <w:tc>
          <w:tcPr>
            <w:tcW w:w="1613" w:type="dxa"/>
            <w:tcBorders>
              <w:top w:val="nil"/>
              <w:left w:val="single" w:sz="24" w:space="0" w:color="95B3D7"/>
              <w:bottom w:val="nil"/>
              <w:right w:val="nil"/>
            </w:tcBorders>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Shpenzimet</w:t>
            </w:r>
          </w:p>
        </w:tc>
        <w:tc>
          <w:tcPr>
            <w:tcW w:w="1735" w:type="dxa"/>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21,661,885 </w:t>
            </w:r>
          </w:p>
        </w:tc>
        <w:tc>
          <w:tcPr>
            <w:tcW w:w="1710" w:type="dxa"/>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23,016,261 </w:t>
            </w:r>
          </w:p>
        </w:tc>
        <w:tc>
          <w:tcPr>
            <w:tcW w:w="1710" w:type="dxa"/>
            <w:tcBorders>
              <w:top w:val="nil"/>
              <w:left w:val="nil"/>
              <w:bottom w:val="nil"/>
              <w:right w:val="single" w:sz="24" w:space="0" w:color="95B3D7"/>
            </w:tcBorders>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35,122,675 </w:t>
            </w:r>
          </w:p>
        </w:tc>
      </w:tr>
      <w:tr w:rsidR="00F07CB3" w:rsidTr="00F07CB3">
        <w:trPr>
          <w:trHeight w:val="81"/>
        </w:trPr>
        <w:tc>
          <w:tcPr>
            <w:tcW w:w="1613" w:type="dxa"/>
            <w:tcBorders>
              <w:top w:val="nil"/>
              <w:left w:val="single" w:sz="24" w:space="0" w:color="95B3D7"/>
              <w:bottom w:val="single" w:sz="24" w:space="0" w:color="95B3D7"/>
              <w:right w:val="nil"/>
            </w:tcBorders>
            <w:noWrap/>
            <w:vAlign w:val="center"/>
            <w:hideMark/>
          </w:tcPr>
          <w:p w:rsidR="00F07CB3" w:rsidRDefault="00F07CB3" w:rsidP="00F07CB3">
            <w:pPr>
              <w:rPr>
                <w:rFonts w:ascii="Calibri" w:hAnsi="Calibri" w:cs="Calibri"/>
                <w:b/>
                <w:bCs/>
                <w:color w:val="000000"/>
                <w:sz w:val="20"/>
                <w:szCs w:val="22"/>
              </w:rPr>
            </w:pPr>
            <w:r>
              <w:rPr>
                <w:rFonts w:ascii="Calibri" w:hAnsi="Calibri" w:cs="Calibri"/>
                <w:b/>
                <w:bCs/>
                <w:color w:val="000000"/>
                <w:sz w:val="20"/>
                <w:szCs w:val="22"/>
              </w:rPr>
              <w:t>Humbje/Fitim</w:t>
            </w:r>
          </w:p>
        </w:tc>
        <w:tc>
          <w:tcPr>
            <w:tcW w:w="1735" w:type="dxa"/>
            <w:tcBorders>
              <w:top w:val="nil"/>
              <w:left w:val="nil"/>
              <w:bottom w:val="single" w:sz="24" w:space="0" w:color="95B3D7"/>
              <w:right w:val="nil"/>
            </w:tcBorders>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(3,081,176)</w:t>
            </w:r>
          </w:p>
        </w:tc>
        <w:tc>
          <w:tcPr>
            <w:tcW w:w="1710" w:type="dxa"/>
            <w:tcBorders>
              <w:top w:val="nil"/>
              <w:left w:val="nil"/>
              <w:bottom w:val="single" w:sz="24" w:space="0" w:color="95B3D7"/>
              <w:right w:val="nil"/>
            </w:tcBorders>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847,804 </w:t>
            </w:r>
          </w:p>
        </w:tc>
        <w:tc>
          <w:tcPr>
            <w:tcW w:w="1710" w:type="dxa"/>
            <w:tcBorders>
              <w:top w:val="nil"/>
              <w:left w:val="nil"/>
              <w:bottom w:val="single" w:sz="24" w:space="0" w:color="95B3D7"/>
              <w:right w:val="single" w:sz="24" w:space="0" w:color="95B3D7"/>
            </w:tcBorders>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(2,912,587)</w:t>
            </w:r>
          </w:p>
        </w:tc>
      </w:tr>
    </w:tbl>
    <w:p w:rsidR="00F07CB3" w:rsidRDefault="00F07CB3" w:rsidP="0093018B">
      <w:pPr>
        <w:keepNext/>
        <w:spacing w:line="276" w:lineRule="auto"/>
        <w:jc w:val="both"/>
        <w:rPr>
          <w:rFonts w:ascii="Calibri" w:eastAsia="Calibri" w:hAnsi="Calibri"/>
          <w:i/>
          <w:iCs/>
          <w:color w:val="17406D"/>
          <w:sz w:val="22"/>
          <w:szCs w:val="22"/>
          <w:lang w:val="sq-AL" w:eastAsia="sq-AL"/>
        </w:rPr>
      </w:pPr>
    </w:p>
    <w:p w:rsidR="00F07CB3" w:rsidRDefault="00F07CB3" w:rsidP="0093018B">
      <w:pPr>
        <w:spacing w:line="276" w:lineRule="auto"/>
        <w:ind w:firstLine="360"/>
        <w:contextualSpacing/>
        <w:rPr>
          <w:rFonts w:ascii="Calibri" w:hAnsi="Calibri"/>
          <w:i/>
          <w:sz w:val="20"/>
          <w:szCs w:val="20"/>
          <w:lang w:val="sq-AL"/>
        </w:rPr>
      </w:pPr>
    </w:p>
    <w:p w:rsidR="00F07CB3" w:rsidRDefault="00F07CB3" w:rsidP="0093018B">
      <w:pPr>
        <w:spacing w:line="276" w:lineRule="auto"/>
        <w:ind w:firstLine="360"/>
        <w:contextualSpacing/>
        <w:rPr>
          <w:rFonts w:ascii="Calibri" w:hAnsi="Calibri"/>
          <w:i/>
          <w:sz w:val="20"/>
          <w:szCs w:val="20"/>
          <w:lang w:val="sq-AL"/>
        </w:rPr>
      </w:pPr>
    </w:p>
    <w:p w:rsidR="00F07CB3" w:rsidRDefault="00F07CB3" w:rsidP="0093018B">
      <w:pPr>
        <w:spacing w:line="276" w:lineRule="auto"/>
        <w:ind w:firstLine="360"/>
        <w:contextualSpacing/>
        <w:rPr>
          <w:rFonts w:ascii="Calibri" w:hAnsi="Calibri"/>
          <w:i/>
          <w:sz w:val="20"/>
          <w:szCs w:val="20"/>
          <w:lang w:val="sq-AL"/>
        </w:rPr>
      </w:pPr>
    </w:p>
    <w:p w:rsidR="00F07CB3" w:rsidRDefault="00F07CB3" w:rsidP="0093018B">
      <w:pPr>
        <w:spacing w:line="276" w:lineRule="auto"/>
        <w:ind w:left="720" w:firstLine="720"/>
        <w:contextualSpacing/>
        <w:rPr>
          <w:rFonts w:ascii="Calibri" w:hAnsi="Calibri"/>
          <w:i/>
          <w:sz w:val="20"/>
          <w:szCs w:val="20"/>
          <w:lang w:val="sq-AL"/>
        </w:rPr>
      </w:pPr>
      <w:r>
        <w:rPr>
          <w:rFonts w:ascii="Calibri" w:hAnsi="Calibri"/>
          <w:i/>
          <w:sz w:val="20"/>
          <w:szCs w:val="20"/>
          <w:lang w:val="sq-AL"/>
        </w:rPr>
        <w:t xml:space="preserve">Burimi: OSHEE Group, OST, KESH </w:t>
      </w:r>
      <w:r w:rsidR="00B703A6">
        <w:rPr>
          <w:rFonts w:ascii="Calibri" w:hAnsi="Calibri"/>
          <w:i/>
          <w:sz w:val="20"/>
          <w:szCs w:val="20"/>
          <w:lang w:val="sq-AL"/>
        </w:rPr>
        <w:t>sh.a</w:t>
      </w:r>
      <w:r>
        <w:rPr>
          <w:rFonts w:ascii="Calibri" w:hAnsi="Calibri"/>
          <w:i/>
          <w:sz w:val="20"/>
          <w:szCs w:val="20"/>
          <w:lang w:val="sq-AL"/>
        </w:rPr>
        <w:t>.</w:t>
      </w:r>
    </w:p>
    <w:p w:rsidR="00F07CB3" w:rsidRPr="00F07CB3" w:rsidRDefault="00F07CB3" w:rsidP="00F07CB3">
      <w:pPr>
        <w:spacing w:before="120" w:line="276" w:lineRule="auto"/>
        <w:contextualSpacing/>
        <w:jc w:val="both"/>
        <w:rPr>
          <w:rFonts w:ascii="Calibri" w:eastAsia="Calibri" w:hAnsi="Calibri" w:cs="Calibri"/>
          <w:bCs/>
          <w:i/>
          <w:sz w:val="8"/>
          <w:u w:val="single"/>
          <w:lang w:val="sq-AL" w:eastAsia="sq-AL"/>
        </w:rPr>
      </w:pPr>
    </w:p>
    <w:p w:rsidR="00F07CB3" w:rsidRDefault="00F07CB3" w:rsidP="003F6B21">
      <w:pPr>
        <w:keepNext/>
        <w:numPr>
          <w:ilvl w:val="0"/>
          <w:numId w:val="47"/>
        </w:numPr>
        <w:spacing w:before="120" w:line="276" w:lineRule="auto"/>
        <w:jc w:val="both"/>
        <w:rPr>
          <w:rFonts w:ascii="Calibri" w:hAnsi="Calibri"/>
          <w:i/>
          <w:sz w:val="22"/>
          <w:lang w:val="sq-AL"/>
        </w:rPr>
      </w:pPr>
      <w:r>
        <w:rPr>
          <w:rFonts w:ascii="Calibri" w:hAnsi="Calibri"/>
          <w:i/>
          <w:sz w:val="22"/>
          <w:lang w:val="sq-AL"/>
        </w:rPr>
        <w:t xml:space="preserve">Performanca financiare e OSHEE Group </w:t>
      </w:r>
      <w:r w:rsidR="00B703A6">
        <w:rPr>
          <w:rFonts w:ascii="Calibri" w:hAnsi="Calibri"/>
          <w:i/>
          <w:sz w:val="22"/>
          <w:lang w:val="sq-AL"/>
        </w:rPr>
        <w:t>sh.a</w:t>
      </w:r>
      <w:r>
        <w:rPr>
          <w:rFonts w:ascii="Calibri" w:hAnsi="Calibri"/>
          <w:i/>
          <w:sz w:val="22"/>
          <w:lang w:val="sq-AL"/>
        </w:rPr>
        <w:t>.</w:t>
      </w:r>
    </w:p>
    <w:p w:rsidR="00F07CB3" w:rsidRDefault="00343167" w:rsidP="00F07CB3">
      <w:pPr>
        <w:keepNext/>
        <w:spacing w:before="120" w:line="276" w:lineRule="auto"/>
        <w:jc w:val="both"/>
        <w:rPr>
          <w:rFonts w:ascii="Calibri" w:hAnsi="Calibri" w:cs="Calibri"/>
          <w:i/>
          <w:iCs/>
          <w:color w:val="17406D"/>
          <w:sz w:val="22"/>
          <w:szCs w:val="22"/>
          <w:lang w:val="sq-AL"/>
        </w:rPr>
      </w:pPr>
      <w:bookmarkStart w:id="124" w:name="_Toc104984086"/>
      <w:bookmarkStart w:id="125" w:name="_Toc107496758"/>
      <w:r w:rsidRPr="00343167">
        <w:rPr>
          <w:rFonts w:asciiTheme="minorHAnsi" w:hAnsiTheme="minorHAnsi"/>
          <w:b/>
          <w:bCs/>
          <w:i/>
          <w:noProof/>
          <w:sz w:val="22"/>
        </w:rPr>
        <w:t>T</w:t>
      </w:r>
      <w:r w:rsidRPr="00343167">
        <w:rPr>
          <w:rFonts w:asciiTheme="minorHAnsi" w:hAnsiTheme="minorHAnsi"/>
          <w:bCs/>
          <w:i/>
          <w:noProof/>
          <w:sz w:val="22"/>
        </w:rPr>
        <w:t xml:space="preserve">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22</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OSHEE Group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24"/>
      <w:bookmarkEnd w:id="125"/>
      <w:r w:rsidR="00F07CB3" w:rsidRPr="00343167">
        <w:rPr>
          <w:rFonts w:asciiTheme="minorHAnsi" w:hAnsiTheme="minorHAnsi"/>
          <w:bCs/>
          <w:i/>
          <w:noProof/>
          <w:sz w:val="22"/>
        </w:rPr>
        <w:t xml:space="preserve">  </w:t>
      </w:r>
      <w:r w:rsidR="00F07CB3">
        <w:rPr>
          <w:rFonts w:ascii="Calibri" w:hAnsi="Calibri" w:cs="Calibri"/>
          <w:i/>
          <w:iCs/>
          <w:color w:val="17406D"/>
          <w:sz w:val="22"/>
          <w:szCs w:val="22"/>
          <w:lang w:val="sq-AL"/>
        </w:rPr>
        <w:fldChar w:fldCharType="begin"/>
      </w:r>
      <w:r w:rsidR="00F07CB3">
        <w:rPr>
          <w:rFonts w:ascii="Calibri" w:hAnsi="Calibri" w:cs="Calibri"/>
          <w:i/>
          <w:iCs/>
          <w:color w:val="17406D"/>
          <w:sz w:val="22"/>
          <w:szCs w:val="22"/>
          <w:lang w:val="sq-AL"/>
        </w:rPr>
        <w:instrText xml:space="preserve"> LINK </w:instrText>
      </w:r>
      <w:r w:rsidR="00C371C2">
        <w:rPr>
          <w:rFonts w:ascii="Calibri" w:hAnsi="Calibri" w:cs="Calibri"/>
          <w:i/>
          <w:iCs/>
          <w:color w:val="17406D"/>
          <w:sz w:val="22"/>
          <w:szCs w:val="22"/>
          <w:lang w:val="sq-AL"/>
        </w:rPr>
        <w:instrText xml:space="preserve">Excel.Sheet.12 "C:\\Users\\ilvis.ballvora\\Desktop\\Sectori Energjetike\\1.3 Te dhenat sektori i energjise. xlsx.xlsx" "DATA Extras 3!R94C7:R105C12" </w:instrText>
      </w:r>
      <w:r w:rsidR="00F07CB3">
        <w:rPr>
          <w:rFonts w:ascii="Calibri" w:hAnsi="Calibri" w:cs="Calibri"/>
          <w:i/>
          <w:iCs/>
          <w:color w:val="17406D"/>
          <w:sz w:val="22"/>
          <w:szCs w:val="22"/>
          <w:lang w:val="sq-AL"/>
        </w:rPr>
        <w:instrText xml:space="preserve">\a \f 4 \h  \* MERGEFORMAT </w:instrText>
      </w:r>
      <w:r w:rsidR="00F07CB3">
        <w:rPr>
          <w:rFonts w:ascii="Calibri" w:hAnsi="Calibri" w:cs="Calibri"/>
          <w:i/>
          <w:iCs/>
          <w:color w:val="17406D"/>
          <w:sz w:val="22"/>
          <w:szCs w:val="22"/>
          <w:lang w:val="sq-AL"/>
        </w:rPr>
        <w:fldChar w:fldCharType="separate"/>
      </w:r>
    </w:p>
    <w:tbl>
      <w:tblPr>
        <w:tblW w:w="6920"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88"/>
        <w:gridCol w:w="79"/>
        <w:gridCol w:w="1640"/>
        <w:gridCol w:w="1800"/>
      </w:tblGrid>
      <w:tr w:rsidR="00F07CB3" w:rsidTr="00F07CB3">
        <w:trPr>
          <w:trHeight w:val="363"/>
          <w:jc w:val="center"/>
        </w:trPr>
        <w:tc>
          <w:tcPr>
            <w:tcW w:w="1613" w:type="dxa"/>
            <w:tcBorders>
              <w:top w:val="single" w:sz="24" w:space="0" w:color="95B3D7"/>
              <w:left w:val="single" w:sz="24" w:space="0" w:color="95B3D7"/>
              <w:bottom w:val="nil"/>
              <w:right w:val="nil"/>
            </w:tcBorders>
            <w:shd w:val="clear" w:color="auto" w:fill="B3DDF2"/>
            <w:noWrap/>
            <w:vAlign w:val="center"/>
            <w:hideMark/>
          </w:tcPr>
          <w:p w:rsidR="00F07CB3" w:rsidRDefault="00F07CB3" w:rsidP="00F07CB3">
            <w:pPr>
              <w:rPr>
                <w:rFonts w:ascii="Calibri" w:hAnsi="Calibri" w:cs="Calibri"/>
                <w:color w:val="000000"/>
                <w:sz w:val="22"/>
                <w:szCs w:val="22"/>
                <w:lang w:val="sq-AL"/>
              </w:rPr>
            </w:pPr>
            <w:r>
              <w:rPr>
                <w:rFonts w:ascii="Calibri" w:hAnsi="Calibri" w:cs="Calibri"/>
                <w:b/>
                <w:color w:val="C00000"/>
                <w:sz w:val="22"/>
                <w:szCs w:val="22"/>
                <w:lang w:val="sq-AL"/>
              </w:rPr>
              <w:t>Zërat/Periudha</w:t>
            </w:r>
          </w:p>
        </w:tc>
        <w:tc>
          <w:tcPr>
            <w:tcW w:w="1867" w:type="dxa"/>
            <w:gridSpan w:val="2"/>
            <w:tcBorders>
              <w:top w:val="single" w:sz="24" w:space="0" w:color="95B3D7"/>
              <w:left w:val="nil"/>
              <w:bottom w:val="nil"/>
              <w:right w:val="nil"/>
            </w:tcBorders>
            <w:shd w:val="clear" w:color="auto" w:fill="B3DDF2"/>
            <w:noWrap/>
            <w:vAlign w:val="center"/>
            <w:hideMark/>
          </w:tcPr>
          <w:p w:rsidR="00F07CB3" w:rsidRDefault="0093018B" w:rsidP="0093018B">
            <w:pPr>
              <w:jc w:val="center"/>
              <w:rPr>
                <w:rFonts w:ascii="Calibri" w:hAnsi="Calibri" w:cs="Calibri"/>
                <w:b/>
                <w:bCs/>
                <w:color w:val="0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2020</w:t>
            </w:r>
          </w:p>
        </w:tc>
        <w:tc>
          <w:tcPr>
            <w:tcW w:w="1640" w:type="dxa"/>
            <w:tcBorders>
              <w:top w:val="single" w:sz="24" w:space="0" w:color="95B3D7"/>
              <w:left w:val="nil"/>
              <w:bottom w:val="nil"/>
              <w:right w:val="nil"/>
            </w:tcBorders>
            <w:shd w:val="clear" w:color="auto" w:fill="B3DDF2"/>
            <w:noWrap/>
            <w:vAlign w:val="center"/>
            <w:hideMark/>
          </w:tcPr>
          <w:p w:rsidR="00F07CB3" w:rsidRDefault="0093018B" w:rsidP="0093018B">
            <w:pPr>
              <w:jc w:val="center"/>
              <w:rPr>
                <w:rFonts w:ascii="Calibri" w:hAnsi="Calibri" w:cs="Calibri"/>
                <w:b/>
                <w:bCs/>
                <w:color w:val="0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F07CB3" w:rsidRDefault="0093018B" w:rsidP="0093018B">
            <w:pPr>
              <w:jc w:val="center"/>
              <w:rPr>
                <w:rFonts w:ascii="Calibri" w:hAnsi="Calibri" w:cs="Calibri"/>
                <w:b/>
                <w:bCs/>
                <w:color w:val="000000"/>
                <w:sz w:val="22"/>
                <w:szCs w:val="22"/>
              </w:rPr>
            </w:pPr>
            <w:r>
              <w:rPr>
                <w:rFonts w:ascii="Calibri" w:hAnsi="Calibri" w:cs="Calibri"/>
                <w:b/>
                <w:bCs/>
                <w:color w:val="C00000"/>
                <w:sz w:val="22"/>
                <w:szCs w:val="22"/>
              </w:rPr>
              <w:t>T1</w:t>
            </w:r>
            <w:r w:rsidR="00F07CB3">
              <w:rPr>
                <w:rFonts w:ascii="Calibri" w:hAnsi="Calibri" w:cs="Calibri"/>
                <w:b/>
                <w:bCs/>
                <w:color w:val="C00000"/>
                <w:sz w:val="22"/>
                <w:szCs w:val="22"/>
              </w:rPr>
              <w:t xml:space="preserve"> 2022</w:t>
            </w:r>
          </w:p>
        </w:tc>
      </w:tr>
      <w:tr w:rsidR="00F07CB3" w:rsidTr="00F07CB3">
        <w:trPr>
          <w:trHeight w:val="169"/>
          <w:jc w:val="center"/>
        </w:trPr>
        <w:tc>
          <w:tcPr>
            <w:tcW w:w="1613"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18"/>
              </w:rPr>
            </w:pPr>
            <w:r>
              <w:rPr>
                <w:rFonts w:ascii="Calibri" w:hAnsi="Calibri" w:cs="Calibri"/>
                <w:i/>
                <w:color w:val="000000"/>
                <w:sz w:val="18"/>
                <w:szCs w:val="18"/>
              </w:rPr>
              <w:t>Të ardhurat</w:t>
            </w:r>
          </w:p>
        </w:tc>
        <w:tc>
          <w:tcPr>
            <w:tcW w:w="1788"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15,367,773 </w:t>
            </w:r>
          </w:p>
        </w:tc>
        <w:tc>
          <w:tcPr>
            <w:tcW w:w="1719" w:type="dxa"/>
            <w:gridSpan w:val="2"/>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16,372,799 </w:t>
            </w:r>
          </w:p>
        </w:tc>
        <w:tc>
          <w:tcPr>
            <w:tcW w:w="180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20,188,305 </w:t>
            </w:r>
          </w:p>
        </w:tc>
      </w:tr>
      <w:tr w:rsidR="00F07CB3" w:rsidTr="00F07CB3">
        <w:trPr>
          <w:trHeight w:val="161"/>
          <w:jc w:val="center"/>
        </w:trPr>
        <w:tc>
          <w:tcPr>
            <w:tcW w:w="1613"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18"/>
              </w:rPr>
            </w:pPr>
            <w:r>
              <w:rPr>
                <w:rFonts w:ascii="Calibri" w:hAnsi="Calibri" w:cs="Calibri"/>
                <w:i/>
                <w:color w:val="000000"/>
                <w:sz w:val="18"/>
                <w:szCs w:val="18"/>
              </w:rPr>
              <w:t>Shpenzimet</w:t>
            </w:r>
          </w:p>
        </w:tc>
        <w:tc>
          <w:tcPr>
            <w:tcW w:w="1788"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16,366,384 </w:t>
            </w:r>
          </w:p>
        </w:tc>
        <w:tc>
          <w:tcPr>
            <w:tcW w:w="1719" w:type="dxa"/>
            <w:gridSpan w:val="2"/>
            <w:tcBorders>
              <w:top w:val="nil"/>
              <w:left w:val="nil"/>
              <w:bottom w:val="nil"/>
              <w:right w:val="nil"/>
            </w:tcBorders>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16,095,026 </w:t>
            </w:r>
          </w:p>
        </w:tc>
        <w:tc>
          <w:tcPr>
            <w:tcW w:w="180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18"/>
              </w:rPr>
            </w:pPr>
            <w:r>
              <w:rPr>
                <w:rFonts w:ascii="Calibri" w:hAnsi="Calibri" w:cs="Calibri"/>
                <w:i/>
                <w:color w:val="000000"/>
                <w:sz w:val="18"/>
                <w:szCs w:val="18"/>
              </w:rPr>
              <w:t xml:space="preserve">            20,543,688 </w:t>
            </w:r>
          </w:p>
        </w:tc>
      </w:tr>
      <w:tr w:rsidR="00F07CB3" w:rsidTr="00F07CB3">
        <w:trPr>
          <w:trHeight w:val="161"/>
          <w:jc w:val="center"/>
        </w:trPr>
        <w:tc>
          <w:tcPr>
            <w:tcW w:w="1613" w:type="dxa"/>
            <w:tcBorders>
              <w:top w:val="nil"/>
              <w:left w:val="single" w:sz="24" w:space="0" w:color="95B3D7"/>
              <w:bottom w:val="single" w:sz="24" w:space="0" w:color="95B3D7"/>
              <w:right w:val="nil"/>
            </w:tcBorders>
            <w:shd w:val="clear" w:color="auto" w:fill="FFFFFF"/>
            <w:noWrap/>
            <w:vAlign w:val="center"/>
            <w:hideMark/>
          </w:tcPr>
          <w:p w:rsidR="00F07CB3" w:rsidRDefault="00F07CB3" w:rsidP="00F07CB3">
            <w:pPr>
              <w:rPr>
                <w:rFonts w:ascii="Calibri" w:hAnsi="Calibri" w:cs="Calibri"/>
                <w:b/>
                <w:bCs/>
                <w:color w:val="000000"/>
                <w:sz w:val="20"/>
                <w:szCs w:val="20"/>
              </w:rPr>
            </w:pPr>
            <w:r>
              <w:rPr>
                <w:rFonts w:ascii="Calibri" w:hAnsi="Calibri" w:cs="Calibri"/>
                <w:b/>
                <w:bCs/>
                <w:color w:val="000000"/>
                <w:sz w:val="20"/>
                <w:szCs w:val="20"/>
              </w:rPr>
              <w:t>Humbje/Fitim</w:t>
            </w:r>
          </w:p>
        </w:tc>
        <w:tc>
          <w:tcPr>
            <w:tcW w:w="1788" w:type="dxa"/>
            <w:tcBorders>
              <w:top w:val="nil"/>
              <w:left w:val="nil"/>
              <w:bottom w:val="single" w:sz="24" w:space="0" w:color="95B3D7"/>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(998,611)</w:t>
            </w:r>
          </w:p>
        </w:tc>
        <w:tc>
          <w:tcPr>
            <w:tcW w:w="1719" w:type="dxa"/>
            <w:gridSpan w:val="2"/>
            <w:tcBorders>
              <w:top w:val="nil"/>
              <w:left w:val="nil"/>
              <w:bottom w:val="single" w:sz="24" w:space="0" w:color="95B3D7"/>
              <w:right w:val="nil"/>
            </w:tcBorders>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277,773 </w:t>
            </w:r>
          </w:p>
        </w:tc>
        <w:tc>
          <w:tcPr>
            <w:tcW w:w="1800" w:type="dxa"/>
            <w:tcBorders>
              <w:top w:val="nil"/>
              <w:left w:val="nil"/>
              <w:bottom w:val="single" w:sz="24" w:space="0" w:color="95B3D7"/>
              <w:right w:val="single" w:sz="24" w:space="0" w:color="95B3D7"/>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(355,383)</w:t>
            </w:r>
          </w:p>
        </w:tc>
      </w:tr>
    </w:tbl>
    <w:p w:rsidR="00F07CB3" w:rsidRDefault="00F07CB3" w:rsidP="00F07CB3">
      <w:pPr>
        <w:ind w:left="720" w:firstLine="720"/>
        <w:jc w:val="both"/>
        <w:rPr>
          <w:rFonts w:ascii="Calibri" w:hAnsi="Calibri"/>
          <w:i/>
          <w:sz w:val="20"/>
          <w:szCs w:val="20"/>
          <w:lang w:val="sq-AL"/>
        </w:rPr>
      </w:pPr>
      <w:r>
        <w:rPr>
          <w:rFonts w:ascii="Calibri" w:hAnsi="Calibri"/>
          <w:sz w:val="22"/>
          <w:szCs w:val="22"/>
          <w:lang w:val="sq-AL"/>
        </w:rPr>
        <w:fldChar w:fldCharType="end"/>
      </w:r>
      <w:r>
        <w:rPr>
          <w:rFonts w:ascii="Calibri" w:hAnsi="Calibri"/>
          <w:i/>
          <w:sz w:val="20"/>
          <w:szCs w:val="20"/>
          <w:lang w:val="sq-AL"/>
        </w:rPr>
        <w:t xml:space="preserve">Burimi: OSHEE Group </w:t>
      </w:r>
      <w:r w:rsidR="00B703A6">
        <w:rPr>
          <w:rFonts w:ascii="Calibri" w:hAnsi="Calibri"/>
          <w:i/>
          <w:sz w:val="20"/>
          <w:szCs w:val="20"/>
          <w:lang w:val="sq-AL"/>
        </w:rPr>
        <w:t>sh.a</w:t>
      </w:r>
      <w:r>
        <w:rPr>
          <w:rFonts w:ascii="Calibri" w:hAnsi="Calibri"/>
          <w:i/>
          <w:sz w:val="20"/>
          <w:szCs w:val="20"/>
          <w:lang w:val="sq-AL"/>
        </w:rPr>
        <w:t xml:space="preserve">.  </w:t>
      </w:r>
    </w:p>
    <w:p w:rsidR="00F07CB3" w:rsidRPr="00343167" w:rsidRDefault="00343167" w:rsidP="00F07CB3">
      <w:pPr>
        <w:keepNext/>
        <w:rPr>
          <w:rFonts w:asciiTheme="minorHAnsi" w:hAnsiTheme="minorHAnsi" w:cstheme="minorHAnsi"/>
          <w:i/>
          <w:iCs/>
          <w:sz w:val="22"/>
          <w:szCs w:val="22"/>
          <w:lang w:val="sq-AL"/>
        </w:rPr>
      </w:pPr>
      <w:bookmarkStart w:id="126" w:name="_Toc107498136"/>
      <w:r w:rsidRPr="00343167">
        <w:rPr>
          <w:rFonts w:asciiTheme="minorHAnsi" w:hAnsiTheme="minorHAnsi"/>
          <w:bCs/>
          <w:i/>
          <w:noProof/>
          <w:sz w:val="22"/>
        </w:rPr>
        <w:lastRenderedPageBreak/>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3B2B9B">
        <w:rPr>
          <w:rFonts w:asciiTheme="minorHAnsi" w:hAnsiTheme="minorHAnsi"/>
          <w:bCs/>
          <w:i/>
          <w:noProof/>
          <w:sz w:val="22"/>
        </w:rPr>
        <w:t>45</w:t>
      </w:r>
      <w:r w:rsidRPr="00343167">
        <w:rPr>
          <w:rFonts w:asciiTheme="minorHAnsi" w:hAnsiTheme="minorHAnsi"/>
          <w:bCs/>
          <w:i/>
          <w:noProof/>
          <w:sz w:val="22"/>
        </w:rPr>
        <w:fldChar w:fldCharType="end"/>
      </w:r>
      <w:r w:rsidRPr="00343167">
        <w:rPr>
          <w:rFonts w:asciiTheme="minorHAnsi" w:hAnsiTheme="minorHAnsi"/>
          <w:i/>
          <w:noProof/>
          <w:sz w:val="22"/>
        </w:rPr>
        <w:t xml:space="preserve">: </w:t>
      </w:r>
      <w:r w:rsidR="00F07CB3" w:rsidRPr="00343167">
        <w:rPr>
          <w:rFonts w:asciiTheme="minorHAnsi" w:hAnsiTheme="minorHAnsi" w:cstheme="minorHAnsi"/>
          <w:i/>
          <w:iCs/>
          <w:sz w:val="22"/>
          <w:szCs w:val="22"/>
          <w:lang w:val="sq-AL"/>
        </w:rPr>
        <w:t xml:space="preserve">Ecuria e nivelit të arkëtimeve të OSHEE Group </w:t>
      </w:r>
      <w:r w:rsidR="00B703A6" w:rsidRPr="00343167">
        <w:rPr>
          <w:rFonts w:asciiTheme="minorHAnsi" w:hAnsiTheme="minorHAnsi" w:cstheme="minorHAnsi"/>
          <w:i/>
          <w:iCs/>
          <w:sz w:val="22"/>
          <w:szCs w:val="22"/>
          <w:lang w:val="sq-AL"/>
        </w:rPr>
        <w:t>sh.a</w:t>
      </w:r>
      <w:r w:rsidR="00F07CB3" w:rsidRPr="00343167">
        <w:rPr>
          <w:rFonts w:asciiTheme="minorHAnsi" w:hAnsiTheme="minorHAnsi" w:cstheme="minorHAnsi"/>
          <w:i/>
          <w:iCs/>
          <w:sz w:val="22"/>
          <w:szCs w:val="22"/>
          <w:lang w:val="sq-AL"/>
        </w:rPr>
        <w:t xml:space="preserve"> (në miliardë LEK)</w:t>
      </w:r>
      <w:bookmarkEnd w:id="126"/>
    </w:p>
    <w:p w:rsidR="00F07CB3" w:rsidRDefault="00F07CB3" w:rsidP="00F07CB3">
      <w:pPr>
        <w:rPr>
          <w:rFonts w:asciiTheme="minorHAnsi" w:eastAsia="SimSun" w:hAnsiTheme="minorHAnsi" w:cstheme="minorHAnsi"/>
          <w:i/>
          <w:sz w:val="20"/>
          <w:szCs w:val="20"/>
          <w:lang w:val="sq-AL"/>
        </w:rPr>
      </w:pPr>
      <w:r>
        <w:rPr>
          <w:noProof/>
          <w:shd w:val="clear" w:color="auto" w:fill="0066FF"/>
        </w:rPr>
        <w:drawing>
          <wp:inline distT="0" distB="0" distL="0" distR="0" wp14:anchorId="0EB3087E" wp14:editId="055970AA">
            <wp:extent cx="6122670" cy="1089660"/>
            <wp:effectExtent l="0" t="0" r="11430" b="1524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rFonts w:asciiTheme="minorHAnsi" w:eastAsia="SimSun" w:hAnsiTheme="minorHAnsi" w:cstheme="minorHAnsi"/>
          <w:i/>
          <w:sz w:val="20"/>
          <w:szCs w:val="20"/>
          <w:lang w:val="sq-AL"/>
        </w:rPr>
        <w:t>Burimi: Ministria e Financave dhe Ekonomisë (2022)</w:t>
      </w:r>
      <w:bookmarkStart w:id="127" w:name="_Toc104984066"/>
    </w:p>
    <w:p w:rsidR="00F07CB3" w:rsidRPr="00343167" w:rsidRDefault="00343167" w:rsidP="00F07CB3">
      <w:pPr>
        <w:spacing w:before="120"/>
        <w:rPr>
          <w:rFonts w:asciiTheme="minorHAnsi" w:eastAsia="SimSun" w:hAnsiTheme="minorHAnsi" w:cstheme="minorHAnsi"/>
          <w:i/>
          <w:sz w:val="20"/>
          <w:szCs w:val="20"/>
          <w:lang w:val="sq-AL"/>
        </w:rPr>
      </w:pPr>
      <w:bookmarkStart w:id="128" w:name="_Toc107498137"/>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3B2B9B">
        <w:rPr>
          <w:rFonts w:asciiTheme="minorHAnsi" w:hAnsiTheme="minorHAnsi"/>
          <w:bCs/>
          <w:i/>
          <w:noProof/>
          <w:sz w:val="22"/>
        </w:rPr>
        <w:t>46</w:t>
      </w:r>
      <w:r w:rsidRPr="00343167">
        <w:rPr>
          <w:rFonts w:asciiTheme="minorHAnsi" w:hAnsiTheme="minorHAnsi"/>
          <w:bCs/>
          <w:i/>
          <w:noProof/>
          <w:sz w:val="22"/>
        </w:rPr>
        <w:fldChar w:fldCharType="end"/>
      </w:r>
      <w:r w:rsidRPr="00343167">
        <w:rPr>
          <w:rFonts w:asciiTheme="minorHAnsi" w:hAnsiTheme="minorHAnsi"/>
          <w:i/>
          <w:noProof/>
          <w:sz w:val="22"/>
        </w:rPr>
        <w:t>:</w:t>
      </w:r>
      <w:r w:rsidR="00F07CB3" w:rsidRPr="00343167">
        <w:rPr>
          <w:rFonts w:asciiTheme="minorHAnsi" w:hAnsiTheme="minorHAnsi" w:cstheme="minorHAnsi"/>
          <w:i/>
          <w:iCs/>
          <w:sz w:val="22"/>
          <w:szCs w:val="22"/>
          <w:lang w:val="sq-AL"/>
        </w:rPr>
        <w:t xml:space="preserve">Ecuria e nivelit të humbjeve në rrjet për OSHEE Group </w:t>
      </w:r>
      <w:r w:rsidR="00B703A6" w:rsidRPr="00343167">
        <w:rPr>
          <w:rFonts w:asciiTheme="minorHAnsi" w:hAnsiTheme="minorHAnsi" w:cstheme="minorHAnsi"/>
          <w:i/>
          <w:iCs/>
          <w:sz w:val="22"/>
          <w:szCs w:val="22"/>
          <w:lang w:val="sq-AL"/>
        </w:rPr>
        <w:t>sh.a</w:t>
      </w:r>
      <w:r w:rsidR="00F07CB3" w:rsidRPr="00343167">
        <w:rPr>
          <w:rFonts w:asciiTheme="minorHAnsi" w:hAnsiTheme="minorHAnsi" w:cstheme="minorHAnsi"/>
          <w:i/>
          <w:iCs/>
          <w:sz w:val="22"/>
          <w:szCs w:val="22"/>
          <w:lang w:val="sq-AL"/>
        </w:rPr>
        <w:t xml:space="preserve"> (në %)</w:t>
      </w:r>
      <w:bookmarkEnd w:id="127"/>
      <w:bookmarkEnd w:id="128"/>
    </w:p>
    <w:p w:rsidR="00F07CB3" w:rsidRDefault="00F07CB3" w:rsidP="00F07CB3">
      <w:pPr>
        <w:rPr>
          <w:rFonts w:asciiTheme="minorHAnsi" w:eastAsia="SimSun" w:hAnsiTheme="minorHAnsi" w:cstheme="minorHAnsi"/>
          <w:i/>
          <w:sz w:val="20"/>
          <w:szCs w:val="20"/>
          <w:lang w:val="sq-AL"/>
        </w:rPr>
      </w:pPr>
      <w:r>
        <w:rPr>
          <w:noProof/>
        </w:rPr>
        <w:drawing>
          <wp:inline distT="0" distB="0" distL="0" distR="0" wp14:anchorId="5343E7A6" wp14:editId="6F1AA67D">
            <wp:extent cx="6122670" cy="1165860"/>
            <wp:effectExtent l="0" t="0" r="11430" b="15240"/>
            <wp:docPr id="299" name="Chart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rFonts w:asciiTheme="minorHAnsi" w:eastAsia="SimSun" w:hAnsiTheme="minorHAnsi" w:cstheme="minorHAnsi"/>
          <w:i/>
          <w:sz w:val="20"/>
          <w:szCs w:val="20"/>
          <w:lang w:val="sq-AL"/>
        </w:rPr>
        <w:t>Burimi: Ministria e Financave dhe Ekonomisë (2022)</w:t>
      </w:r>
    </w:p>
    <w:p w:rsidR="005F1541" w:rsidRPr="005F1541" w:rsidRDefault="005F1541" w:rsidP="00F07CB3">
      <w:pPr>
        <w:rPr>
          <w:noProof/>
          <w:sz w:val="12"/>
          <w:lang w:val="it-IT"/>
        </w:rPr>
      </w:pPr>
    </w:p>
    <w:p w:rsidR="00F07CB3" w:rsidRDefault="00F07CB3" w:rsidP="003F6B21">
      <w:pPr>
        <w:keepNext/>
        <w:numPr>
          <w:ilvl w:val="0"/>
          <w:numId w:val="47"/>
        </w:numPr>
        <w:spacing w:before="120" w:line="276" w:lineRule="auto"/>
        <w:jc w:val="both"/>
        <w:rPr>
          <w:rFonts w:ascii="Calibri" w:hAnsi="Calibri"/>
          <w:i/>
          <w:sz w:val="22"/>
          <w:lang w:val="sq-AL"/>
        </w:rPr>
      </w:pPr>
      <w:r>
        <w:rPr>
          <w:rFonts w:ascii="Calibri" w:hAnsi="Calibri"/>
          <w:i/>
          <w:sz w:val="22"/>
          <w:lang w:val="sq-AL"/>
        </w:rPr>
        <w:t xml:space="preserve">Performanca financiare e KESH </w:t>
      </w:r>
      <w:r w:rsidR="00B703A6">
        <w:rPr>
          <w:rFonts w:ascii="Calibri" w:hAnsi="Calibri"/>
          <w:i/>
          <w:sz w:val="22"/>
          <w:lang w:val="sq-AL"/>
        </w:rPr>
        <w:t>sh.a</w:t>
      </w:r>
      <w:r>
        <w:rPr>
          <w:rFonts w:ascii="Calibri" w:hAnsi="Calibri"/>
          <w:i/>
          <w:sz w:val="22"/>
          <w:lang w:val="sq-AL"/>
        </w:rPr>
        <w:t>.</w:t>
      </w:r>
    </w:p>
    <w:p w:rsidR="00F07CB3" w:rsidRPr="00F07CB3" w:rsidRDefault="00343167" w:rsidP="00F07CB3">
      <w:pPr>
        <w:spacing w:before="120" w:line="276" w:lineRule="auto"/>
        <w:jc w:val="both"/>
        <w:rPr>
          <w:rFonts w:ascii="Calibri" w:hAnsi="Calibri"/>
          <w:i/>
          <w:iCs/>
          <w:color w:val="17406D"/>
          <w:sz w:val="22"/>
          <w:szCs w:val="22"/>
          <w:lang w:val="sq-AL"/>
        </w:rPr>
      </w:pPr>
      <w:bookmarkStart w:id="129" w:name="_Toc104984087"/>
      <w:bookmarkStart w:id="130" w:name="_Toc107496759"/>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23</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KESH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29"/>
      <w:bookmarkEnd w:id="130"/>
      <w:r w:rsidR="00F07CB3">
        <w:rPr>
          <w:rFonts w:ascii="Calibri" w:hAnsi="Calibri"/>
          <w:i/>
          <w:iCs/>
          <w:color w:val="17406D"/>
          <w:sz w:val="22"/>
          <w:szCs w:val="22"/>
        </w:rPr>
        <w:fldChar w:fldCharType="begin"/>
      </w:r>
      <w:r w:rsidR="00F07CB3">
        <w:rPr>
          <w:rFonts w:ascii="Calibri" w:hAnsi="Calibri"/>
          <w:i/>
          <w:iCs/>
          <w:color w:val="17406D"/>
          <w:sz w:val="22"/>
          <w:szCs w:val="22"/>
          <w:lang w:val="sq-AL"/>
        </w:rPr>
        <w:instrText xml:space="preserve"> LINK </w:instrText>
      </w:r>
      <w:r w:rsidR="00C371C2">
        <w:rPr>
          <w:rFonts w:ascii="Calibri" w:hAnsi="Calibri"/>
          <w:i/>
          <w:iCs/>
          <w:color w:val="17406D"/>
          <w:sz w:val="22"/>
          <w:szCs w:val="22"/>
          <w:lang w:val="sq-AL"/>
        </w:rPr>
        <w:instrText xml:space="preserve">Excel.Sheet.12 "C:\\Users\\ilvis.ballvora\\Desktop\\Sectori Energjetike\\1.3 Te dhenat sektori i energjise. xlsx.xlsx" "DATA Extras 3!R122C7:R133C12" </w:instrText>
      </w:r>
      <w:r w:rsidR="00F07CB3">
        <w:rPr>
          <w:rFonts w:ascii="Calibri" w:hAnsi="Calibri"/>
          <w:i/>
          <w:iCs/>
          <w:color w:val="17406D"/>
          <w:sz w:val="22"/>
          <w:szCs w:val="22"/>
          <w:lang w:val="sq-AL"/>
        </w:rPr>
        <w:instrText xml:space="preserve">\a \f 4 \h  \* MERGEFORMAT </w:instrText>
      </w:r>
      <w:r w:rsidR="00F07CB3">
        <w:rPr>
          <w:rFonts w:ascii="Calibri" w:hAnsi="Calibri"/>
          <w:i/>
          <w:iCs/>
          <w:color w:val="17406D"/>
          <w:sz w:val="22"/>
          <w:szCs w:val="22"/>
        </w:rPr>
        <w:fldChar w:fldCharType="separate"/>
      </w:r>
    </w:p>
    <w:tbl>
      <w:tblPr>
        <w:tblW w:w="7131"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7"/>
        <w:gridCol w:w="1784"/>
        <w:gridCol w:w="1710"/>
        <w:gridCol w:w="1710"/>
      </w:tblGrid>
      <w:tr w:rsidR="0093018B" w:rsidTr="00402E3B">
        <w:trPr>
          <w:trHeight w:val="426"/>
          <w:jc w:val="center"/>
        </w:trPr>
        <w:tc>
          <w:tcPr>
            <w:tcW w:w="1927" w:type="dxa"/>
            <w:tcBorders>
              <w:top w:val="single" w:sz="24" w:space="0" w:color="95B3D7"/>
              <w:left w:val="single" w:sz="24" w:space="0" w:color="95B3D7"/>
              <w:bottom w:val="nil"/>
              <w:right w:val="nil"/>
            </w:tcBorders>
            <w:shd w:val="clear" w:color="auto" w:fill="B3DDF2"/>
            <w:noWrap/>
            <w:vAlign w:val="center"/>
            <w:hideMark/>
          </w:tcPr>
          <w:p w:rsidR="0093018B" w:rsidRDefault="0093018B" w:rsidP="0093018B">
            <w:pPr>
              <w:jc w:val="center"/>
              <w:rPr>
                <w:rFonts w:ascii="Calibri" w:hAnsi="Calibri" w:cs="Calibri"/>
                <w:color w:val="000000"/>
                <w:sz w:val="20"/>
                <w:szCs w:val="22"/>
                <w:lang w:val="sq-AL"/>
              </w:rPr>
            </w:pPr>
            <w:r>
              <w:rPr>
                <w:rFonts w:ascii="Calibri" w:hAnsi="Calibri" w:cs="Calibri"/>
                <w:b/>
                <w:color w:val="C00000"/>
                <w:sz w:val="22"/>
                <w:szCs w:val="22"/>
                <w:lang w:val="sq-AL"/>
              </w:rPr>
              <w:t>Zërat/Periudha</w:t>
            </w:r>
          </w:p>
        </w:tc>
        <w:tc>
          <w:tcPr>
            <w:tcW w:w="1784" w:type="dxa"/>
            <w:tcBorders>
              <w:top w:val="single" w:sz="24" w:space="0" w:color="95B3D7"/>
              <w:left w:val="nil"/>
              <w:bottom w:val="nil"/>
              <w:right w:val="nil"/>
            </w:tcBorders>
            <w:shd w:val="clear" w:color="auto" w:fill="B3DDF2"/>
            <w:noWrap/>
            <w:vAlign w:val="center"/>
            <w:hideMark/>
          </w:tcPr>
          <w:p w:rsidR="0093018B" w:rsidRDefault="0093018B" w:rsidP="0093018B">
            <w:pPr>
              <w:jc w:val="center"/>
              <w:rPr>
                <w:rFonts w:ascii="Calibri" w:hAnsi="Calibri" w:cs="Calibri"/>
                <w:b/>
                <w:bCs/>
                <w:color w:val="000000"/>
                <w:sz w:val="20"/>
                <w:szCs w:val="22"/>
              </w:rPr>
            </w:pPr>
            <w:r>
              <w:rPr>
                <w:rFonts w:ascii="Calibri" w:hAnsi="Calibri" w:cs="Calibri"/>
                <w:b/>
                <w:bCs/>
                <w:color w:val="C00000"/>
                <w:sz w:val="22"/>
                <w:szCs w:val="22"/>
              </w:rPr>
              <w:t>T1 2020</w:t>
            </w:r>
          </w:p>
        </w:tc>
        <w:tc>
          <w:tcPr>
            <w:tcW w:w="1710" w:type="dxa"/>
            <w:tcBorders>
              <w:top w:val="single" w:sz="24" w:space="0" w:color="95B3D7"/>
              <w:left w:val="nil"/>
              <w:bottom w:val="nil"/>
              <w:right w:val="nil"/>
            </w:tcBorders>
            <w:shd w:val="clear" w:color="auto" w:fill="B3DDF2"/>
            <w:noWrap/>
            <w:vAlign w:val="center"/>
            <w:hideMark/>
          </w:tcPr>
          <w:p w:rsidR="0093018B" w:rsidRDefault="0093018B" w:rsidP="0093018B">
            <w:pPr>
              <w:jc w:val="center"/>
              <w:rPr>
                <w:rFonts w:ascii="Calibri" w:hAnsi="Calibri" w:cs="Calibri"/>
                <w:b/>
                <w:bCs/>
                <w:color w:val="000000"/>
                <w:sz w:val="20"/>
                <w:szCs w:val="22"/>
              </w:rPr>
            </w:pPr>
            <w:r>
              <w:rPr>
                <w:rFonts w:ascii="Calibri" w:hAnsi="Calibri" w:cs="Calibri"/>
                <w:b/>
                <w:bCs/>
                <w:color w:val="C00000"/>
                <w:sz w:val="22"/>
                <w:szCs w:val="22"/>
              </w:rPr>
              <w:t>T1 2021</w:t>
            </w:r>
          </w:p>
        </w:tc>
        <w:tc>
          <w:tcPr>
            <w:tcW w:w="1710" w:type="dxa"/>
            <w:tcBorders>
              <w:top w:val="single" w:sz="24" w:space="0" w:color="95B3D7"/>
              <w:left w:val="nil"/>
              <w:bottom w:val="nil"/>
              <w:right w:val="single" w:sz="24" w:space="0" w:color="95B3D7"/>
            </w:tcBorders>
            <w:shd w:val="clear" w:color="auto" w:fill="B3DDF2"/>
            <w:noWrap/>
            <w:vAlign w:val="center"/>
            <w:hideMark/>
          </w:tcPr>
          <w:p w:rsidR="0093018B" w:rsidRDefault="0093018B" w:rsidP="0093018B">
            <w:pPr>
              <w:jc w:val="center"/>
              <w:rPr>
                <w:rFonts w:ascii="Calibri" w:hAnsi="Calibri" w:cs="Calibri"/>
                <w:b/>
                <w:bCs/>
                <w:color w:val="000000"/>
                <w:sz w:val="20"/>
                <w:szCs w:val="22"/>
              </w:rPr>
            </w:pPr>
            <w:r>
              <w:rPr>
                <w:rFonts w:ascii="Calibri" w:hAnsi="Calibri" w:cs="Calibri"/>
                <w:b/>
                <w:bCs/>
                <w:color w:val="C00000"/>
                <w:sz w:val="22"/>
                <w:szCs w:val="22"/>
              </w:rPr>
              <w:t>T1 2022</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Të ardhurat</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1,330,726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5,585,454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9,251,120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Shpenzimet</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1,616,076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5,118,573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11,695,287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b/>
                <w:bCs/>
                <w:color w:val="000000"/>
                <w:sz w:val="20"/>
                <w:szCs w:val="22"/>
              </w:rPr>
            </w:pPr>
            <w:r>
              <w:rPr>
                <w:rFonts w:ascii="Calibri" w:hAnsi="Calibri" w:cs="Calibri"/>
                <w:b/>
                <w:bCs/>
                <w:color w:val="000000"/>
                <w:sz w:val="20"/>
                <w:szCs w:val="22"/>
              </w:rPr>
              <w:t>Humbje/Fitim</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(285,350)</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466,881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(2,444,167)</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Aktivet Afatshkurtra</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77,437,596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83,517,089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80,613,342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Aktivet Afatgjata</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90,334,171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91,549,285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91,820,953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b/>
                <w:bCs/>
                <w:color w:val="000000"/>
                <w:sz w:val="20"/>
                <w:szCs w:val="22"/>
              </w:rPr>
            </w:pPr>
            <w:r>
              <w:rPr>
                <w:rFonts w:ascii="Calibri" w:hAnsi="Calibri" w:cs="Calibri"/>
                <w:b/>
                <w:bCs/>
                <w:color w:val="000000"/>
                <w:sz w:val="20"/>
                <w:szCs w:val="22"/>
              </w:rPr>
              <w:t>Total Aktive</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167,771,767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175,066,373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172,434,296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Detyrimet Afatshkurtra</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58,633,350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68,070,490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64,792,559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i/>
                <w:color w:val="000000"/>
                <w:sz w:val="18"/>
                <w:szCs w:val="22"/>
              </w:rPr>
            </w:pPr>
            <w:r>
              <w:rPr>
                <w:rFonts w:ascii="Calibri" w:hAnsi="Calibri" w:cs="Calibri"/>
                <w:i/>
                <w:color w:val="000000"/>
                <w:sz w:val="18"/>
                <w:szCs w:val="22"/>
              </w:rPr>
              <w:t>Detyrimet Afatgjata</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33,201,684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31,157,917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i/>
                <w:color w:val="000000"/>
                <w:sz w:val="18"/>
                <w:szCs w:val="22"/>
              </w:rPr>
            </w:pPr>
            <w:r>
              <w:rPr>
                <w:rFonts w:ascii="Calibri" w:hAnsi="Calibri" w:cs="Calibri"/>
                <w:i/>
                <w:color w:val="000000"/>
                <w:sz w:val="18"/>
                <w:szCs w:val="22"/>
              </w:rPr>
              <w:t xml:space="preserve">            28,711,413 </w:t>
            </w:r>
          </w:p>
        </w:tc>
      </w:tr>
      <w:tr w:rsidR="00F07CB3" w:rsidTr="00402E3B">
        <w:trPr>
          <w:trHeight w:val="160"/>
          <w:jc w:val="center"/>
        </w:trPr>
        <w:tc>
          <w:tcPr>
            <w:tcW w:w="1927" w:type="dxa"/>
            <w:tcBorders>
              <w:top w:val="nil"/>
              <w:left w:val="single" w:sz="24" w:space="0" w:color="95B3D7"/>
              <w:bottom w:val="nil"/>
              <w:right w:val="nil"/>
            </w:tcBorders>
            <w:shd w:val="clear" w:color="auto" w:fill="FFFFFF"/>
            <w:noWrap/>
            <w:vAlign w:val="center"/>
            <w:hideMark/>
          </w:tcPr>
          <w:p w:rsidR="00F07CB3" w:rsidRDefault="00F07CB3" w:rsidP="00F07CB3">
            <w:pPr>
              <w:rPr>
                <w:rFonts w:ascii="Calibri" w:hAnsi="Calibri" w:cs="Calibri"/>
                <w:b/>
                <w:bCs/>
                <w:color w:val="000000"/>
                <w:sz w:val="20"/>
                <w:szCs w:val="22"/>
              </w:rPr>
            </w:pPr>
            <w:r>
              <w:rPr>
                <w:rFonts w:ascii="Calibri" w:hAnsi="Calibri" w:cs="Calibri"/>
                <w:b/>
                <w:bCs/>
                <w:color w:val="000000"/>
                <w:sz w:val="20"/>
                <w:szCs w:val="22"/>
              </w:rPr>
              <w:t>Total Detyrime</w:t>
            </w:r>
          </w:p>
        </w:tc>
        <w:tc>
          <w:tcPr>
            <w:tcW w:w="1784"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91,835,034 </w:t>
            </w:r>
          </w:p>
        </w:tc>
        <w:tc>
          <w:tcPr>
            <w:tcW w:w="1710" w:type="dxa"/>
            <w:tcBorders>
              <w:top w:val="nil"/>
              <w:left w:val="nil"/>
              <w:bottom w:val="nil"/>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99,228,408 </w:t>
            </w:r>
          </w:p>
        </w:tc>
        <w:tc>
          <w:tcPr>
            <w:tcW w:w="1710" w:type="dxa"/>
            <w:tcBorders>
              <w:top w:val="nil"/>
              <w:left w:val="nil"/>
              <w:bottom w:val="nil"/>
              <w:right w:val="single" w:sz="24" w:space="0" w:color="95B3D7"/>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93,503,972 </w:t>
            </w:r>
          </w:p>
        </w:tc>
      </w:tr>
      <w:tr w:rsidR="00F07CB3" w:rsidTr="00402E3B">
        <w:trPr>
          <w:trHeight w:val="168"/>
          <w:jc w:val="center"/>
        </w:trPr>
        <w:tc>
          <w:tcPr>
            <w:tcW w:w="1927" w:type="dxa"/>
            <w:tcBorders>
              <w:top w:val="nil"/>
              <w:left w:val="single" w:sz="24" w:space="0" w:color="95B3D7"/>
              <w:bottom w:val="single" w:sz="24" w:space="0" w:color="95B3D7"/>
              <w:right w:val="nil"/>
            </w:tcBorders>
            <w:shd w:val="clear" w:color="auto" w:fill="FFFFFF"/>
            <w:noWrap/>
            <w:vAlign w:val="center"/>
            <w:hideMark/>
          </w:tcPr>
          <w:p w:rsidR="00F07CB3" w:rsidRDefault="00F07CB3" w:rsidP="00F07CB3">
            <w:pPr>
              <w:rPr>
                <w:rFonts w:ascii="Calibri" w:hAnsi="Calibri" w:cs="Calibri"/>
                <w:b/>
                <w:bCs/>
                <w:color w:val="000000"/>
                <w:sz w:val="20"/>
                <w:szCs w:val="22"/>
              </w:rPr>
            </w:pPr>
            <w:r>
              <w:rPr>
                <w:rFonts w:ascii="Calibri" w:hAnsi="Calibri" w:cs="Calibri"/>
                <w:b/>
                <w:bCs/>
                <w:color w:val="000000"/>
                <w:sz w:val="20"/>
                <w:szCs w:val="22"/>
              </w:rPr>
              <w:t>Kapital</w:t>
            </w:r>
          </w:p>
        </w:tc>
        <w:tc>
          <w:tcPr>
            <w:tcW w:w="1784" w:type="dxa"/>
            <w:tcBorders>
              <w:top w:val="nil"/>
              <w:left w:val="nil"/>
              <w:bottom w:val="single" w:sz="24" w:space="0" w:color="95B3D7"/>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75,936,733 </w:t>
            </w:r>
          </w:p>
        </w:tc>
        <w:tc>
          <w:tcPr>
            <w:tcW w:w="1710" w:type="dxa"/>
            <w:tcBorders>
              <w:top w:val="nil"/>
              <w:left w:val="nil"/>
              <w:bottom w:val="single" w:sz="24" w:space="0" w:color="95B3D7"/>
              <w:right w:val="nil"/>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75,837,966 </w:t>
            </w:r>
          </w:p>
        </w:tc>
        <w:tc>
          <w:tcPr>
            <w:tcW w:w="1710" w:type="dxa"/>
            <w:tcBorders>
              <w:top w:val="nil"/>
              <w:left w:val="nil"/>
              <w:bottom w:val="single" w:sz="24" w:space="0" w:color="95B3D7"/>
              <w:right w:val="single" w:sz="24" w:space="0" w:color="95B3D7"/>
            </w:tcBorders>
            <w:shd w:val="clear" w:color="auto" w:fill="FFFFFF"/>
            <w:noWrap/>
            <w:vAlign w:val="center"/>
            <w:hideMark/>
          </w:tcPr>
          <w:p w:rsidR="00F07CB3" w:rsidRDefault="00F07CB3" w:rsidP="00F07CB3">
            <w:pPr>
              <w:jc w:val="right"/>
              <w:rPr>
                <w:rFonts w:ascii="Calibri" w:hAnsi="Calibri" w:cs="Calibri"/>
                <w:b/>
                <w:i/>
                <w:color w:val="C00000"/>
                <w:sz w:val="20"/>
                <w:szCs w:val="20"/>
              </w:rPr>
            </w:pPr>
            <w:r>
              <w:rPr>
                <w:rFonts w:ascii="Calibri" w:hAnsi="Calibri" w:cs="Calibri"/>
                <w:b/>
                <w:i/>
                <w:color w:val="C00000"/>
                <w:sz w:val="20"/>
                <w:szCs w:val="20"/>
              </w:rPr>
              <w:t xml:space="preserve">            78,930,323 </w:t>
            </w:r>
          </w:p>
        </w:tc>
      </w:tr>
    </w:tbl>
    <w:p w:rsidR="00F07CB3" w:rsidRDefault="00F07CB3" w:rsidP="00F07CB3">
      <w:pPr>
        <w:spacing w:before="240" w:line="360" w:lineRule="auto"/>
        <w:ind w:left="720" w:firstLine="720"/>
        <w:contextualSpacing/>
        <w:rPr>
          <w:rFonts w:ascii="Calibri" w:hAnsi="Calibri"/>
          <w:i/>
          <w:sz w:val="20"/>
          <w:szCs w:val="20"/>
          <w:lang w:val="sq-AL"/>
        </w:rPr>
      </w:pPr>
      <w:r>
        <w:rPr>
          <w:rFonts w:ascii="Calibri" w:hAnsi="Calibri"/>
          <w:sz w:val="22"/>
        </w:rPr>
        <w:fldChar w:fldCharType="end"/>
      </w:r>
      <w:r>
        <w:rPr>
          <w:rFonts w:ascii="Calibri" w:hAnsi="Calibri"/>
          <w:i/>
          <w:sz w:val="20"/>
          <w:szCs w:val="20"/>
          <w:lang w:val="sq-AL"/>
        </w:rPr>
        <w:t xml:space="preserve">Burimi: KESH </w:t>
      </w:r>
      <w:r w:rsidR="00B703A6">
        <w:rPr>
          <w:rFonts w:ascii="Calibri" w:hAnsi="Calibri"/>
          <w:i/>
          <w:sz w:val="20"/>
          <w:szCs w:val="20"/>
          <w:lang w:val="sq-AL"/>
        </w:rPr>
        <w:t>sh.a</w:t>
      </w:r>
      <w:r>
        <w:rPr>
          <w:rFonts w:ascii="Calibri" w:hAnsi="Calibri"/>
          <w:i/>
          <w:sz w:val="20"/>
          <w:szCs w:val="20"/>
          <w:lang w:val="sq-AL"/>
        </w:rPr>
        <w:t xml:space="preserve">. </w:t>
      </w:r>
    </w:p>
    <w:p w:rsidR="00F07CB3" w:rsidRDefault="00F07CB3" w:rsidP="003F6B21">
      <w:pPr>
        <w:keepNext/>
        <w:numPr>
          <w:ilvl w:val="0"/>
          <w:numId w:val="47"/>
        </w:numPr>
        <w:spacing w:before="120" w:line="276" w:lineRule="auto"/>
        <w:jc w:val="both"/>
        <w:rPr>
          <w:rFonts w:ascii="Calibri" w:hAnsi="Calibri"/>
          <w:i/>
          <w:sz w:val="22"/>
          <w:lang w:val="sq-AL"/>
        </w:rPr>
      </w:pPr>
      <w:r>
        <w:rPr>
          <w:rFonts w:ascii="Calibri" w:hAnsi="Calibri"/>
          <w:i/>
          <w:sz w:val="22"/>
          <w:lang w:val="sq-AL"/>
        </w:rPr>
        <w:t xml:space="preserve">Performanca financiare e OST </w:t>
      </w:r>
      <w:r w:rsidR="00B703A6">
        <w:rPr>
          <w:rFonts w:ascii="Calibri" w:hAnsi="Calibri"/>
          <w:i/>
          <w:sz w:val="22"/>
          <w:lang w:val="sq-AL"/>
        </w:rPr>
        <w:t>sh.a</w:t>
      </w:r>
      <w:r>
        <w:rPr>
          <w:rFonts w:ascii="Calibri" w:hAnsi="Calibri"/>
          <w:i/>
          <w:sz w:val="22"/>
          <w:lang w:val="sq-AL"/>
        </w:rPr>
        <w:t>.</w:t>
      </w:r>
    </w:p>
    <w:p w:rsidR="00F07CB3" w:rsidRPr="00F07CB3" w:rsidRDefault="00343167" w:rsidP="00F07CB3">
      <w:pPr>
        <w:spacing w:before="120"/>
        <w:jc w:val="both"/>
        <w:rPr>
          <w:rFonts w:ascii="Calibri" w:hAnsi="Calibri" w:cs="Calibri"/>
          <w:i/>
          <w:iCs/>
          <w:color w:val="17406D"/>
          <w:sz w:val="22"/>
          <w:szCs w:val="22"/>
          <w:lang w:val="sq-AL"/>
        </w:rPr>
      </w:pPr>
      <w:bookmarkStart w:id="131" w:name="_Toc104984088"/>
      <w:bookmarkStart w:id="132" w:name="_Toc107496760"/>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24</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OST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31"/>
      <w:bookmarkEnd w:id="132"/>
      <w:r w:rsidR="00F07CB3">
        <w:rPr>
          <w:rFonts w:ascii="Calibri" w:hAnsi="Calibri"/>
          <w:i/>
          <w:iCs/>
          <w:color w:val="17406D"/>
          <w:sz w:val="22"/>
          <w:szCs w:val="22"/>
          <w:highlight w:val="yellow"/>
          <w:lang w:val="sq-AL"/>
        </w:rPr>
        <w:fldChar w:fldCharType="begin"/>
      </w:r>
      <w:r w:rsidR="00F07CB3">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F07CB3">
        <w:rPr>
          <w:rFonts w:ascii="Calibri" w:hAnsi="Calibri"/>
          <w:i/>
          <w:iCs/>
          <w:color w:val="17406D"/>
          <w:sz w:val="22"/>
          <w:szCs w:val="22"/>
          <w:highlight w:val="yellow"/>
          <w:lang w:val="sq-AL"/>
        </w:rPr>
        <w:instrText xml:space="preserve">\a \f 4 \h  \* MERGEFORMAT </w:instrText>
      </w:r>
      <w:r w:rsidR="00F07CB3">
        <w:rPr>
          <w:rFonts w:ascii="Calibri" w:hAnsi="Calibri"/>
          <w:i/>
          <w:iCs/>
          <w:color w:val="17406D"/>
          <w:sz w:val="22"/>
          <w:szCs w:val="22"/>
          <w:highlight w:val="yellow"/>
          <w:lang w:val="sq-AL"/>
        </w:rPr>
        <w:fldChar w:fldCharType="separate"/>
      </w:r>
    </w:p>
    <w:tbl>
      <w:tblPr>
        <w:tblW w:w="72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tblGrid>
      <w:tr w:rsidR="0093018B" w:rsidTr="00402E3B">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rsidR="0093018B" w:rsidRPr="005F1541" w:rsidRDefault="0093018B" w:rsidP="0093018B">
            <w:pPr>
              <w:jc w:val="center"/>
              <w:rPr>
                <w:rFonts w:ascii="Calibri" w:hAnsi="Calibri" w:cs="Calibri"/>
                <w:color w:val="000000"/>
                <w:sz w:val="18"/>
                <w:szCs w:val="20"/>
                <w:lang w:val="sq-AL"/>
              </w:rPr>
            </w:pPr>
            <w:r w:rsidRPr="005F1541">
              <w:rPr>
                <w:rFonts w:ascii="Calibri" w:hAnsi="Calibri" w:cs="Calibri"/>
                <w:b/>
                <w:color w:val="C00000"/>
                <w:sz w:val="18"/>
                <w:szCs w:val="20"/>
                <w:lang w:val="sq-AL"/>
              </w:rPr>
              <w:t>Zërat/Periudha</w:t>
            </w:r>
          </w:p>
        </w:tc>
        <w:tc>
          <w:tcPr>
            <w:tcW w:w="1751" w:type="dxa"/>
            <w:tcBorders>
              <w:top w:val="single" w:sz="24" w:space="0" w:color="95B3D7"/>
              <w:left w:val="nil"/>
              <w:bottom w:val="nil"/>
              <w:right w:val="nil"/>
            </w:tcBorders>
            <w:shd w:val="clear" w:color="auto" w:fill="B3DDF2"/>
            <w:noWrap/>
            <w:vAlign w:val="center"/>
            <w:hideMark/>
          </w:tcPr>
          <w:p w:rsidR="0093018B" w:rsidRPr="0093018B" w:rsidRDefault="0093018B" w:rsidP="0093018B">
            <w:pPr>
              <w:jc w:val="center"/>
              <w:rPr>
                <w:rFonts w:ascii="Calibri" w:hAnsi="Calibri" w:cs="Calibri"/>
                <w:b/>
                <w:bCs/>
                <w:color w:val="000000"/>
                <w:sz w:val="20"/>
                <w:szCs w:val="20"/>
              </w:rPr>
            </w:pPr>
            <w:r w:rsidRPr="0093018B">
              <w:rPr>
                <w:rFonts w:ascii="Calibri" w:hAnsi="Calibri" w:cs="Calibri"/>
                <w:b/>
                <w:bCs/>
                <w:color w:val="C00000"/>
                <w:sz w:val="20"/>
                <w:szCs w:val="22"/>
              </w:rPr>
              <w:t>T1 2020</w:t>
            </w:r>
          </w:p>
        </w:tc>
        <w:tc>
          <w:tcPr>
            <w:tcW w:w="1745" w:type="dxa"/>
            <w:tcBorders>
              <w:top w:val="single" w:sz="24" w:space="0" w:color="95B3D7"/>
              <w:left w:val="nil"/>
              <w:bottom w:val="nil"/>
              <w:right w:val="nil"/>
            </w:tcBorders>
            <w:shd w:val="clear" w:color="auto" w:fill="B3DDF2"/>
            <w:noWrap/>
            <w:vAlign w:val="center"/>
            <w:hideMark/>
          </w:tcPr>
          <w:p w:rsidR="0093018B" w:rsidRPr="0093018B" w:rsidRDefault="0093018B" w:rsidP="0093018B">
            <w:pPr>
              <w:jc w:val="center"/>
              <w:rPr>
                <w:rFonts w:ascii="Calibri" w:hAnsi="Calibri" w:cs="Calibri"/>
                <w:b/>
                <w:bCs/>
                <w:color w:val="000000"/>
                <w:sz w:val="20"/>
                <w:szCs w:val="20"/>
              </w:rPr>
            </w:pPr>
            <w:r w:rsidRPr="0093018B">
              <w:rPr>
                <w:rFonts w:ascii="Calibri" w:hAnsi="Calibri" w:cs="Calibri"/>
                <w:b/>
                <w:bCs/>
                <w:color w:val="C00000"/>
                <w:sz w:val="20"/>
                <w:szCs w:val="22"/>
              </w:rPr>
              <w:t>T1 2021</w:t>
            </w:r>
          </w:p>
        </w:tc>
        <w:tc>
          <w:tcPr>
            <w:tcW w:w="1800" w:type="dxa"/>
            <w:tcBorders>
              <w:top w:val="single" w:sz="24" w:space="0" w:color="95B3D7"/>
              <w:left w:val="nil"/>
              <w:bottom w:val="nil"/>
              <w:right w:val="single" w:sz="24" w:space="0" w:color="95B3D7"/>
            </w:tcBorders>
            <w:shd w:val="clear" w:color="auto" w:fill="B3DDF2"/>
            <w:noWrap/>
            <w:vAlign w:val="center"/>
            <w:hideMark/>
          </w:tcPr>
          <w:p w:rsidR="0093018B" w:rsidRPr="0093018B" w:rsidRDefault="0093018B" w:rsidP="0093018B">
            <w:pPr>
              <w:jc w:val="center"/>
              <w:rPr>
                <w:rFonts w:ascii="Calibri" w:hAnsi="Calibri" w:cs="Calibri"/>
                <w:b/>
                <w:bCs/>
                <w:color w:val="000000"/>
                <w:sz w:val="20"/>
                <w:szCs w:val="20"/>
              </w:rPr>
            </w:pPr>
            <w:r w:rsidRPr="0093018B">
              <w:rPr>
                <w:rFonts w:ascii="Calibri" w:hAnsi="Calibri" w:cs="Calibri"/>
                <w:b/>
                <w:bCs/>
                <w:color w:val="C00000"/>
                <w:sz w:val="20"/>
                <w:szCs w:val="22"/>
              </w:rPr>
              <w:t>T1 2022</w:t>
            </w:r>
          </w:p>
        </w:tc>
      </w:tr>
      <w:tr w:rsidR="00F07CB3" w:rsidTr="00402E3B">
        <w:trPr>
          <w:trHeight w:val="240"/>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1,882,209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1,905,813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2,770,662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3,679,425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1,802,663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2,883,700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5F1541">
            <w:pPr>
              <w:jc w:val="center"/>
              <w:rPr>
                <w:rFonts w:ascii="Calibri" w:hAnsi="Calibri" w:cs="Calibri"/>
                <w:b/>
                <w:bCs/>
                <w:color w:val="000000"/>
                <w:sz w:val="18"/>
                <w:szCs w:val="20"/>
              </w:rPr>
            </w:pPr>
            <w:r w:rsidRPr="005F1541">
              <w:rPr>
                <w:rFonts w:ascii="Calibri" w:hAnsi="Calibri" w:cs="Calibri"/>
                <w:b/>
                <w:bCs/>
                <w:color w:val="000000"/>
                <w:sz w:val="18"/>
                <w:szCs w:val="20"/>
              </w:rPr>
              <w:t>Humbje/Fitim</w:t>
            </w:r>
          </w:p>
        </w:tc>
        <w:tc>
          <w:tcPr>
            <w:tcW w:w="1751"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(1,797,216)</w:t>
            </w:r>
          </w:p>
        </w:tc>
        <w:tc>
          <w:tcPr>
            <w:tcW w:w="1745"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103,150</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(113,037)</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18,574,275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21,498,065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18,223,864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53,874,419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54,073,729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63,760,203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5F1541">
            <w:pPr>
              <w:jc w:val="center"/>
              <w:rPr>
                <w:rFonts w:ascii="Calibri" w:hAnsi="Calibri" w:cs="Calibri"/>
                <w:b/>
                <w:bCs/>
                <w:color w:val="000000"/>
                <w:sz w:val="18"/>
                <w:szCs w:val="20"/>
              </w:rPr>
            </w:pPr>
            <w:r w:rsidRPr="005F1541">
              <w:rPr>
                <w:rFonts w:ascii="Calibri" w:hAnsi="Calibri" w:cs="Calibri"/>
                <w:b/>
                <w:bCs/>
                <w:color w:val="000000"/>
                <w:sz w:val="18"/>
                <w:szCs w:val="20"/>
              </w:rPr>
              <w:t>Total Aktive</w:t>
            </w:r>
          </w:p>
        </w:tc>
        <w:tc>
          <w:tcPr>
            <w:tcW w:w="1751"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72,448,694</w:t>
            </w:r>
          </w:p>
        </w:tc>
        <w:tc>
          <w:tcPr>
            <w:tcW w:w="1745"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75,571,795</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81,984,067</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21,201,268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23,186,705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28,336,816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F07CB3">
            <w:pPr>
              <w:rPr>
                <w:rFonts w:ascii="Calibri" w:hAnsi="Calibri" w:cs="Calibri"/>
                <w:i/>
                <w:color w:val="000000"/>
                <w:sz w:val="18"/>
                <w:szCs w:val="20"/>
              </w:rPr>
            </w:pPr>
            <w:r w:rsidRPr="005F1541">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21,116,985 </w:t>
            </w:r>
          </w:p>
        </w:tc>
        <w:tc>
          <w:tcPr>
            <w:tcW w:w="1745" w:type="dxa"/>
            <w:tcBorders>
              <w:top w:val="nil"/>
              <w:left w:val="nil"/>
              <w:bottom w:val="nil"/>
              <w:right w:val="nil"/>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19,001,032 </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F07CB3">
            <w:pPr>
              <w:jc w:val="right"/>
              <w:rPr>
                <w:rFonts w:ascii="Calibri" w:hAnsi="Calibri" w:cs="Calibri"/>
                <w:i/>
                <w:color w:val="000000"/>
                <w:sz w:val="18"/>
                <w:szCs w:val="20"/>
              </w:rPr>
            </w:pPr>
            <w:r w:rsidRPr="005F1541">
              <w:rPr>
                <w:rFonts w:ascii="Calibri" w:hAnsi="Calibri" w:cs="Calibri"/>
                <w:i/>
                <w:color w:val="000000"/>
                <w:sz w:val="18"/>
                <w:szCs w:val="20"/>
              </w:rPr>
              <w:t xml:space="preserve">            19,830,925 </w:t>
            </w:r>
          </w:p>
        </w:tc>
      </w:tr>
      <w:tr w:rsidR="00F07CB3" w:rsidTr="00402E3B">
        <w:trPr>
          <w:trHeight w:val="228"/>
          <w:jc w:val="center"/>
        </w:trPr>
        <w:tc>
          <w:tcPr>
            <w:tcW w:w="1920" w:type="dxa"/>
            <w:tcBorders>
              <w:top w:val="nil"/>
              <w:left w:val="single" w:sz="24" w:space="0" w:color="95B3D7"/>
              <w:bottom w:val="nil"/>
              <w:right w:val="nil"/>
            </w:tcBorders>
            <w:shd w:val="clear" w:color="auto" w:fill="FFFFFF"/>
            <w:noWrap/>
            <w:vAlign w:val="center"/>
            <w:hideMark/>
          </w:tcPr>
          <w:p w:rsidR="00F07CB3" w:rsidRPr="005F1541" w:rsidRDefault="00F07CB3" w:rsidP="005F1541">
            <w:pPr>
              <w:jc w:val="center"/>
              <w:rPr>
                <w:rFonts w:ascii="Calibri" w:hAnsi="Calibri" w:cs="Calibri"/>
                <w:b/>
                <w:bCs/>
                <w:color w:val="000000"/>
                <w:sz w:val="18"/>
                <w:szCs w:val="20"/>
              </w:rPr>
            </w:pPr>
            <w:r w:rsidRPr="005F1541">
              <w:rPr>
                <w:rFonts w:ascii="Calibri" w:hAnsi="Calibri" w:cs="Calibri"/>
                <w:b/>
                <w:bCs/>
                <w:color w:val="000000"/>
                <w:sz w:val="18"/>
                <w:szCs w:val="20"/>
              </w:rPr>
              <w:t>Total Detyrime</w:t>
            </w:r>
          </w:p>
        </w:tc>
        <w:tc>
          <w:tcPr>
            <w:tcW w:w="1751"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42,318,253</w:t>
            </w:r>
          </w:p>
        </w:tc>
        <w:tc>
          <w:tcPr>
            <w:tcW w:w="1745" w:type="dxa"/>
            <w:tcBorders>
              <w:top w:val="nil"/>
              <w:left w:val="nil"/>
              <w:bottom w:val="nil"/>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42,187,738</w:t>
            </w:r>
          </w:p>
        </w:tc>
        <w:tc>
          <w:tcPr>
            <w:tcW w:w="1800" w:type="dxa"/>
            <w:tcBorders>
              <w:top w:val="nil"/>
              <w:left w:val="nil"/>
              <w:bottom w:val="nil"/>
              <w:right w:val="single" w:sz="24" w:space="0" w:color="95B3D7"/>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48,167,741</w:t>
            </w:r>
          </w:p>
        </w:tc>
      </w:tr>
      <w:tr w:rsidR="00F07CB3" w:rsidTr="00402E3B">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rsidR="00F07CB3" w:rsidRPr="005F1541" w:rsidRDefault="00F07CB3" w:rsidP="005F1541">
            <w:pPr>
              <w:jc w:val="center"/>
              <w:rPr>
                <w:rFonts w:ascii="Calibri" w:hAnsi="Calibri" w:cs="Calibri"/>
                <w:b/>
                <w:bCs/>
                <w:color w:val="000000"/>
                <w:sz w:val="18"/>
                <w:szCs w:val="20"/>
              </w:rPr>
            </w:pPr>
            <w:r w:rsidRPr="005F1541">
              <w:rPr>
                <w:rFonts w:ascii="Calibri" w:hAnsi="Calibri" w:cs="Calibri"/>
                <w:b/>
                <w:bCs/>
                <w:color w:val="000000"/>
                <w:sz w:val="18"/>
                <w:szCs w:val="20"/>
              </w:rPr>
              <w:t>Kapital</w:t>
            </w:r>
          </w:p>
        </w:tc>
        <w:tc>
          <w:tcPr>
            <w:tcW w:w="1751" w:type="dxa"/>
            <w:tcBorders>
              <w:top w:val="nil"/>
              <w:left w:val="nil"/>
              <w:bottom w:val="single" w:sz="24" w:space="0" w:color="95B3D7"/>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30,130,440</w:t>
            </w:r>
          </w:p>
        </w:tc>
        <w:tc>
          <w:tcPr>
            <w:tcW w:w="1745" w:type="dxa"/>
            <w:tcBorders>
              <w:top w:val="nil"/>
              <w:left w:val="nil"/>
              <w:bottom w:val="single" w:sz="24" w:space="0" w:color="95B3D7"/>
              <w:right w:val="nil"/>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33,384,057</w:t>
            </w:r>
          </w:p>
        </w:tc>
        <w:tc>
          <w:tcPr>
            <w:tcW w:w="1800" w:type="dxa"/>
            <w:tcBorders>
              <w:top w:val="nil"/>
              <w:left w:val="nil"/>
              <w:bottom w:val="single" w:sz="24" w:space="0" w:color="95B3D7"/>
              <w:right w:val="single" w:sz="24" w:space="0" w:color="95B3D7"/>
            </w:tcBorders>
            <w:shd w:val="clear" w:color="auto" w:fill="FFFFFF"/>
            <w:noWrap/>
            <w:vAlign w:val="center"/>
            <w:hideMark/>
          </w:tcPr>
          <w:p w:rsidR="00F07CB3" w:rsidRPr="005F1541" w:rsidRDefault="00F07CB3" w:rsidP="005F1541">
            <w:pPr>
              <w:jc w:val="center"/>
              <w:rPr>
                <w:rFonts w:ascii="Calibri" w:hAnsi="Calibri" w:cs="Calibri"/>
                <w:b/>
                <w:i/>
                <w:color w:val="C00000"/>
                <w:sz w:val="18"/>
                <w:szCs w:val="20"/>
              </w:rPr>
            </w:pPr>
            <w:r w:rsidRPr="005F1541">
              <w:rPr>
                <w:rFonts w:ascii="Calibri" w:hAnsi="Calibri" w:cs="Calibri"/>
                <w:b/>
                <w:i/>
                <w:color w:val="C00000"/>
                <w:sz w:val="18"/>
                <w:szCs w:val="20"/>
              </w:rPr>
              <w:t>33,816,326</w:t>
            </w:r>
          </w:p>
        </w:tc>
      </w:tr>
    </w:tbl>
    <w:p w:rsidR="00F07CB3" w:rsidRDefault="00F07CB3" w:rsidP="00F07CB3">
      <w:pPr>
        <w:spacing w:before="240"/>
        <w:ind w:left="720" w:firstLine="72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OST </w:t>
      </w:r>
      <w:r w:rsidR="00B703A6">
        <w:rPr>
          <w:rFonts w:ascii="Calibri" w:hAnsi="Calibri"/>
          <w:i/>
          <w:sz w:val="20"/>
          <w:szCs w:val="20"/>
          <w:lang w:val="sq-AL"/>
        </w:rPr>
        <w:t>sh.a</w:t>
      </w:r>
      <w:r>
        <w:rPr>
          <w:rFonts w:ascii="Calibri" w:hAnsi="Calibri"/>
          <w:i/>
          <w:sz w:val="20"/>
          <w:szCs w:val="20"/>
          <w:lang w:val="sq-AL"/>
        </w:rPr>
        <w:t>.</w:t>
      </w:r>
    </w:p>
    <w:p w:rsidR="001E7F35" w:rsidRDefault="001E7F35" w:rsidP="00F07CB3">
      <w:pPr>
        <w:spacing w:before="240"/>
        <w:ind w:left="720" w:firstLine="720"/>
        <w:contextualSpacing/>
        <w:jc w:val="both"/>
        <w:rPr>
          <w:rFonts w:ascii="Calibri" w:hAnsi="Calibri"/>
          <w:i/>
          <w:sz w:val="20"/>
          <w:szCs w:val="20"/>
          <w:lang w:val="sq-AL"/>
        </w:rPr>
      </w:pPr>
    </w:p>
    <w:p w:rsidR="00001086" w:rsidRDefault="00001086" w:rsidP="00F07CB3">
      <w:pPr>
        <w:spacing w:before="240"/>
        <w:ind w:left="720" w:firstLine="720"/>
        <w:contextualSpacing/>
        <w:jc w:val="both"/>
        <w:rPr>
          <w:rFonts w:ascii="Calibri" w:hAnsi="Calibri"/>
          <w:i/>
          <w:sz w:val="20"/>
          <w:szCs w:val="20"/>
          <w:lang w:val="sq-AL"/>
        </w:rPr>
      </w:pPr>
    </w:p>
    <w:p w:rsidR="0093018B" w:rsidRDefault="0093018B" w:rsidP="00F07CB3">
      <w:pPr>
        <w:spacing w:before="240"/>
        <w:ind w:left="720" w:firstLine="720"/>
        <w:contextualSpacing/>
        <w:jc w:val="both"/>
        <w:rPr>
          <w:rFonts w:ascii="Calibri" w:hAnsi="Calibri"/>
          <w:i/>
          <w:sz w:val="20"/>
          <w:szCs w:val="20"/>
          <w:lang w:val="sq-AL"/>
        </w:rPr>
      </w:pPr>
    </w:p>
    <w:p w:rsidR="0093018B" w:rsidRDefault="0093018B" w:rsidP="00F07CB3">
      <w:pPr>
        <w:spacing w:before="240"/>
        <w:ind w:left="720" w:firstLine="720"/>
        <w:contextualSpacing/>
        <w:jc w:val="both"/>
        <w:rPr>
          <w:rFonts w:ascii="Calibri" w:hAnsi="Calibri"/>
          <w:i/>
          <w:sz w:val="20"/>
          <w:szCs w:val="20"/>
          <w:lang w:val="sq-AL"/>
        </w:rPr>
      </w:pPr>
    </w:p>
    <w:p w:rsidR="00F07CB3" w:rsidRPr="0093018B" w:rsidRDefault="001E7F35" w:rsidP="0093018B">
      <w:pPr>
        <w:pStyle w:val="Heading2"/>
        <w:numPr>
          <w:ilvl w:val="0"/>
          <w:numId w:val="53"/>
        </w:numPr>
        <w:ind w:left="360"/>
        <w:rPr>
          <w:sz w:val="26"/>
          <w:szCs w:val="26"/>
        </w:rPr>
      </w:pPr>
      <w:bookmarkStart w:id="133" w:name="_Toc104980348"/>
      <w:bookmarkStart w:id="134" w:name="_Toc107496998"/>
      <w:r w:rsidRPr="0093018B">
        <w:rPr>
          <w:sz w:val="26"/>
          <w:szCs w:val="26"/>
        </w:rPr>
        <w:lastRenderedPageBreak/>
        <w:t>Ndërmarrjet shtetërore – Sektori i</w:t>
      </w:r>
      <w:r w:rsidR="00F07CB3" w:rsidRPr="0093018B">
        <w:rPr>
          <w:sz w:val="26"/>
          <w:szCs w:val="26"/>
        </w:rPr>
        <w:t xml:space="preserve"> Ujësjellës-Kanalizimeve</w:t>
      </w:r>
      <w:bookmarkEnd w:id="133"/>
      <w:bookmarkEnd w:id="134"/>
    </w:p>
    <w:p w:rsidR="00001086" w:rsidRDefault="00F07CB3" w:rsidP="001E7F35">
      <w:pPr>
        <w:contextualSpacing/>
        <w:jc w:val="both"/>
        <w:rPr>
          <w:rFonts w:asciiTheme="minorHAnsi" w:hAnsiTheme="minorHAnsi"/>
          <w:bCs/>
          <w:lang w:val="sq-AL" w:eastAsia="sq-AL"/>
        </w:rPr>
      </w:pPr>
      <w:r>
        <w:rPr>
          <w:rFonts w:asciiTheme="minorHAnsi" w:hAnsiTheme="minorHAnsi"/>
          <w:bCs/>
          <w:lang w:val="sq-AL" w:eastAsia="sq-AL"/>
        </w:rPr>
        <w:t xml:space="preserve">Në kuadër të përmirësimit të monitorimit të ndërmarrjeve shtetërore, Ministria e Financave dhe Ekonomisë, përmes Sektorit të Monitorimit të Risqeve, ka monitoruar disa tregues kryesorë financiarë të ndërmarrjeve të Ujësjellës Kanalizime. Treguesit kryesorë të performancës për </w:t>
      </w:r>
      <w:r w:rsidR="0093018B">
        <w:rPr>
          <w:rFonts w:asciiTheme="minorHAnsi" w:hAnsiTheme="minorHAnsi"/>
          <w:bCs/>
          <w:lang w:val="sq-AL" w:eastAsia="sq-AL"/>
        </w:rPr>
        <w:t>T1</w:t>
      </w:r>
      <w:r>
        <w:rPr>
          <w:rFonts w:asciiTheme="minorHAnsi" w:hAnsiTheme="minorHAnsi"/>
          <w:bCs/>
          <w:lang w:val="sq-AL" w:eastAsia="sq-AL"/>
        </w:rPr>
        <w:t xml:space="preserve"> 2022 për ndërmarrjet e U-K të analizuar, tregojnë për një  vijimësi të gjendjes ekzistuese financiare dhe vështirësi në pagimin e detyrimeve dhe mbledhjen e të ardhurave të faturuara korente dhe të prapambetura, duke sinjalizuar probleme potenciale të likuiditetit në periudhën afashkurtër, krahasuar me vitin 2021. </w:t>
      </w:r>
      <w:r w:rsidR="0093018B" w:rsidRPr="00A640A9">
        <w:rPr>
          <w:rFonts w:asciiTheme="minorHAnsi" w:hAnsiTheme="minorHAnsi"/>
          <w:bCs/>
          <w:lang w:val="sq-AL" w:eastAsia="sq-AL"/>
        </w:rPr>
        <w:t>Impakt të konsiderueshëm në vështirësitë financiare të ndërmarrjeve U-K patën edhe pasojat nga pandemia COVID19. Ndërkohë, në ligjin nr. 115, datë 25.11.2021, “Për buxhetin e vitit 2022”, ndryshuar me Aktin Normativ nr. 3, datë 12.03.2022, është planifikuar fondi prej  360 milion LEK, alokuar në strukturën buxhetore të Ministrisë së Infrastrukturës dhe Energjisë, i cili detajohet nga AKUM/MIE bazuar në kriteret e përcaktuara në Udhëzimin “</w:t>
      </w:r>
      <w:r w:rsidR="0093018B" w:rsidRPr="0093018B">
        <w:rPr>
          <w:rStyle w:val="fontstyle01"/>
          <w:rFonts w:asciiTheme="minorHAnsi" w:eastAsiaTheme="majorEastAsia" w:hAnsiTheme="minorHAnsi"/>
          <w:b w:val="0"/>
          <w:i/>
          <w:lang w:val="sq-AL"/>
        </w:rPr>
        <w:t>Për miratimin e metodologjisë për kriteret dhe</w:t>
      </w:r>
      <w:r w:rsidR="0093018B" w:rsidRPr="0093018B">
        <w:rPr>
          <w:rFonts w:asciiTheme="minorHAnsi" w:hAnsiTheme="minorHAnsi"/>
          <w:b/>
          <w:bCs/>
          <w:i/>
          <w:color w:val="000000"/>
          <w:lang w:val="sq-AL"/>
        </w:rPr>
        <w:t xml:space="preserve"> </w:t>
      </w:r>
      <w:r w:rsidR="0093018B" w:rsidRPr="0093018B">
        <w:rPr>
          <w:rStyle w:val="fontstyle01"/>
          <w:rFonts w:asciiTheme="minorHAnsi" w:eastAsiaTheme="majorEastAsia" w:hAnsiTheme="minorHAnsi"/>
          <w:b w:val="0"/>
          <w:i/>
          <w:lang w:val="sq-AL"/>
        </w:rPr>
        <w:t>procedurat, për shpërndarjen dhe përdorimin e</w:t>
      </w:r>
      <w:r w:rsidR="0093018B" w:rsidRPr="0093018B">
        <w:rPr>
          <w:rFonts w:asciiTheme="minorHAnsi" w:hAnsiTheme="minorHAnsi"/>
          <w:b/>
          <w:bCs/>
          <w:i/>
          <w:color w:val="000000"/>
          <w:lang w:val="sq-AL"/>
        </w:rPr>
        <w:t xml:space="preserve"> </w:t>
      </w:r>
      <w:r w:rsidR="0093018B" w:rsidRPr="0093018B">
        <w:rPr>
          <w:rStyle w:val="fontstyle01"/>
          <w:rFonts w:asciiTheme="minorHAnsi" w:eastAsiaTheme="majorEastAsia" w:hAnsiTheme="minorHAnsi"/>
          <w:b w:val="0"/>
          <w:i/>
          <w:lang w:val="sq-AL"/>
        </w:rPr>
        <w:t>subvencioneve shtetërore, për shoqëritë aksionare të</w:t>
      </w:r>
      <w:r w:rsidR="0093018B" w:rsidRPr="0093018B">
        <w:rPr>
          <w:rFonts w:asciiTheme="minorHAnsi" w:hAnsiTheme="minorHAnsi"/>
          <w:b/>
          <w:bCs/>
          <w:i/>
          <w:color w:val="000000"/>
          <w:lang w:val="sq-AL"/>
        </w:rPr>
        <w:t xml:space="preserve"> </w:t>
      </w:r>
      <w:r w:rsidR="0093018B" w:rsidRPr="0093018B">
        <w:rPr>
          <w:rStyle w:val="fontstyle01"/>
          <w:rFonts w:asciiTheme="minorHAnsi" w:eastAsiaTheme="majorEastAsia" w:hAnsiTheme="minorHAnsi"/>
          <w:b w:val="0"/>
          <w:i/>
          <w:lang w:val="sq-AL"/>
        </w:rPr>
        <w:t>ujësjellës-kanalizimeve</w:t>
      </w:r>
      <w:r w:rsidR="0093018B" w:rsidRPr="00A640A9">
        <w:rPr>
          <w:rStyle w:val="fontstyle01"/>
          <w:rFonts w:asciiTheme="minorHAnsi" w:eastAsiaTheme="majorEastAsia" w:hAnsiTheme="minorHAnsi"/>
          <w:b w:val="0"/>
          <w:lang w:val="sq-AL"/>
        </w:rPr>
        <w:t>...”</w:t>
      </w:r>
      <w:r w:rsidR="0093018B" w:rsidRPr="00A640A9">
        <w:rPr>
          <w:rFonts w:asciiTheme="minorHAnsi" w:hAnsiTheme="minorHAnsi"/>
          <w:bCs/>
          <w:lang w:val="sq-AL" w:eastAsia="sq-AL"/>
        </w:rPr>
        <w:t>,</w:t>
      </w:r>
      <w:r w:rsidR="0093018B" w:rsidRPr="00A640A9">
        <w:rPr>
          <w:rFonts w:asciiTheme="minorHAnsi" w:hAnsiTheme="minorHAnsi"/>
          <w:b/>
          <w:bCs/>
          <w:lang w:val="sq-AL" w:eastAsia="sq-AL"/>
        </w:rPr>
        <w:t xml:space="preserve"> </w:t>
      </w:r>
      <w:r w:rsidR="0093018B" w:rsidRPr="00A640A9">
        <w:rPr>
          <w:rFonts w:asciiTheme="minorHAnsi" w:hAnsiTheme="minorHAnsi"/>
          <w:bCs/>
          <w:lang w:val="sq-AL" w:eastAsia="sq-AL"/>
        </w:rPr>
        <w:t>miratuar nga Ministri përgjegjës pë Infrastrukturën dhe Energjinë. Ky subvencion akordohet për ndërmarrjet të cilat nuk arrijnë të mbulojnë kostot/shpenzimet e operimit dhe mirëmbajtjes</w:t>
      </w:r>
      <w:r>
        <w:rPr>
          <w:rFonts w:asciiTheme="minorHAnsi" w:hAnsiTheme="minorHAnsi"/>
          <w:bCs/>
          <w:lang w:val="sq-AL" w:eastAsia="sq-AL"/>
        </w:rPr>
        <w:t xml:space="preserve">. </w:t>
      </w:r>
    </w:p>
    <w:p w:rsidR="001E7F35" w:rsidRPr="001E7F35" w:rsidRDefault="001E7F35" w:rsidP="001E7F35">
      <w:pPr>
        <w:spacing w:before="240"/>
        <w:contextualSpacing/>
        <w:jc w:val="both"/>
        <w:rPr>
          <w:rFonts w:asciiTheme="minorHAnsi" w:hAnsiTheme="minorHAnsi"/>
          <w:bCs/>
          <w:sz w:val="8"/>
          <w:szCs w:val="8"/>
          <w:lang w:val="sq-AL" w:eastAsia="sq-AL"/>
        </w:rPr>
      </w:pPr>
    </w:p>
    <w:p w:rsidR="00F07CB3" w:rsidRDefault="0093018B" w:rsidP="001E7F35">
      <w:pPr>
        <w:spacing w:before="240"/>
        <w:contextualSpacing/>
        <w:jc w:val="both"/>
        <w:rPr>
          <w:rFonts w:asciiTheme="minorHAnsi" w:hAnsiTheme="minorHAnsi"/>
          <w:bCs/>
          <w:lang w:val="sq-AL" w:eastAsia="sq-AL"/>
        </w:rPr>
      </w:pPr>
      <w:r>
        <w:rPr>
          <w:rFonts w:asciiTheme="minorHAnsi" w:hAnsiTheme="minorHAnsi"/>
          <w:bCs/>
          <w:lang w:val="sq-AL" w:eastAsia="sq-AL"/>
        </w:rPr>
        <w:t>Një problematikë e rëndësishme mbetet edhe stoku i detyrimeve të akumuluara nga ndërmarrjet U-K sh.a ndaj sektorit të energjisë. Vlen për t’u theksuar se, në kuadër të reformës në sektorin e energjisë, janë intensifikuar marrëdhëniet dhe bashkëpunimi me institucionet dhe aktorët kryesorë të fushës, si ndërmarrjet U-K, MIE dhe ndërmarrjet e energjisë. Plani i masave të reduktimit të detyrimeve të prapambetura në sektorin e energjisë elektrike, miratuar me Urdhërin e Përbashkët MIE/MFE nr.304/2020 “</w:t>
      </w:r>
      <w:r w:rsidRPr="005F1541">
        <w:rPr>
          <w:rFonts w:asciiTheme="minorHAnsi" w:hAnsiTheme="minorHAnsi"/>
          <w:bCs/>
          <w:i/>
          <w:lang w:val="sq-AL" w:eastAsia="sq-AL"/>
        </w:rPr>
        <w:t>Për miratimin e planit të masave të reduktimit të detyrimeve të prapambetura në sektorin e energjisë elektrike</w:t>
      </w:r>
      <w:r>
        <w:rPr>
          <w:rFonts w:asciiTheme="minorHAnsi" w:hAnsiTheme="minorHAnsi"/>
          <w:bCs/>
          <w:lang w:val="sq-AL" w:eastAsia="sq-AL"/>
        </w:rPr>
        <w:t>”, përfshin në procesin e shlyerjes së detyrimeve të ndërsjella edhe sektorin e ujit. Me qëllim zbatimin me sukses të këtij plani, MIE dhe MFE, bashkëfirmosën Urdhërin e dytë të Përbashkët nr.379/2021 “</w:t>
      </w:r>
      <w:r w:rsidRPr="005F1541">
        <w:rPr>
          <w:rFonts w:asciiTheme="minorHAnsi" w:hAnsiTheme="minorHAnsi"/>
          <w:bCs/>
          <w:i/>
          <w:lang w:val="sq-AL" w:eastAsia="sq-AL"/>
        </w:rPr>
        <w:t>Mbi zbatimin e planit të masave për reduktimin e detyrimeve të prapambetura në sektorin e energjisë elektrike</w:t>
      </w:r>
      <w:r>
        <w:rPr>
          <w:rFonts w:asciiTheme="minorHAnsi" w:hAnsiTheme="minorHAnsi"/>
          <w:bCs/>
          <w:lang w:val="sq-AL" w:eastAsia="sq-AL"/>
        </w:rPr>
        <w:t xml:space="preserve">”. Urdhëri i sipërcituar krahas ndërmarrjeve të sektorit energjitik, ngarkon edhe AKUM për raportimin mujor, mbi shlyerjen e detyrimeve të prapambetura dhe statusin e tyre. Kështu, për periudhën deri në Mars 2022, Agjencia Kombëtare e Ujësjellës Kanalizime dhe Infrastrukturës së Mbetjeve (AKUM) pas rakordimit të </w:t>
      </w:r>
      <w:r w:rsidRPr="00544A4D">
        <w:rPr>
          <w:rFonts w:asciiTheme="minorHAnsi" w:hAnsiTheme="minorHAnsi"/>
          <w:bCs/>
          <w:lang w:val="sq-AL" w:eastAsia="sq-AL"/>
        </w:rPr>
        <w:t>të dhënave</w:t>
      </w:r>
      <w:r>
        <w:rPr>
          <w:rFonts w:asciiTheme="minorHAnsi" w:hAnsiTheme="minorHAnsi"/>
          <w:bCs/>
          <w:lang w:val="sq-AL" w:eastAsia="sq-AL"/>
        </w:rPr>
        <w:t xml:space="preserve"> me OSHEE Group Sh.a, raporton se detyrimet e akumuluara të ndërmarrjeve të ujësjellës-kanalizimeve rezultojnë të jenë në vlerën 22.71 miliardë LEK. Sipas të njëjtit raportim, 12.19 miliard LEK janë detyrime të faturuara ndaj kompanisë dhe 10.52 miliard LEK janë detyrime për kamatëvonesa. Nga totali i detyrimeve të raportuara, vetëm ndërmarrja e UK sh.a Durrës ka 7.47 miliard LEK detyrime të akumuluara në vite. Në tabelën e mëposhtme listohen pesë ndërmarrjet që kanë pjesën më të madhe të detyrimeve ndaj OSHEE sh.a</w:t>
      </w:r>
      <w:r w:rsidR="00F07CB3">
        <w:rPr>
          <w:rFonts w:asciiTheme="minorHAnsi" w:hAnsiTheme="minorHAnsi"/>
          <w:bCs/>
          <w:lang w:val="sq-AL" w:eastAsia="sq-AL"/>
        </w:rPr>
        <w:t>.</w:t>
      </w:r>
    </w:p>
    <w:p w:rsidR="00F07CB3" w:rsidRPr="00001086" w:rsidRDefault="00343167" w:rsidP="00F07CB3">
      <w:pPr>
        <w:spacing w:before="120"/>
        <w:jc w:val="both"/>
        <w:rPr>
          <w:rFonts w:ascii="Calibri" w:hAnsi="Calibri"/>
          <w:i/>
          <w:iCs/>
          <w:color w:val="365F91" w:themeColor="accent1" w:themeShade="BF"/>
          <w:sz w:val="20"/>
          <w:szCs w:val="22"/>
          <w:lang w:val="sq-AL"/>
        </w:rPr>
      </w:pPr>
      <w:bookmarkStart w:id="135" w:name="_Toc104984067"/>
      <w:bookmarkStart w:id="136" w:name="_Toc10749676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25</w:t>
      </w:r>
      <w:r w:rsidRPr="00343167">
        <w:rPr>
          <w:rFonts w:asciiTheme="minorHAnsi" w:hAnsiTheme="minorHAnsi"/>
          <w:bCs/>
          <w:i/>
          <w:noProof/>
          <w:sz w:val="22"/>
        </w:rPr>
        <w:fldChar w:fldCharType="end"/>
      </w:r>
      <w:r w:rsidRPr="00343167">
        <w:rPr>
          <w:rFonts w:asciiTheme="minorHAnsi" w:hAnsiTheme="minorHAnsi"/>
          <w:bCs/>
          <w:i/>
          <w:noProof/>
          <w:sz w:val="22"/>
        </w:rPr>
        <w:t>:</w:t>
      </w:r>
      <w:r w:rsidR="00F07CB3" w:rsidRPr="00343167">
        <w:rPr>
          <w:rFonts w:asciiTheme="minorHAnsi" w:hAnsiTheme="minorHAnsi"/>
          <w:bCs/>
          <w:i/>
          <w:noProof/>
          <w:sz w:val="22"/>
        </w:rPr>
        <w:t xml:space="preserve"> Stoku i detyrimeve të prapambetura </w:t>
      </w:r>
      <w:r w:rsidR="00B703A6" w:rsidRPr="00343167">
        <w:rPr>
          <w:rFonts w:asciiTheme="minorHAnsi" w:hAnsiTheme="minorHAnsi"/>
          <w:bCs/>
          <w:i/>
          <w:noProof/>
          <w:sz w:val="22"/>
        </w:rPr>
        <w:t>t</w:t>
      </w:r>
      <w:r w:rsidR="009647C4" w:rsidRPr="00343167">
        <w:rPr>
          <w:rFonts w:asciiTheme="minorHAnsi" w:hAnsiTheme="minorHAnsi"/>
          <w:bCs/>
          <w:i/>
          <w:noProof/>
          <w:sz w:val="22"/>
        </w:rPr>
        <w:t>ë</w:t>
      </w:r>
      <w:r w:rsidR="00B703A6" w:rsidRPr="00343167">
        <w:rPr>
          <w:rFonts w:asciiTheme="minorHAnsi" w:hAnsiTheme="minorHAnsi"/>
          <w:bCs/>
          <w:i/>
          <w:noProof/>
          <w:sz w:val="22"/>
        </w:rPr>
        <w:t xml:space="preserve"> UK</w:t>
      </w:r>
      <w:r w:rsidR="00F07CB3" w:rsidRPr="00343167">
        <w:rPr>
          <w:rFonts w:asciiTheme="minorHAnsi" w:hAnsiTheme="minorHAnsi"/>
          <w:bCs/>
          <w:i/>
          <w:noProof/>
          <w:sz w:val="22"/>
        </w:rPr>
        <w:t xml:space="preserve"> ndaj OSHEE Group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mld LEK)</w:t>
      </w:r>
      <w:bookmarkEnd w:id="135"/>
      <w:bookmarkEnd w:id="136"/>
    </w:p>
    <w:tbl>
      <w:tblPr>
        <w:tblStyle w:val="GridTable4-Accent112"/>
        <w:tblpPr w:leftFromText="180" w:rightFromText="180" w:vertAnchor="text" w:horzAnchor="margin" w:tblpXSpec="center" w:tblpY="101"/>
        <w:tblW w:w="8208" w:type="dxa"/>
        <w:tblLook w:val="04A0" w:firstRow="1" w:lastRow="0" w:firstColumn="1" w:lastColumn="0" w:noHBand="0" w:noVBand="1"/>
      </w:tblPr>
      <w:tblGrid>
        <w:gridCol w:w="5051"/>
        <w:gridCol w:w="3157"/>
      </w:tblGrid>
      <w:tr w:rsidR="00F07CB3" w:rsidRPr="00001086" w:rsidTr="00402E3B">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051" w:type="dxa"/>
            <w:tcBorders>
              <w:bottom w:val="single" w:sz="4" w:space="0" w:color="95B3D7" w:themeColor="accent1" w:themeTint="99"/>
              <w:right w:val="single" w:sz="4" w:space="0" w:color="95B3D7" w:themeColor="accent1" w:themeTint="99"/>
            </w:tcBorders>
            <w:shd w:val="clear" w:color="auto" w:fill="548DD4" w:themeFill="text2" w:themeFillTint="99"/>
            <w:noWrap/>
            <w:hideMark/>
          </w:tcPr>
          <w:p w:rsidR="00F07CB3" w:rsidRPr="00001086" w:rsidRDefault="00F07CB3" w:rsidP="00402E3B">
            <w:pPr>
              <w:jc w:val="center"/>
              <w:rPr>
                <w:rFonts w:asciiTheme="minorHAnsi" w:hAnsiTheme="minorHAnsi"/>
                <w:sz w:val="18"/>
                <w:szCs w:val="20"/>
                <w:u w:val="single"/>
                <w:lang w:val="sq-AL"/>
              </w:rPr>
            </w:pPr>
            <w:r w:rsidRPr="00001086">
              <w:rPr>
                <w:rFonts w:asciiTheme="minorHAnsi" w:hAnsiTheme="minorHAnsi"/>
                <w:sz w:val="18"/>
                <w:szCs w:val="20"/>
                <w:u w:val="single"/>
                <w:lang w:val="sq-AL"/>
              </w:rPr>
              <w:t>5 UK kryesore me detyrime ndaj OSHEE Group</w:t>
            </w:r>
          </w:p>
        </w:tc>
        <w:tc>
          <w:tcPr>
            <w:tcW w:w="3157" w:type="dxa"/>
            <w:tcBorders>
              <w:left w:val="single" w:sz="4" w:space="0" w:color="95B3D7" w:themeColor="accent1" w:themeTint="99"/>
              <w:bottom w:val="single" w:sz="4" w:space="0" w:color="95B3D7" w:themeColor="accent1" w:themeTint="99"/>
            </w:tcBorders>
            <w:shd w:val="clear" w:color="auto" w:fill="548DD4" w:themeFill="text2" w:themeFillTint="99"/>
            <w:hideMark/>
          </w:tcPr>
          <w:p w:rsidR="00F07CB3" w:rsidRPr="00001086" w:rsidRDefault="00F07CB3" w:rsidP="00402E3B">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20"/>
                <w:u w:val="single"/>
                <w:lang w:val="sq-AL"/>
              </w:rPr>
            </w:pPr>
            <w:r w:rsidRPr="00001086">
              <w:rPr>
                <w:rFonts w:asciiTheme="minorHAnsi" w:hAnsiTheme="minorHAnsi"/>
                <w:bCs w:val="0"/>
                <w:sz w:val="18"/>
                <w:szCs w:val="20"/>
                <w:u w:val="single"/>
                <w:lang w:val="sq-AL"/>
              </w:rPr>
              <w:t>14.01</w:t>
            </w:r>
          </w:p>
        </w:tc>
      </w:tr>
      <w:tr w:rsidR="00F07CB3" w:rsidRPr="00001086" w:rsidTr="00402E3B">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5051"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Durrës UK </w:t>
            </w:r>
            <w:r w:rsidR="00B703A6">
              <w:rPr>
                <w:rFonts w:asciiTheme="minorHAnsi" w:eastAsiaTheme="minorEastAsia" w:hAnsiTheme="minorHAnsi"/>
                <w:sz w:val="18"/>
                <w:szCs w:val="20"/>
              </w:rPr>
              <w:t>Sh.a</w:t>
            </w:r>
          </w:p>
        </w:tc>
        <w:tc>
          <w:tcPr>
            <w:tcW w:w="3157"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tabs>
                <w:tab w:val="left" w:pos="1950"/>
                <w:tab w:val="center" w:pos="2152"/>
              </w:tabs>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7.47</w:t>
            </w:r>
          </w:p>
        </w:tc>
      </w:tr>
      <w:tr w:rsidR="00F07CB3" w:rsidRPr="00001086" w:rsidTr="00402E3B">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Vlorë UK </w:t>
            </w:r>
            <w:r w:rsidR="00B703A6">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2.42</w:t>
            </w:r>
          </w:p>
        </w:tc>
      </w:tr>
      <w:tr w:rsidR="00F07CB3" w:rsidRPr="00001086" w:rsidTr="00402E3B">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Patos UK </w:t>
            </w:r>
            <w:r w:rsidR="00B703A6">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1.70</w:t>
            </w:r>
          </w:p>
        </w:tc>
      </w:tr>
      <w:tr w:rsidR="00F07CB3" w:rsidRPr="00001086" w:rsidTr="00402E3B">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Fier UK </w:t>
            </w:r>
            <w:r w:rsidR="00B703A6">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rsidR="00F07CB3" w:rsidRPr="00001086" w:rsidRDefault="00F07CB3" w:rsidP="00402E3B">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1.37</w:t>
            </w:r>
          </w:p>
        </w:tc>
      </w:tr>
      <w:tr w:rsidR="00F07CB3" w:rsidRPr="00001086" w:rsidTr="00402E3B">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single" w:sz="4" w:space="0" w:color="95B3D7" w:themeColor="accent1" w:themeTint="99"/>
              <w:right w:val="single" w:sz="4" w:space="0" w:color="95B3D7" w:themeColor="accent1" w:themeTint="99"/>
            </w:tcBorders>
            <w:noWrap/>
            <w:hideMark/>
          </w:tcPr>
          <w:p w:rsidR="00F07CB3" w:rsidRPr="00001086" w:rsidRDefault="00F07CB3" w:rsidP="00402E3B">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Kavajë UK </w:t>
            </w:r>
            <w:r w:rsidR="00B703A6">
              <w:rPr>
                <w:rFonts w:asciiTheme="minorHAnsi" w:eastAsiaTheme="minorEastAsia" w:hAnsiTheme="minorHAnsi"/>
                <w:sz w:val="18"/>
                <w:szCs w:val="20"/>
              </w:rPr>
              <w:t>Sh.a</w:t>
            </w:r>
          </w:p>
        </w:tc>
        <w:tc>
          <w:tcPr>
            <w:tcW w:w="3157" w:type="dxa"/>
            <w:tcBorders>
              <w:top w:val="nil"/>
              <w:left w:val="single" w:sz="4" w:space="0" w:color="95B3D7" w:themeColor="accent1" w:themeTint="99"/>
              <w:bottom w:val="single" w:sz="4" w:space="0" w:color="95B3D7" w:themeColor="accent1" w:themeTint="99"/>
              <w:right w:val="single" w:sz="4" w:space="0" w:color="95B3D7" w:themeColor="accent1" w:themeTint="99"/>
            </w:tcBorders>
            <w:noWrap/>
            <w:hideMark/>
          </w:tcPr>
          <w:p w:rsidR="00F07CB3" w:rsidRPr="00001086" w:rsidRDefault="00F07CB3" w:rsidP="00402E3B">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1.04</w:t>
            </w:r>
          </w:p>
        </w:tc>
      </w:tr>
    </w:tbl>
    <w:p w:rsidR="00F07CB3" w:rsidRDefault="00F07CB3" w:rsidP="00F07CB3">
      <w:pPr>
        <w:ind w:firstLine="720"/>
        <w:rPr>
          <w:rFonts w:ascii="Calibri" w:eastAsia="SimSun" w:hAnsi="Calibri" w:cs="Calibri"/>
          <w:i/>
          <w:sz w:val="20"/>
          <w:szCs w:val="20"/>
          <w:lang w:val="sq-AL"/>
        </w:rPr>
      </w:pPr>
      <w:r>
        <w:rPr>
          <w:rFonts w:ascii="Calibri" w:eastAsia="SimSun" w:hAnsi="Calibri" w:cs="Calibri"/>
          <w:i/>
          <w:sz w:val="20"/>
          <w:szCs w:val="20"/>
          <w:lang w:val="sq-AL"/>
        </w:rPr>
        <w:t>Burimi: AKUM (2022)</w:t>
      </w:r>
    </w:p>
    <w:p w:rsidR="00F07CB3" w:rsidRPr="001F324B" w:rsidRDefault="00F07CB3" w:rsidP="00F07CB3">
      <w:pPr>
        <w:spacing w:before="240" w:line="276" w:lineRule="auto"/>
        <w:contextualSpacing/>
        <w:jc w:val="both"/>
        <w:rPr>
          <w:rFonts w:asciiTheme="minorHAnsi" w:hAnsiTheme="minorHAnsi"/>
          <w:bCs/>
          <w:sz w:val="4"/>
          <w:szCs w:val="16"/>
          <w:lang w:val="sq-AL" w:eastAsia="sq-AL"/>
        </w:rPr>
      </w:pPr>
    </w:p>
    <w:p w:rsidR="00F07CB3" w:rsidRDefault="00F07CB3" w:rsidP="001F324B">
      <w:pPr>
        <w:spacing w:before="240"/>
        <w:contextualSpacing/>
        <w:jc w:val="both"/>
        <w:rPr>
          <w:rFonts w:asciiTheme="minorHAnsi" w:hAnsiTheme="minorHAnsi"/>
          <w:bCs/>
          <w:lang w:val="sq-AL" w:eastAsia="sq-AL"/>
        </w:rPr>
      </w:pPr>
      <w:r>
        <w:rPr>
          <w:rFonts w:asciiTheme="minorHAnsi" w:hAnsiTheme="minorHAnsi"/>
          <w:bCs/>
          <w:lang w:val="sq-AL" w:eastAsia="sq-AL"/>
        </w:rPr>
        <w:t xml:space="preserve">Akumulimi i detyrimeve të prapambetura vazhdon trendin rritës, kryesisht për shkak të performancës së ulët të shumicës së shoqërive U-K sha. Nisur nga kjo, ka startuar aktualisht procesi i reformimit dhe riorganizimit të sektorit të Ujit, në përputhje me Strategjinë Kombëtare të Sektorit të Furnizimit me Ujë dhe Kanalizimeve 2020-2030. Synimi është ridimensionimi i 61 ndërmarrjeve U-K aktuale, përmes rigrupimit të tyre në 15 drejtori qëndrore U-K, me qëllim final menaxhimin optimal dhe rritjen e performancës së tyre financiare.  </w:t>
      </w:r>
    </w:p>
    <w:p w:rsidR="003038BE" w:rsidRPr="003038BE" w:rsidRDefault="00562780" w:rsidP="003F6B21">
      <w:pPr>
        <w:pStyle w:val="Heading2"/>
        <w:numPr>
          <w:ilvl w:val="0"/>
          <w:numId w:val="28"/>
        </w:numPr>
        <w:ind w:left="630" w:hanging="630"/>
        <w:rPr>
          <w:sz w:val="26"/>
          <w:szCs w:val="26"/>
        </w:rPr>
      </w:pPr>
      <w:bookmarkStart w:id="137" w:name="_Toc466295701"/>
      <w:bookmarkStart w:id="138" w:name="_Toc107496999"/>
      <w:bookmarkStart w:id="139" w:name="_Toc10033285"/>
      <w:bookmarkStart w:id="140" w:name="_Toc10721422"/>
      <w:bookmarkStart w:id="141" w:name="_Toc11134242"/>
      <w:r w:rsidRPr="003038BE">
        <w:rPr>
          <w:sz w:val="26"/>
          <w:szCs w:val="26"/>
        </w:rPr>
        <w:lastRenderedPageBreak/>
        <w:t>Detyrime</w:t>
      </w:r>
      <w:bookmarkEnd w:id="137"/>
      <w:r w:rsidRPr="003038BE">
        <w:rPr>
          <w:sz w:val="26"/>
          <w:szCs w:val="26"/>
        </w:rPr>
        <w:t>t e prapambetura</w:t>
      </w:r>
      <w:r w:rsidR="0068128A">
        <w:rPr>
          <w:sz w:val="26"/>
          <w:szCs w:val="26"/>
        </w:rPr>
        <w:t xml:space="preserve"> </w:t>
      </w:r>
      <w:r w:rsidR="001E7F35">
        <w:rPr>
          <w:sz w:val="26"/>
          <w:szCs w:val="26"/>
        </w:rPr>
        <w:t>të Qeverisjes së Përgjithshme</w:t>
      </w:r>
      <w:bookmarkEnd w:id="138"/>
    </w:p>
    <w:p w:rsidR="00B703A6" w:rsidRDefault="001F324B" w:rsidP="00B703A6">
      <w:pPr>
        <w:jc w:val="both"/>
        <w:rPr>
          <w:rFonts w:asciiTheme="minorHAnsi" w:eastAsia="Calibri" w:hAnsiTheme="minorHAnsi"/>
          <w:lang w:val="sq-AL"/>
        </w:rPr>
      </w:pPr>
      <w:bookmarkStart w:id="142" w:name="_Toc495672777"/>
      <w:bookmarkEnd w:id="139"/>
      <w:bookmarkEnd w:id="140"/>
      <w:bookmarkEnd w:id="141"/>
      <w:bookmarkEnd w:id="142"/>
      <w:r w:rsidRPr="001F324B">
        <w:rPr>
          <w:rFonts w:asciiTheme="minorHAnsi" w:eastAsia="Calibri" w:hAnsiTheme="minorHAnsi"/>
          <w:lang w:val="sq-AL"/>
        </w:rPr>
        <w:t>Bazuar në VKM nr.50 datë 05.02.2014 “</w:t>
      </w:r>
      <w:r w:rsidRPr="001F324B">
        <w:rPr>
          <w:rFonts w:asciiTheme="minorHAnsi" w:eastAsia="Calibri" w:hAnsiTheme="minorHAnsi"/>
          <w:i/>
          <w:lang w:val="sq-AL"/>
        </w:rPr>
        <w:t>Për miratimin e Strategjisë për parandalimin dhe shlyerjen e detyrimeve të prapambetura e të planit të veprimit</w:t>
      </w:r>
      <w:r w:rsidRPr="001F324B">
        <w:rPr>
          <w:rFonts w:asciiTheme="minorHAnsi" w:eastAsia="Calibri" w:hAnsiTheme="minorHAnsi"/>
          <w:lang w:val="sq-AL"/>
        </w:rPr>
        <w:t>” dhe Strategjisë së Menaxhimit të Financave Publike 2019-2022, MFE ka ndërmarrë dhe intensifikuar hapat konkretë në drejtim të monitorimit dhe raportimit të detyrimeve të prapambetura. Duke nisur nga viti 2021, ky monitorim dhe raportim gjenerohet automatikisht nga Sistemi Informatik Financiar i Qeverisë (SIFQ) sipas përcaktimeve të Udhëzimit nr.37 të datës 06.10.2020 “</w:t>
      </w:r>
      <w:r w:rsidRPr="001F324B">
        <w:rPr>
          <w:rFonts w:asciiTheme="minorHAnsi" w:eastAsia="Calibri" w:hAnsiTheme="minorHAnsi"/>
          <w:i/>
          <w:lang w:val="sq-AL"/>
        </w:rPr>
        <w:t>Për monitorimin dhe publikimin periodik të stokut të detyrimeve të prapambetura të Qeverisjes së Përgjithshme</w:t>
      </w:r>
      <w:r w:rsidRPr="001F324B">
        <w:rPr>
          <w:rFonts w:asciiTheme="minorHAnsi" w:eastAsia="Calibri" w:hAnsiTheme="minorHAnsi"/>
          <w:lang w:val="sq-AL"/>
        </w:rPr>
        <w:t xml:space="preserve">”. Ky format i raportimit të detyrimeve të prapambetura përveç se rrit saktësinë dhe siguron të dhënat në kohë, është gjithashtu një format gjithëpërfshirës duke unifikuar raportin për të gjithë njësitë e qeverisjes së përgjithshme. </w:t>
      </w:r>
    </w:p>
    <w:p w:rsidR="00B703A6" w:rsidRPr="0093018B" w:rsidRDefault="00B703A6" w:rsidP="00B703A6">
      <w:pPr>
        <w:jc w:val="both"/>
        <w:rPr>
          <w:rFonts w:asciiTheme="minorHAnsi" w:eastAsia="Calibri" w:hAnsiTheme="minorHAnsi"/>
          <w:sz w:val="8"/>
          <w:szCs w:val="8"/>
          <w:lang w:val="sq-AL"/>
        </w:rPr>
      </w:pPr>
    </w:p>
    <w:p w:rsidR="001F324B" w:rsidRDefault="001F324B" w:rsidP="00B703A6">
      <w:pPr>
        <w:jc w:val="both"/>
        <w:rPr>
          <w:rFonts w:asciiTheme="minorHAnsi" w:eastAsia="Calibri" w:hAnsiTheme="minorHAnsi"/>
          <w:lang w:val="sq-AL"/>
        </w:rPr>
      </w:pPr>
      <w:r w:rsidRPr="001F324B">
        <w:rPr>
          <w:rFonts w:asciiTheme="minorHAnsi" w:eastAsia="Calibri" w:hAnsiTheme="minorHAnsi"/>
          <w:lang w:val="sq-AL"/>
        </w:rPr>
        <w:t>Parë në një aspekt më të gjerë dhe gjithëpërfshirës, Ministria e Financave dhe Ekonomisë i ka sugjeruar të gjitha njësive të auditimit të brendshëm në sektorin publik që në “</w:t>
      </w:r>
      <w:r w:rsidRPr="001F324B">
        <w:rPr>
          <w:rFonts w:asciiTheme="minorHAnsi" w:eastAsia="Calibri" w:hAnsiTheme="minorHAnsi"/>
          <w:i/>
          <w:lang w:val="sq-AL"/>
        </w:rPr>
        <w:t>Planin strategjik dhe vjetor të veprimtarisë audituese për vitet 2021 – 2023</w:t>
      </w:r>
      <w:r w:rsidRPr="001F324B">
        <w:rPr>
          <w:rFonts w:asciiTheme="minorHAnsi" w:eastAsia="Calibri" w:hAnsiTheme="minorHAnsi"/>
          <w:lang w:val="sq-AL"/>
        </w:rPr>
        <w:t>” të përfshijnë angazhime auditimi për analizimin dhe vlerësimin e situatës së detyrimeve të prapambetura të njësive publike. Kjo, përsa kohë që detyrimet e prapambetura janë përcaktuar si fushë me risk të lartë dhe duhet të trajtohen me përparësi nga auditimi i brendshëm i njësive publike, për të paraqituar gjendjen aktuale dhe për të dhënë rekomandime sa më të vlefshme për shlyerjen e tyre në afate të përcaktuara.</w:t>
      </w:r>
      <w:r>
        <w:rPr>
          <w:rFonts w:asciiTheme="minorHAnsi" w:eastAsia="Calibri" w:hAnsiTheme="minorHAnsi"/>
          <w:lang w:val="sq-AL"/>
        </w:rPr>
        <w:t xml:space="preserve"> </w:t>
      </w:r>
      <w:r w:rsidRPr="001F324B">
        <w:rPr>
          <w:rFonts w:asciiTheme="minorHAnsi" w:eastAsia="Calibri" w:hAnsiTheme="minorHAnsi"/>
          <w:lang w:val="sq-AL"/>
        </w:rPr>
        <w:t xml:space="preserve">Në grafikun e mëposhtëm paraqitet ecuria e detyrimeve të prapambetura deri në </w:t>
      </w:r>
      <w:r>
        <w:rPr>
          <w:rFonts w:asciiTheme="minorHAnsi" w:eastAsia="Calibri" w:hAnsiTheme="minorHAnsi"/>
          <w:lang w:val="sq-AL"/>
        </w:rPr>
        <w:t>T1</w:t>
      </w:r>
      <w:r w:rsidRPr="001F324B">
        <w:rPr>
          <w:rFonts w:asciiTheme="minorHAnsi" w:eastAsia="Calibri" w:hAnsiTheme="minorHAnsi"/>
          <w:lang w:val="sq-AL"/>
        </w:rPr>
        <w:t xml:space="preserve"> 2022:</w:t>
      </w:r>
    </w:p>
    <w:p w:rsidR="001F324B" w:rsidRDefault="00343167" w:rsidP="001F324B">
      <w:pPr>
        <w:spacing w:before="120"/>
        <w:jc w:val="both"/>
        <w:rPr>
          <w:rFonts w:ascii="Calibri" w:hAnsi="Calibri"/>
          <w:i/>
          <w:iCs/>
          <w:color w:val="17406D"/>
          <w:sz w:val="22"/>
          <w:szCs w:val="22"/>
          <w:lang w:val="sq-AL"/>
        </w:rPr>
      </w:pPr>
      <w:bookmarkStart w:id="143" w:name="_Toc107498138"/>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3B2B9B">
        <w:rPr>
          <w:rFonts w:asciiTheme="minorHAnsi" w:hAnsiTheme="minorHAnsi"/>
          <w:bCs/>
          <w:i/>
          <w:noProof/>
          <w:sz w:val="22"/>
        </w:rPr>
        <w:t>47</w:t>
      </w:r>
      <w:r w:rsidRPr="00343167">
        <w:rPr>
          <w:rFonts w:asciiTheme="minorHAnsi" w:hAnsiTheme="minorHAnsi"/>
          <w:bCs/>
          <w:i/>
          <w:noProof/>
          <w:sz w:val="22"/>
        </w:rPr>
        <w:fldChar w:fldCharType="end"/>
      </w:r>
      <w:r w:rsidRPr="00343167">
        <w:rPr>
          <w:rFonts w:asciiTheme="minorHAnsi" w:hAnsiTheme="minorHAnsi"/>
          <w:bCs/>
          <w:i/>
          <w:noProof/>
          <w:sz w:val="22"/>
        </w:rPr>
        <w:t>:</w:t>
      </w:r>
      <w:r w:rsidR="001F324B" w:rsidRPr="00343167">
        <w:rPr>
          <w:rFonts w:asciiTheme="minorHAnsi" w:hAnsiTheme="minorHAnsi"/>
          <w:bCs/>
          <w:i/>
          <w:noProof/>
          <w:sz w:val="22"/>
        </w:rPr>
        <w:t>Stoku i detyrimeve të prapambetura të qeverisjes së përgjithshme, në mln LEK</w:t>
      </w:r>
      <w:bookmarkEnd w:id="143"/>
    </w:p>
    <w:p w:rsidR="0093018B" w:rsidRDefault="0093018B" w:rsidP="0093018B">
      <w:pPr>
        <w:jc w:val="center"/>
        <w:rPr>
          <w:noProof/>
        </w:rPr>
      </w:pPr>
      <w:r>
        <w:rPr>
          <w:noProof/>
        </w:rPr>
        <w:drawing>
          <wp:inline distT="0" distB="0" distL="0" distR="0" wp14:anchorId="6C720BC8" wp14:editId="6E3AF9F4">
            <wp:extent cx="6106160" cy="1379220"/>
            <wp:effectExtent l="0" t="0" r="8890" b="1143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1F324B" w:rsidRDefault="001F324B" w:rsidP="001F324B">
      <w:pPr>
        <w:rPr>
          <w:rFonts w:ascii="Calibri" w:hAnsi="Calibri"/>
          <w:i/>
          <w:sz w:val="20"/>
          <w:szCs w:val="20"/>
          <w:lang w:val="sq-AL"/>
        </w:rPr>
      </w:pPr>
      <w:r>
        <w:rPr>
          <w:rFonts w:ascii="Calibri" w:hAnsi="Calibri"/>
          <w:i/>
          <w:sz w:val="20"/>
          <w:szCs w:val="20"/>
          <w:lang w:val="sq-AL"/>
        </w:rPr>
        <w:t>Burimi: Ministria e Financave dhe Ekonomisë (2022)</w:t>
      </w:r>
    </w:p>
    <w:p w:rsidR="00B703A6" w:rsidRPr="00B703A6" w:rsidRDefault="00B703A6" w:rsidP="001F324B">
      <w:pPr>
        <w:rPr>
          <w:rFonts w:ascii="Calibri" w:hAnsi="Calibri"/>
          <w:i/>
          <w:sz w:val="8"/>
          <w:szCs w:val="8"/>
          <w:lang w:val="sq-AL"/>
        </w:rPr>
      </w:pPr>
    </w:p>
    <w:p w:rsidR="0093018B" w:rsidRDefault="0093018B" w:rsidP="0093018B">
      <w:pPr>
        <w:jc w:val="both"/>
        <w:rPr>
          <w:rFonts w:asciiTheme="minorHAnsi" w:eastAsia="Calibri" w:hAnsiTheme="minorHAnsi"/>
          <w:lang w:val="sq-AL"/>
        </w:rPr>
      </w:pPr>
      <w:r>
        <w:rPr>
          <w:rFonts w:asciiTheme="minorHAnsi" w:eastAsia="Calibri" w:hAnsiTheme="minorHAnsi"/>
          <w:lang w:val="sq-AL"/>
        </w:rPr>
        <w:t>Konkretisht, deri në fund të muajit Mars 2022 (T1) u regjistrua një stok kumulativ prej 14.54 miliardë LEK</w:t>
      </w:r>
      <w:r>
        <w:rPr>
          <w:rStyle w:val="FootnoteReference"/>
          <w:rFonts w:asciiTheme="minorHAnsi" w:eastAsia="Calibri" w:hAnsiTheme="minorHAnsi"/>
          <w:lang w:val="sq-AL"/>
        </w:rPr>
        <w:footnoteReference w:id="5"/>
      </w:r>
      <w:r>
        <w:rPr>
          <w:rFonts w:asciiTheme="minorHAnsi" w:eastAsia="Calibri" w:hAnsiTheme="minorHAnsi"/>
          <w:lang w:val="sq-AL"/>
        </w:rPr>
        <w:t xml:space="preserve"> i detyrimeve të prapambetura nga njësitë e qeverisjes së përgjithshme, nga të cilat:</w:t>
      </w:r>
    </w:p>
    <w:p w:rsidR="0093018B" w:rsidRPr="00B703A6" w:rsidRDefault="0093018B" w:rsidP="0093018B">
      <w:pPr>
        <w:numPr>
          <w:ilvl w:val="0"/>
          <w:numId w:val="50"/>
        </w:numPr>
        <w:contextualSpacing/>
        <w:jc w:val="both"/>
        <w:rPr>
          <w:rFonts w:asciiTheme="minorHAnsi" w:eastAsia="Calibri" w:hAnsiTheme="minorHAnsi"/>
          <w:i/>
          <w:sz w:val="22"/>
          <w:lang w:val="sq-AL"/>
        </w:rPr>
      </w:pPr>
      <w:r w:rsidRPr="00B703A6">
        <w:rPr>
          <w:rFonts w:asciiTheme="minorHAnsi" w:eastAsia="Calibri" w:hAnsiTheme="minorHAnsi"/>
          <w:i/>
          <w:sz w:val="22"/>
          <w:lang w:val="sq-AL"/>
        </w:rPr>
        <w:t>Totali detyrimeve të qeverisë qendrore rreth 6.76 miliardë LEK</w:t>
      </w:r>
    </w:p>
    <w:p w:rsidR="0093018B" w:rsidRPr="00B703A6" w:rsidRDefault="0093018B" w:rsidP="0093018B">
      <w:pPr>
        <w:numPr>
          <w:ilvl w:val="0"/>
          <w:numId w:val="50"/>
        </w:numPr>
        <w:contextualSpacing/>
        <w:jc w:val="both"/>
        <w:rPr>
          <w:rFonts w:asciiTheme="minorHAnsi" w:eastAsia="Calibri" w:hAnsiTheme="minorHAnsi"/>
          <w:i/>
          <w:sz w:val="22"/>
          <w:lang w:val="sq-AL"/>
        </w:rPr>
      </w:pPr>
      <w:r w:rsidRPr="00B703A6">
        <w:rPr>
          <w:rFonts w:asciiTheme="minorHAnsi" w:eastAsia="Calibri" w:hAnsiTheme="minorHAnsi"/>
          <w:i/>
          <w:sz w:val="22"/>
          <w:lang w:val="sq-AL"/>
        </w:rPr>
        <w:t>Totali detyrimeve të qeverisë vendore rreth 7.30 miliardë LEK.</w:t>
      </w:r>
    </w:p>
    <w:p w:rsidR="0093018B" w:rsidRPr="00B703A6" w:rsidRDefault="0093018B" w:rsidP="0093018B">
      <w:pPr>
        <w:numPr>
          <w:ilvl w:val="0"/>
          <w:numId w:val="50"/>
        </w:numPr>
        <w:contextualSpacing/>
        <w:jc w:val="both"/>
        <w:rPr>
          <w:rFonts w:asciiTheme="minorHAnsi" w:eastAsia="Calibri" w:hAnsiTheme="minorHAnsi"/>
          <w:i/>
          <w:sz w:val="22"/>
          <w:lang w:val="sq-AL"/>
        </w:rPr>
      </w:pPr>
      <w:r w:rsidRPr="00B703A6">
        <w:rPr>
          <w:rFonts w:asciiTheme="minorHAnsi" w:eastAsia="Calibri" w:hAnsiTheme="minorHAnsi"/>
          <w:i/>
          <w:sz w:val="22"/>
          <w:lang w:val="sq-AL"/>
        </w:rPr>
        <w:t>Totali detyrimeve për rimbursimin e TVSH-së rreth 0.48 miliardë LEK</w:t>
      </w:r>
    </w:p>
    <w:p w:rsidR="0093018B" w:rsidRPr="00B703A6" w:rsidRDefault="0093018B" w:rsidP="0093018B">
      <w:pPr>
        <w:ind w:left="720"/>
        <w:contextualSpacing/>
        <w:jc w:val="both"/>
        <w:rPr>
          <w:rFonts w:asciiTheme="minorHAnsi" w:eastAsia="Calibri" w:hAnsiTheme="minorHAnsi"/>
          <w:i/>
          <w:sz w:val="8"/>
          <w:highlight w:val="yellow"/>
          <w:lang w:val="sq-AL"/>
        </w:rPr>
      </w:pPr>
    </w:p>
    <w:p w:rsidR="0093018B" w:rsidRDefault="0093018B" w:rsidP="0093018B">
      <w:pPr>
        <w:jc w:val="both"/>
        <w:rPr>
          <w:rFonts w:asciiTheme="minorHAnsi" w:eastAsia="Calibri" w:hAnsiTheme="minorHAnsi"/>
          <w:lang w:val="sq-AL"/>
        </w:rPr>
      </w:pPr>
      <w:r>
        <w:rPr>
          <w:rFonts w:asciiTheme="minorHAnsi" w:eastAsia="Calibri" w:hAnsiTheme="minorHAnsi"/>
          <w:lang w:val="sq-AL"/>
        </w:rPr>
        <w:t>Krahasuar me stokun e detyrimeve të prapambetura të raportuara T1 2021, rezulton se:</w:t>
      </w:r>
    </w:p>
    <w:p w:rsidR="0093018B" w:rsidRPr="00B703A6" w:rsidRDefault="0093018B" w:rsidP="0093018B">
      <w:pPr>
        <w:numPr>
          <w:ilvl w:val="0"/>
          <w:numId w:val="50"/>
        </w:numPr>
        <w:contextualSpacing/>
        <w:jc w:val="both"/>
        <w:rPr>
          <w:rFonts w:asciiTheme="minorHAnsi" w:eastAsia="Calibri" w:hAnsiTheme="minorHAnsi"/>
          <w:i/>
          <w:sz w:val="22"/>
          <w:szCs w:val="22"/>
          <w:lang w:val="sq-AL"/>
        </w:rPr>
      </w:pPr>
      <w:r w:rsidRPr="00B703A6">
        <w:rPr>
          <w:rFonts w:asciiTheme="minorHAnsi" w:eastAsia="Calibri" w:hAnsiTheme="minorHAnsi"/>
          <w:i/>
          <w:sz w:val="22"/>
          <w:szCs w:val="22"/>
          <w:lang w:val="sq-AL"/>
        </w:rPr>
        <w:t xml:space="preserve">Niveli total i detyrimeve të prapambetura është </w:t>
      </w:r>
      <w:r>
        <w:rPr>
          <w:rFonts w:asciiTheme="minorHAnsi" w:eastAsia="Calibri" w:hAnsiTheme="minorHAnsi"/>
          <w:i/>
          <w:sz w:val="22"/>
          <w:szCs w:val="22"/>
          <w:lang w:val="sq-AL"/>
        </w:rPr>
        <w:t xml:space="preserve">ulur me </w:t>
      </w:r>
      <w:r w:rsidRPr="00B703A6">
        <w:rPr>
          <w:rFonts w:asciiTheme="minorHAnsi" w:eastAsia="Calibri" w:hAnsiTheme="minorHAnsi"/>
          <w:i/>
          <w:sz w:val="22"/>
          <w:szCs w:val="22"/>
          <w:lang w:val="sq-AL"/>
        </w:rPr>
        <w:t>6.2 miliardë LEK</w:t>
      </w:r>
      <w:r>
        <w:rPr>
          <w:rFonts w:asciiTheme="minorHAnsi" w:eastAsia="Calibri" w:hAnsiTheme="minorHAnsi"/>
          <w:i/>
          <w:sz w:val="22"/>
          <w:szCs w:val="22"/>
          <w:lang w:val="sq-AL"/>
        </w:rPr>
        <w:t>, rreth 30%</w:t>
      </w:r>
      <w:r w:rsidRPr="00B703A6">
        <w:rPr>
          <w:rFonts w:asciiTheme="minorHAnsi" w:eastAsia="Calibri" w:hAnsiTheme="minorHAnsi"/>
          <w:i/>
          <w:sz w:val="22"/>
          <w:szCs w:val="22"/>
          <w:lang w:val="sq-AL"/>
        </w:rPr>
        <w:t xml:space="preserve"> më i ulët.</w:t>
      </w:r>
    </w:p>
    <w:p w:rsidR="0093018B" w:rsidRDefault="0093018B" w:rsidP="0093018B">
      <w:pPr>
        <w:numPr>
          <w:ilvl w:val="0"/>
          <w:numId w:val="50"/>
        </w:numPr>
        <w:contextualSpacing/>
        <w:jc w:val="both"/>
        <w:rPr>
          <w:rFonts w:asciiTheme="minorHAnsi" w:eastAsia="Calibri" w:hAnsiTheme="minorHAnsi"/>
          <w:i/>
          <w:sz w:val="22"/>
          <w:szCs w:val="22"/>
          <w:lang w:val="sq-AL"/>
        </w:rPr>
      </w:pPr>
      <w:r w:rsidRPr="00B703A6">
        <w:rPr>
          <w:rFonts w:asciiTheme="minorHAnsi" w:eastAsia="Calibri" w:hAnsiTheme="minorHAnsi"/>
          <w:i/>
          <w:sz w:val="22"/>
          <w:szCs w:val="22"/>
          <w:lang w:val="sq-AL"/>
        </w:rPr>
        <w:t>Rimbursimet e prapambetura të TVSH-së janë ulur ndjeshëm me 5.4 miliardë LEK</w:t>
      </w:r>
      <w:r>
        <w:rPr>
          <w:rFonts w:asciiTheme="minorHAnsi" w:eastAsia="Calibri" w:hAnsiTheme="minorHAnsi"/>
          <w:i/>
          <w:sz w:val="22"/>
          <w:szCs w:val="22"/>
          <w:lang w:val="sq-AL"/>
        </w:rPr>
        <w:t>, rreth 92%</w:t>
      </w:r>
      <w:r w:rsidRPr="00B703A6">
        <w:rPr>
          <w:rFonts w:asciiTheme="minorHAnsi" w:eastAsia="Calibri" w:hAnsiTheme="minorHAnsi"/>
          <w:i/>
          <w:sz w:val="22"/>
          <w:szCs w:val="22"/>
          <w:lang w:val="sq-AL"/>
        </w:rPr>
        <w:t xml:space="preserve"> më i ulët.</w:t>
      </w:r>
    </w:p>
    <w:p w:rsidR="0093018B" w:rsidRDefault="0093018B" w:rsidP="0093018B">
      <w:pPr>
        <w:jc w:val="both"/>
        <w:rPr>
          <w:rFonts w:asciiTheme="minorHAnsi" w:eastAsia="Calibri" w:hAnsiTheme="minorHAnsi"/>
          <w:lang w:val="sq-AL"/>
        </w:rPr>
      </w:pPr>
      <w:r>
        <w:rPr>
          <w:rFonts w:asciiTheme="minorHAnsi" w:eastAsia="Calibri" w:hAnsiTheme="minorHAnsi"/>
          <w:lang w:val="sq-AL"/>
        </w:rPr>
        <w:t>Krahasuar me stokun e detyrimeve të prapambetura të raportuara për vitin 2021, rezulton se:</w:t>
      </w:r>
    </w:p>
    <w:p w:rsidR="0093018B" w:rsidRPr="008809D1" w:rsidRDefault="0093018B" w:rsidP="0093018B">
      <w:pPr>
        <w:numPr>
          <w:ilvl w:val="0"/>
          <w:numId w:val="50"/>
        </w:numPr>
        <w:contextualSpacing/>
        <w:jc w:val="both"/>
        <w:rPr>
          <w:rFonts w:asciiTheme="minorHAnsi" w:eastAsia="Calibri" w:hAnsiTheme="minorHAnsi"/>
          <w:i/>
          <w:sz w:val="22"/>
          <w:szCs w:val="22"/>
          <w:lang w:val="sq-AL"/>
        </w:rPr>
      </w:pPr>
      <w:r w:rsidRPr="00B703A6">
        <w:rPr>
          <w:rFonts w:asciiTheme="minorHAnsi" w:eastAsia="Calibri" w:hAnsiTheme="minorHAnsi"/>
          <w:i/>
          <w:sz w:val="22"/>
          <w:szCs w:val="22"/>
          <w:lang w:val="sq-AL"/>
        </w:rPr>
        <w:t>Niveli total i detyrime</w:t>
      </w:r>
      <w:r>
        <w:rPr>
          <w:rFonts w:asciiTheme="minorHAnsi" w:eastAsia="Calibri" w:hAnsiTheme="minorHAnsi"/>
          <w:i/>
          <w:sz w:val="22"/>
          <w:szCs w:val="22"/>
          <w:lang w:val="sq-AL"/>
        </w:rPr>
        <w:t>ve të prapambetura është rritur me 1.3 miliardë LEK, ose rreth 9.9%</w:t>
      </w:r>
      <w:r w:rsidRPr="00B703A6">
        <w:rPr>
          <w:rFonts w:asciiTheme="minorHAnsi" w:eastAsia="Calibri" w:hAnsiTheme="minorHAnsi"/>
          <w:i/>
          <w:sz w:val="22"/>
          <w:szCs w:val="22"/>
          <w:lang w:val="sq-AL"/>
        </w:rPr>
        <w:t xml:space="preserve"> </w:t>
      </w:r>
      <w:r w:rsidRPr="008809D1">
        <w:rPr>
          <w:rFonts w:asciiTheme="minorHAnsi" w:eastAsia="Calibri" w:hAnsiTheme="minorHAnsi"/>
          <w:i/>
          <w:sz w:val="22"/>
          <w:szCs w:val="22"/>
          <w:lang w:val="sq-AL"/>
        </w:rPr>
        <w:t>më i lartë.</w:t>
      </w:r>
    </w:p>
    <w:p w:rsidR="0093018B" w:rsidRPr="00FB3EC8" w:rsidRDefault="0093018B" w:rsidP="0093018B">
      <w:pPr>
        <w:numPr>
          <w:ilvl w:val="0"/>
          <w:numId w:val="50"/>
        </w:numPr>
        <w:contextualSpacing/>
        <w:jc w:val="both"/>
        <w:rPr>
          <w:rFonts w:asciiTheme="minorHAnsi" w:eastAsia="Calibri" w:hAnsiTheme="minorHAnsi"/>
          <w:i/>
          <w:sz w:val="22"/>
          <w:szCs w:val="22"/>
          <w:lang w:val="sq-AL"/>
        </w:rPr>
      </w:pPr>
      <w:r>
        <w:rPr>
          <w:rFonts w:asciiTheme="minorHAnsi" w:eastAsia="Calibri" w:hAnsiTheme="minorHAnsi"/>
          <w:i/>
          <w:sz w:val="22"/>
          <w:szCs w:val="22"/>
          <w:lang w:val="sq-AL"/>
        </w:rPr>
        <w:t xml:space="preserve">Detyrimet e qeverisjes qendrore janë rritur me 0.61 miliardë LEK, ose rreth 9.9% dhe ato të qeverisjes vendore janë rritur me 0.70 </w:t>
      </w:r>
      <w:r w:rsidRPr="00FB3EC8">
        <w:rPr>
          <w:rFonts w:asciiTheme="minorHAnsi" w:eastAsia="Calibri" w:hAnsiTheme="minorHAnsi"/>
          <w:i/>
          <w:sz w:val="22"/>
          <w:szCs w:val="22"/>
          <w:lang w:val="sq-AL"/>
        </w:rPr>
        <w:t>miliardë LEK</w:t>
      </w:r>
      <w:r>
        <w:rPr>
          <w:rFonts w:asciiTheme="minorHAnsi" w:eastAsia="Calibri" w:hAnsiTheme="minorHAnsi"/>
          <w:i/>
          <w:sz w:val="22"/>
          <w:szCs w:val="22"/>
          <w:lang w:val="sq-AL"/>
        </w:rPr>
        <w:t>, ose rreth 10.6%</w:t>
      </w:r>
      <w:r w:rsidRPr="00FB3EC8">
        <w:rPr>
          <w:rFonts w:asciiTheme="minorHAnsi" w:eastAsia="Calibri" w:hAnsiTheme="minorHAnsi"/>
          <w:i/>
          <w:sz w:val="22"/>
          <w:szCs w:val="22"/>
          <w:lang w:val="sq-AL"/>
        </w:rPr>
        <w:t>.</w:t>
      </w:r>
    </w:p>
    <w:p w:rsidR="0093018B" w:rsidRPr="001F324B" w:rsidRDefault="0093018B" w:rsidP="0093018B">
      <w:pPr>
        <w:jc w:val="both"/>
        <w:rPr>
          <w:rFonts w:asciiTheme="minorHAnsi" w:eastAsia="Calibri" w:hAnsiTheme="minorHAnsi"/>
          <w:sz w:val="12"/>
          <w:lang w:val="sq-AL"/>
        </w:rPr>
      </w:pPr>
    </w:p>
    <w:p w:rsidR="001F324B" w:rsidRPr="0093018B" w:rsidRDefault="0093018B" w:rsidP="0093018B">
      <w:pPr>
        <w:jc w:val="both"/>
        <w:rPr>
          <w:rFonts w:asciiTheme="minorHAnsi" w:eastAsia="Calibri" w:hAnsiTheme="minorHAnsi"/>
          <w:sz w:val="22"/>
          <w:szCs w:val="22"/>
          <w:lang w:val="sq-AL"/>
        </w:rPr>
      </w:pPr>
      <w:r w:rsidRPr="0093018B">
        <w:rPr>
          <w:rFonts w:asciiTheme="minorHAnsi" w:eastAsia="Calibri" w:hAnsiTheme="minorHAnsi"/>
          <w:sz w:val="22"/>
          <w:szCs w:val="22"/>
          <w:lang w:val="sq-AL"/>
        </w:rPr>
        <w:t xml:space="preserve">Për vitin 2022, efektet e krizës globale energjitike, lufta në Ukrainë, rritja e kostove të mallrave të konsumit, kanë </w:t>
      </w:r>
      <w:r>
        <w:rPr>
          <w:rFonts w:asciiTheme="minorHAnsi" w:eastAsia="Calibri" w:hAnsiTheme="minorHAnsi"/>
          <w:sz w:val="22"/>
          <w:szCs w:val="22"/>
          <w:lang w:val="sq-AL"/>
        </w:rPr>
        <w:t xml:space="preserve">sjellë një </w:t>
      </w:r>
      <w:r w:rsidRPr="0093018B">
        <w:rPr>
          <w:rFonts w:asciiTheme="minorHAnsi" w:eastAsia="Calibri" w:hAnsiTheme="minorHAnsi"/>
          <w:sz w:val="22"/>
          <w:szCs w:val="22"/>
          <w:lang w:val="sq-AL"/>
        </w:rPr>
        <w:t>rritje</w:t>
      </w:r>
      <w:r>
        <w:rPr>
          <w:rFonts w:asciiTheme="minorHAnsi" w:eastAsia="Calibri" w:hAnsiTheme="minorHAnsi"/>
          <w:sz w:val="22"/>
          <w:szCs w:val="22"/>
          <w:lang w:val="sq-AL"/>
        </w:rPr>
        <w:t xml:space="preserve"> të lehtë të </w:t>
      </w:r>
      <w:r w:rsidRPr="0093018B">
        <w:rPr>
          <w:rFonts w:asciiTheme="minorHAnsi" w:eastAsia="Calibri" w:hAnsiTheme="minorHAnsi"/>
          <w:sz w:val="22"/>
          <w:szCs w:val="22"/>
          <w:lang w:val="sq-AL"/>
        </w:rPr>
        <w:t xml:space="preserve">stokut të detyrimeve të prapambetura në nivel të përgjithshëm. </w:t>
      </w:r>
      <w:r>
        <w:rPr>
          <w:rFonts w:asciiTheme="minorHAnsi" w:eastAsia="Calibri" w:hAnsiTheme="minorHAnsi"/>
          <w:sz w:val="22"/>
          <w:szCs w:val="22"/>
          <w:lang w:val="sq-AL"/>
        </w:rPr>
        <w:t>Specifikat që do të karakterizojnë v</w:t>
      </w:r>
      <w:r w:rsidRPr="0093018B">
        <w:rPr>
          <w:rFonts w:asciiTheme="minorHAnsi" w:eastAsia="Calibri" w:hAnsiTheme="minorHAnsi"/>
          <w:sz w:val="22"/>
          <w:szCs w:val="22"/>
          <w:lang w:val="sq-AL"/>
        </w:rPr>
        <w:t>azhdimësi</w:t>
      </w:r>
      <w:r>
        <w:rPr>
          <w:rFonts w:asciiTheme="minorHAnsi" w:eastAsia="Calibri" w:hAnsiTheme="minorHAnsi"/>
          <w:sz w:val="22"/>
          <w:szCs w:val="22"/>
          <w:lang w:val="sq-AL"/>
        </w:rPr>
        <w:t>në</w:t>
      </w:r>
      <w:r w:rsidRPr="0093018B">
        <w:rPr>
          <w:rFonts w:asciiTheme="minorHAnsi" w:eastAsia="Calibri" w:hAnsiTheme="minorHAnsi"/>
          <w:sz w:val="22"/>
          <w:szCs w:val="22"/>
          <w:lang w:val="sq-AL"/>
        </w:rPr>
        <w:t xml:space="preserve"> e kësaj situate</w:t>
      </w:r>
      <w:r>
        <w:rPr>
          <w:rFonts w:asciiTheme="minorHAnsi" w:eastAsia="Calibri" w:hAnsiTheme="minorHAnsi"/>
          <w:sz w:val="22"/>
          <w:szCs w:val="22"/>
          <w:lang w:val="sq-AL"/>
        </w:rPr>
        <w:t>, do të kushtëzojnë edhe ‘sjelljen’ që do të ketë ky zë për pjesën e mbetur të vitit</w:t>
      </w:r>
      <w:r w:rsidRPr="0093018B">
        <w:rPr>
          <w:rFonts w:asciiTheme="minorHAnsi" w:eastAsia="Calibri" w:hAnsiTheme="minorHAnsi"/>
          <w:sz w:val="22"/>
          <w:szCs w:val="22"/>
          <w:lang w:val="sq-AL"/>
        </w:rPr>
        <w:t>. Duke konsideruar që procesi i shlyerjes së detyrimeve nga ana e institucioneve kryhet në respektim të parimit FIFO, rezulton se detyrimet që mbeten për t’u shlyer gjatë vitit 2022 karakterizohen nga një “</w:t>
      </w:r>
      <w:r w:rsidRPr="0093018B">
        <w:rPr>
          <w:rFonts w:asciiTheme="minorHAnsi" w:eastAsia="Calibri" w:hAnsiTheme="minorHAnsi"/>
          <w:i/>
          <w:sz w:val="22"/>
          <w:szCs w:val="22"/>
          <w:lang w:val="sq-AL"/>
        </w:rPr>
        <w:t>moshë mesatare</w:t>
      </w:r>
      <w:r w:rsidRPr="0093018B">
        <w:rPr>
          <w:rFonts w:asciiTheme="minorHAnsi" w:eastAsia="Calibri" w:hAnsiTheme="minorHAnsi"/>
          <w:sz w:val="22"/>
          <w:szCs w:val="22"/>
          <w:lang w:val="sq-AL"/>
        </w:rPr>
        <w:t>” e re e krijimit të tyre</w:t>
      </w:r>
      <w:r w:rsidR="001F324B" w:rsidRPr="0093018B">
        <w:rPr>
          <w:rFonts w:asciiTheme="minorHAnsi" w:eastAsia="Calibri" w:hAnsiTheme="minorHAnsi"/>
          <w:sz w:val="22"/>
          <w:szCs w:val="22"/>
          <w:lang w:val="sq-AL"/>
        </w:rPr>
        <w:t xml:space="preserve">.     </w:t>
      </w:r>
    </w:p>
    <w:p w:rsidR="000A2E8B" w:rsidRPr="00CB14F3" w:rsidRDefault="000A2E8B" w:rsidP="0093018B">
      <w:pPr>
        <w:pStyle w:val="Heading2"/>
        <w:numPr>
          <w:ilvl w:val="0"/>
          <w:numId w:val="54"/>
        </w:numPr>
        <w:ind w:left="360"/>
        <w:rPr>
          <w:sz w:val="26"/>
          <w:szCs w:val="26"/>
        </w:rPr>
      </w:pPr>
      <w:bookmarkStart w:id="144" w:name="_Toc107497000"/>
      <w:r w:rsidRPr="00CB14F3">
        <w:rPr>
          <w:sz w:val="26"/>
          <w:szCs w:val="26"/>
        </w:rPr>
        <w:lastRenderedPageBreak/>
        <w:t>Detyrimet e prapambetura për njësitë e qeverisjes QENDRORE</w:t>
      </w:r>
      <w:bookmarkEnd w:id="144"/>
    </w:p>
    <w:p w:rsidR="00ED4641" w:rsidRPr="00AA7F82" w:rsidRDefault="00ED4641" w:rsidP="00B703A6">
      <w:pPr>
        <w:jc w:val="both"/>
        <w:rPr>
          <w:rFonts w:asciiTheme="minorHAnsi" w:hAnsiTheme="minorHAnsi" w:cstheme="minorHAnsi"/>
          <w:lang w:val="sq-AL"/>
        </w:rPr>
      </w:pPr>
      <w:r>
        <w:rPr>
          <w:rFonts w:asciiTheme="minorHAnsi" w:hAnsiTheme="minorHAnsi" w:cstheme="minorHAnsi"/>
          <w:lang w:val="sq-AL"/>
        </w:rPr>
        <w:t xml:space="preserve">Sipas informacionit të gjeneruar nga Sistemi Informatik Financiar i Qeverisë (SIFQ) për </w:t>
      </w:r>
      <w:r w:rsidR="00EB201A">
        <w:rPr>
          <w:rFonts w:asciiTheme="minorHAnsi" w:hAnsiTheme="minorHAnsi" w:cstheme="minorHAnsi"/>
          <w:lang w:val="sq-AL"/>
        </w:rPr>
        <w:t xml:space="preserve">T1 </w:t>
      </w:r>
      <w:r>
        <w:rPr>
          <w:rFonts w:asciiTheme="minorHAnsi" w:hAnsiTheme="minorHAnsi" w:cstheme="minorHAnsi"/>
          <w:lang w:val="sq-AL"/>
        </w:rPr>
        <w:t>2022, rezulton se stoku i detyrimeve të prapambetura të njësive të qeverisjes qendrore është rreth 6.76 miliardë LEK</w:t>
      </w:r>
      <w:r w:rsidR="00EB201A">
        <w:rPr>
          <w:rFonts w:asciiTheme="minorHAnsi" w:hAnsiTheme="minorHAnsi" w:cstheme="minorHAnsi"/>
          <w:lang w:val="sq-AL"/>
        </w:rPr>
        <w:t>,</w:t>
      </w:r>
      <w:r>
        <w:rPr>
          <w:rFonts w:asciiTheme="minorHAnsi" w:hAnsiTheme="minorHAnsi" w:cstheme="minorHAnsi"/>
          <w:lang w:val="sq-AL"/>
        </w:rPr>
        <w:t xml:space="preserve"> </w:t>
      </w:r>
      <w:r w:rsidR="00EB201A">
        <w:rPr>
          <w:rFonts w:asciiTheme="minorHAnsi" w:hAnsiTheme="minorHAnsi" w:cstheme="minorHAnsi"/>
          <w:lang w:val="sq-AL"/>
        </w:rPr>
        <w:t xml:space="preserve">duke rezultuar 1.19 miliardë LEK më pak ose rreth 15% më i ulët </w:t>
      </w:r>
      <w:r>
        <w:rPr>
          <w:rFonts w:asciiTheme="minorHAnsi" w:hAnsiTheme="minorHAnsi" w:cstheme="minorHAnsi"/>
          <w:lang w:val="sq-AL"/>
        </w:rPr>
        <w:t xml:space="preserve">krahasuar me stokun e regjistruar në </w:t>
      </w:r>
      <w:r w:rsidR="00EB201A">
        <w:rPr>
          <w:rFonts w:asciiTheme="minorHAnsi" w:hAnsiTheme="minorHAnsi" w:cstheme="minorHAnsi"/>
          <w:lang w:val="sq-AL"/>
        </w:rPr>
        <w:t>T1</w:t>
      </w:r>
      <w:r>
        <w:rPr>
          <w:rFonts w:asciiTheme="minorHAnsi" w:hAnsiTheme="minorHAnsi" w:cstheme="minorHAnsi"/>
          <w:lang w:val="sq-AL"/>
        </w:rPr>
        <w:t xml:space="preserve"> 2021. </w:t>
      </w:r>
      <w:r w:rsidRPr="00AA7F82">
        <w:rPr>
          <w:rFonts w:asciiTheme="minorHAnsi" w:hAnsiTheme="minorHAnsi" w:cstheme="minorHAnsi"/>
          <w:lang w:val="sq-AL"/>
        </w:rPr>
        <w:t xml:space="preserve">Sipas kategorive të shpenzimeve rezulton: </w:t>
      </w:r>
    </w:p>
    <w:p w:rsidR="00ED4641" w:rsidRDefault="00B703A6" w:rsidP="00ED4641">
      <w:pPr>
        <w:spacing w:before="120"/>
        <w:jc w:val="both"/>
        <w:rPr>
          <w:rFonts w:ascii="Calibri" w:hAnsi="Calibri"/>
          <w:i/>
          <w:iCs/>
          <w:color w:val="17406D"/>
          <w:sz w:val="22"/>
          <w:szCs w:val="22"/>
        </w:rPr>
      </w:pPr>
      <w:bookmarkStart w:id="145" w:name="_Toc107498139"/>
      <w:r>
        <w:rPr>
          <w:noProof/>
          <w:shd w:val="clear" w:color="auto" w:fill="DAEEF3" w:themeFill="accent5" w:themeFillTint="33"/>
        </w:rPr>
        <w:drawing>
          <wp:anchor distT="0" distB="0" distL="114300" distR="114300" simplePos="0" relativeHeight="251680256" behindDoc="0" locked="0" layoutInCell="1" allowOverlap="1" wp14:anchorId="6794010C" wp14:editId="33F9097E">
            <wp:simplePos x="0" y="0"/>
            <wp:positionH relativeFrom="column">
              <wp:posOffset>-3810</wp:posOffset>
            </wp:positionH>
            <wp:positionV relativeFrom="paragraph">
              <wp:posOffset>306705</wp:posOffset>
            </wp:positionV>
            <wp:extent cx="6185535" cy="2415540"/>
            <wp:effectExtent l="0" t="0" r="0" b="0"/>
            <wp:wrapSquare wrapText="bothSides"/>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343167" w:rsidRPr="00343167">
        <w:rPr>
          <w:rFonts w:asciiTheme="minorHAnsi" w:hAnsiTheme="minorHAnsi"/>
          <w:bCs/>
          <w:i/>
          <w:noProof/>
          <w:sz w:val="22"/>
        </w:rPr>
        <w:t xml:space="preserve"> Grafiku </w:t>
      </w:r>
      <w:r w:rsidR="00343167" w:rsidRPr="00343167">
        <w:rPr>
          <w:rFonts w:asciiTheme="minorHAnsi" w:hAnsiTheme="minorHAnsi"/>
          <w:bCs/>
          <w:i/>
          <w:noProof/>
          <w:sz w:val="22"/>
        </w:rPr>
        <w:fldChar w:fldCharType="begin"/>
      </w:r>
      <w:r w:rsidR="00343167" w:rsidRPr="00343167">
        <w:rPr>
          <w:rFonts w:asciiTheme="minorHAnsi" w:hAnsiTheme="minorHAnsi"/>
          <w:bCs/>
          <w:i/>
          <w:noProof/>
          <w:sz w:val="22"/>
        </w:rPr>
        <w:instrText xml:space="preserve"> SEQ Grafiku \* ARABIC </w:instrText>
      </w:r>
      <w:r w:rsidR="00343167" w:rsidRPr="00343167">
        <w:rPr>
          <w:rFonts w:asciiTheme="minorHAnsi" w:hAnsiTheme="minorHAnsi"/>
          <w:bCs/>
          <w:i/>
          <w:noProof/>
          <w:sz w:val="22"/>
        </w:rPr>
        <w:fldChar w:fldCharType="separate"/>
      </w:r>
      <w:r w:rsidR="003B2B9B">
        <w:rPr>
          <w:rFonts w:asciiTheme="minorHAnsi" w:hAnsiTheme="minorHAnsi"/>
          <w:bCs/>
          <w:i/>
          <w:noProof/>
          <w:sz w:val="22"/>
        </w:rPr>
        <w:t>48</w:t>
      </w:r>
      <w:r w:rsidR="00343167" w:rsidRPr="00343167">
        <w:rPr>
          <w:rFonts w:asciiTheme="minorHAnsi" w:hAnsiTheme="minorHAnsi"/>
          <w:bCs/>
          <w:i/>
          <w:noProof/>
          <w:sz w:val="22"/>
        </w:rPr>
        <w:fldChar w:fldCharType="end"/>
      </w:r>
      <w:r w:rsidR="00343167" w:rsidRPr="00343167">
        <w:rPr>
          <w:rFonts w:asciiTheme="minorHAnsi" w:hAnsiTheme="minorHAnsi"/>
          <w:i/>
          <w:noProof/>
          <w:sz w:val="22"/>
        </w:rPr>
        <w:t>:</w:t>
      </w:r>
      <w:r w:rsidR="00343167">
        <w:rPr>
          <w:rFonts w:asciiTheme="minorHAnsi" w:hAnsiTheme="minorHAnsi"/>
          <w:i/>
          <w:noProof/>
          <w:sz w:val="22"/>
        </w:rPr>
        <w:t xml:space="preserve"> </w:t>
      </w:r>
      <w:r w:rsidR="00ED4641" w:rsidRPr="00343167">
        <w:rPr>
          <w:rFonts w:asciiTheme="minorHAnsi" w:hAnsiTheme="minorHAnsi"/>
          <w:bCs/>
          <w:i/>
          <w:noProof/>
          <w:sz w:val="22"/>
        </w:rPr>
        <w:t>Stoku i detyrimeve të prapambetura qendrore sipas zërave kryesorë</w:t>
      </w:r>
      <w:bookmarkEnd w:id="145"/>
    </w:p>
    <w:p w:rsidR="00EB201A" w:rsidRDefault="00EB201A" w:rsidP="00B703A6">
      <w:pPr>
        <w:jc w:val="both"/>
        <w:rPr>
          <w:rFonts w:asciiTheme="minorHAnsi" w:hAnsiTheme="minorHAnsi" w:cstheme="minorHAnsi"/>
          <w:lang w:val="sq-AL"/>
        </w:rPr>
      </w:pPr>
      <w:bookmarkStart w:id="146" w:name="_Toc76381993"/>
    </w:p>
    <w:p w:rsidR="00ED4641" w:rsidRPr="00B703A6" w:rsidRDefault="00ED4641" w:rsidP="00B703A6">
      <w:pPr>
        <w:jc w:val="both"/>
        <w:rPr>
          <w:rFonts w:asciiTheme="minorHAnsi" w:hAnsiTheme="minorHAnsi" w:cstheme="minorHAnsi"/>
          <w:lang w:val="sq-AL"/>
        </w:rPr>
      </w:pPr>
      <w:r w:rsidRPr="00B703A6">
        <w:rPr>
          <w:rFonts w:asciiTheme="minorHAnsi" w:hAnsiTheme="minorHAnsi" w:cstheme="minorHAnsi"/>
          <w:lang w:val="sq-AL"/>
        </w:rPr>
        <w:t>Siç vërehet, zë me peshë të konsiderueshme në ecurinë e detyrimeve të prapambetura mbetet ai i vendimeve gjyqësore administrative të formës së prerë, të cilat:</w:t>
      </w:r>
    </w:p>
    <w:p w:rsidR="00ED4641" w:rsidRPr="00F23DF1" w:rsidRDefault="00ED4641" w:rsidP="003F6B21">
      <w:pPr>
        <w:pStyle w:val="ListParagraph"/>
        <w:numPr>
          <w:ilvl w:val="0"/>
          <w:numId w:val="51"/>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 xml:space="preserve">Kanë kryesisht në sfond largimet e padrejta nga puna të ish-punonjësve, të cilat në çdo rast implikojnë kosto buxhetore të paparashikuara. Këto detyrime monitorohen dhe raportohen nga Ministria e Financave dhe Ekonomisë, në kuadër të monitorimit të përgjithshëm të detyrimeve të prapambetura. Për </w:t>
      </w:r>
      <w:r w:rsidR="00C1229F" w:rsidRPr="00F23DF1">
        <w:rPr>
          <w:rFonts w:asciiTheme="minorHAnsi" w:hAnsiTheme="minorHAnsi" w:cstheme="minorHAnsi"/>
          <w:i/>
          <w:sz w:val="22"/>
          <w:lang w:val="sq-AL"/>
        </w:rPr>
        <w:t xml:space="preserve">T1 </w:t>
      </w:r>
      <w:r w:rsidRPr="00F23DF1">
        <w:rPr>
          <w:rFonts w:asciiTheme="minorHAnsi" w:hAnsiTheme="minorHAnsi" w:cstheme="minorHAnsi"/>
          <w:i/>
          <w:sz w:val="22"/>
          <w:lang w:val="sq-AL"/>
        </w:rPr>
        <w:t>2022, detyrimet e prapambetura për vendime gjyqësore për njësitë e qeverisje qendrore rezultuan në rreth 3.23 mld LEK ose rreth 47.8% e stokut total të detyrimeve të prapambetura të njësive të qeverisjes qendrore.</w:t>
      </w:r>
      <w:r w:rsidR="00EB201A" w:rsidRPr="00EB201A">
        <w:rPr>
          <w:rFonts w:asciiTheme="minorHAnsi" w:hAnsiTheme="minorHAnsi" w:cstheme="minorHAnsi"/>
          <w:i/>
          <w:sz w:val="22"/>
          <w:lang w:val="sq-AL"/>
        </w:rPr>
        <w:t xml:space="preserve"> </w:t>
      </w:r>
      <w:r w:rsidR="00EB201A">
        <w:rPr>
          <w:rFonts w:asciiTheme="minorHAnsi" w:hAnsiTheme="minorHAnsi" w:cstheme="minorHAnsi"/>
          <w:i/>
          <w:sz w:val="22"/>
          <w:lang w:val="sq-AL"/>
        </w:rPr>
        <w:t xml:space="preserve">Krahasuar me të njëjtën periudhë të një viti më parë, ky nivel është ulur me 54 milion LEK, ose 14.3%. Ndërkohë, krahasuar me vitin 2021, niveli i detyrimeve  </w:t>
      </w:r>
      <w:r w:rsidR="00EB201A" w:rsidRPr="00F23DF1">
        <w:rPr>
          <w:rFonts w:asciiTheme="minorHAnsi" w:hAnsiTheme="minorHAnsi" w:cstheme="minorHAnsi"/>
          <w:i/>
          <w:sz w:val="22"/>
          <w:lang w:val="sq-AL"/>
        </w:rPr>
        <w:t>për vendime</w:t>
      </w:r>
      <w:r w:rsidR="00EB201A">
        <w:rPr>
          <w:rFonts w:asciiTheme="minorHAnsi" w:hAnsiTheme="minorHAnsi" w:cstheme="minorHAnsi"/>
          <w:i/>
          <w:sz w:val="22"/>
          <w:lang w:val="sq-AL"/>
        </w:rPr>
        <w:t>t</w:t>
      </w:r>
      <w:r w:rsidR="00EB201A" w:rsidRPr="00F23DF1">
        <w:rPr>
          <w:rFonts w:asciiTheme="minorHAnsi" w:hAnsiTheme="minorHAnsi" w:cstheme="minorHAnsi"/>
          <w:i/>
          <w:sz w:val="22"/>
          <w:lang w:val="sq-AL"/>
        </w:rPr>
        <w:t xml:space="preserve"> gjyqësore</w:t>
      </w:r>
      <w:r w:rsidR="00EB201A">
        <w:rPr>
          <w:rFonts w:asciiTheme="minorHAnsi" w:hAnsiTheme="minorHAnsi" w:cstheme="minorHAnsi"/>
          <w:i/>
          <w:sz w:val="22"/>
          <w:lang w:val="sq-AL"/>
        </w:rPr>
        <w:t xml:space="preserve"> qendrore është rritur me 7 milion lekë ose 2.2%.</w:t>
      </w:r>
    </w:p>
    <w:p w:rsidR="00ED4641" w:rsidRPr="00F23DF1" w:rsidRDefault="00ED4641" w:rsidP="003F6B21">
      <w:pPr>
        <w:pStyle w:val="ListParagraph"/>
        <w:numPr>
          <w:ilvl w:val="0"/>
          <w:numId w:val="51"/>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Ministria e Financave dhe Ekonomisë, për t’i paraprirë akumulimit të tyre në kohë, përveç një monitorimi periodik, vazhdimisht i ka bërë apel aftësisë menaxhuese të vetë institucioneve buxhetore, përmes aplikimit me këste të pagesës për përfituesit apo instrumenteve të tjerë të lehtësimit dhe/ose zhvendosjes në kohë të të barrës së tyre buxhetore.</w:t>
      </w:r>
    </w:p>
    <w:bookmarkEnd w:id="146"/>
    <w:p w:rsidR="00FC6E77" w:rsidRPr="004C6F8D" w:rsidRDefault="00FC6E77" w:rsidP="00342E35">
      <w:pPr>
        <w:spacing w:line="276" w:lineRule="auto"/>
        <w:ind w:left="450"/>
        <w:contextualSpacing/>
        <w:jc w:val="both"/>
        <w:rPr>
          <w:rFonts w:asciiTheme="minorHAnsi" w:hAnsiTheme="minorHAnsi"/>
          <w:i/>
          <w:sz w:val="8"/>
          <w:lang w:val="sq-AL"/>
        </w:rPr>
      </w:pPr>
    </w:p>
    <w:p w:rsidR="00EB7BF7" w:rsidRPr="00F23DF1" w:rsidRDefault="00EB7BF7" w:rsidP="00EB7BF7">
      <w:pPr>
        <w:spacing w:before="240" w:after="200" w:line="276" w:lineRule="auto"/>
        <w:contextualSpacing/>
        <w:jc w:val="both"/>
        <w:rPr>
          <w:rFonts w:asciiTheme="minorHAnsi" w:eastAsia="Calibri" w:hAnsiTheme="minorHAnsi"/>
          <w:b/>
          <w:bCs/>
          <w:i/>
          <w:color w:val="0070C0"/>
          <w:sz w:val="20"/>
          <w:szCs w:val="26"/>
          <w:lang w:val="sq-AL" w:eastAsia="sq-AL"/>
        </w:rPr>
      </w:pPr>
    </w:p>
    <w:p w:rsidR="00CD3B4E" w:rsidRPr="00CB14F3" w:rsidRDefault="00CD3B4E" w:rsidP="003F6B21">
      <w:pPr>
        <w:pStyle w:val="Heading2"/>
        <w:numPr>
          <w:ilvl w:val="0"/>
          <w:numId w:val="30"/>
        </w:numPr>
        <w:ind w:left="810" w:hanging="810"/>
        <w:rPr>
          <w:sz w:val="26"/>
          <w:szCs w:val="26"/>
        </w:rPr>
      </w:pPr>
      <w:bookmarkStart w:id="147" w:name="_Toc107497001"/>
      <w:r w:rsidRPr="00CB14F3">
        <w:rPr>
          <w:sz w:val="26"/>
          <w:szCs w:val="26"/>
        </w:rPr>
        <w:t>Detyrimet e prapambetura për njësitë e vetëqeverisjes VENDORE</w:t>
      </w:r>
      <w:bookmarkEnd w:id="147"/>
    </w:p>
    <w:p w:rsidR="00F23DF1" w:rsidRPr="001524E0" w:rsidRDefault="00F23DF1" w:rsidP="00F23DF1">
      <w:pPr>
        <w:spacing w:before="120" w:after="120"/>
        <w:jc w:val="both"/>
        <w:rPr>
          <w:rFonts w:asciiTheme="minorHAnsi" w:hAnsiTheme="minorHAnsi"/>
          <w:lang w:val="sq-AL"/>
        </w:rPr>
      </w:pPr>
      <w:r w:rsidRPr="001524E0">
        <w:rPr>
          <w:rFonts w:asciiTheme="minorHAnsi" w:hAnsiTheme="minorHAnsi"/>
          <w:lang w:val="sq-AL"/>
        </w:rPr>
        <w:t xml:space="preserve">Stoku i detyrimeve të prapambetura në fund të muajit </w:t>
      </w:r>
      <w:r>
        <w:rPr>
          <w:rFonts w:asciiTheme="minorHAnsi" w:hAnsiTheme="minorHAnsi"/>
          <w:lang w:val="sq-AL"/>
        </w:rPr>
        <w:t>M</w:t>
      </w:r>
      <w:r w:rsidRPr="001524E0">
        <w:rPr>
          <w:rFonts w:asciiTheme="minorHAnsi" w:hAnsiTheme="minorHAnsi"/>
          <w:lang w:val="sq-AL"/>
        </w:rPr>
        <w:t>ars 2022, i cili parashikohet të shlyhet në një periudhë afatmesme bazuar në planin e shlyerjes së dërguar nga të gjitha bashkitë në Ministrinë e Financave dhe Ekonomisë, është rreth 7.3 miliard lekë. Vlera e stokut të detyrimeve të prapambetura është rritur me rreth 0.7 milard lekë krahasuar me stokun e detyrimit në fund të vitit 2021, që ishte rreth 6.6 miliard lekë.</w:t>
      </w:r>
    </w:p>
    <w:p w:rsidR="00F23DF1" w:rsidRDefault="00F23DF1" w:rsidP="00F23DF1">
      <w:pPr>
        <w:spacing w:before="120" w:after="120"/>
        <w:jc w:val="both"/>
        <w:rPr>
          <w:rFonts w:asciiTheme="minorHAnsi" w:hAnsiTheme="minorHAnsi"/>
          <w:lang w:val="sq-AL"/>
        </w:rPr>
      </w:pPr>
      <w:r w:rsidRPr="001524E0">
        <w:rPr>
          <w:rFonts w:asciiTheme="minorHAnsi" w:hAnsiTheme="minorHAnsi"/>
          <w:lang w:val="sq-AL"/>
        </w:rPr>
        <w:t xml:space="preserve">Sipas kategorive, </w:t>
      </w:r>
      <w:r w:rsidR="0083048A">
        <w:rPr>
          <w:rFonts w:asciiTheme="minorHAnsi" w:hAnsiTheme="minorHAnsi"/>
          <w:lang w:val="sq-AL"/>
        </w:rPr>
        <w:t>p</w:t>
      </w:r>
      <w:r w:rsidR="00FA4974">
        <w:rPr>
          <w:rFonts w:asciiTheme="minorHAnsi" w:hAnsiTheme="minorHAnsi"/>
          <w:lang w:val="sq-AL"/>
        </w:rPr>
        <w:t>ë</w:t>
      </w:r>
      <w:r w:rsidR="0083048A">
        <w:rPr>
          <w:rFonts w:asciiTheme="minorHAnsi" w:hAnsiTheme="minorHAnsi"/>
          <w:lang w:val="sq-AL"/>
        </w:rPr>
        <w:t>r bashkit</w:t>
      </w:r>
      <w:r w:rsidR="00FA4974">
        <w:rPr>
          <w:rFonts w:asciiTheme="minorHAnsi" w:hAnsiTheme="minorHAnsi"/>
          <w:lang w:val="sq-AL"/>
        </w:rPr>
        <w:t>ë</w:t>
      </w:r>
      <w:r w:rsidR="0083048A">
        <w:rPr>
          <w:rFonts w:asciiTheme="minorHAnsi" w:hAnsiTheme="minorHAnsi"/>
          <w:lang w:val="sq-AL"/>
        </w:rPr>
        <w:t xml:space="preserve"> </w:t>
      </w:r>
      <w:r w:rsidRPr="001524E0">
        <w:rPr>
          <w:rFonts w:asciiTheme="minorHAnsi" w:hAnsiTheme="minorHAnsi"/>
          <w:lang w:val="sq-AL"/>
        </w:rPr>
        <w:t>peshën më të madhe të stokut të detyrimeve e zë kategoria “Investime” me 54%. Më pas, kategoria “Të tjera” me 19.7%, “Shërbime” me 10.6%, dhe “Vendime Gjyqësore” me 8%. Ndërsa sa i përket qarqeve, stoku i detyrimit të tyre përbëhet kryesisht nga vendime gjyqësore, të cilat vazhdojnë të zënë 96.4% të totalit të detyrimit të qarqeve.</w:t>
      </w:r>
    </w:p>
    <w:p w:rsidR="00EB201A" w:rsidRDefault="00EB201A" w:rsidP="00F23DF1">
      <w:pPr>
        <w:spacing w:before="120" w:after="120"/>
        <w:jc w:val="both"/>
        <w:rPr>
          <w:rFonts w:asciiTheme="minorHAnsi" w:hAnsiTheme="minorHAnsi"/>
          <w:lang w:val="sq-AL"/>
        </w:rPr>
      </w:pPr>
    </w:p>
    <w:p w:rsidR="00EB201A" w:rsidRPr="001524E0" w:rsidRDefault="00EB201A" w:rsidP="00F23DF1">
      <w:pPr>
        <w:spacing w:before="120" w:after="120"/>
        <w:jc w:val="both"/>
        <w:rPr>
          <w:rFonts w:asciiTheme="minorHAnsi" w:hAnsiTheme="minorHAnsi"/>
          <w:lang w:val="sq-AL"/>
        </w:rPr>
      </w:pPr>
    </w:p>
    <w:p w:rsidR="00F23DF1" w:rsidRPr="0068071B" w:rsidRDefault="0068071B" w:rsidP="0068071B">
      <w:pPr>
        <w:spacing w:before="120"/>
        <w:jc w:val="both"/>
        <w:rPr>
          <w:rFonts w:asciiTheme="minorHAnsi" w:hAnsiTheme="minorHAnsi"/>
          <w:bCs/>
          <w:i/>
          <w:noProof/>
          <w:sz w:val="22"/>
        </w:rPr>
      </w:pPr>
      <w:bookmarkStart w:id="148" w:name="_Toc107496762"/>
      <w:r w:rsidRPr="00343167">
        <w:rPr>
          <w:rFonts w:asciiTheme="minorHAnsi" w:hAnsiTheme="minorHAnsi"/>
          <w:bCs/>
          <w:i/>
          <w:noProof/>
          <w:sz w:val="22"/>
        </w:rPr>
        <w:lastRenderedPageBreak/>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26</w:t>
      </w:r>
      <w:r w:rsidRPr="00343167">
        <w:rPr>
          <w:rFonts w:asciiTheme="minorHAnsi" w:hAnsiTheme="minorHAnsi"/>
          <w:bCs/>
          <w:i/>
          <w:noProof/>
          <w:sz w:val="22"/>
        </w:rPr>
        <w:fldChar w:fldCharType="end"/>
      </w:r>
      <w:r>
        <w:rPr>
          <w:rFonts w:asciiTheme="minorHAnsi" w:hAnsiTheme="minorHAnsi"/>
          <w:bCs/>
          <w:i/>
          <w:noProof/>
          <w:sz w:val="22"/>
        </w:rPr>
        <w:t xml:space="preserve">: </w:t>
      </w:r>
      <w:r w:rsidR="00F23DF1" w:rsidRPr="0068071B">
        <w:rPr>
          <w:rFonts w:asciiTheme="minorHAnsi" w:hAnsiTheme="minorHAnsi"/>
          <w:bCs/>
          <w:i/>
          <w:noProof/>
          <w:sz w:val="22"/>
        </w:rPr>
        <w:t xml:space="preserve">Stoku i detyrimit të mbetur vendor – </w:t>
      </w:r>
      <w:r w:rsidR="003E4318" w:rsidRPr="0068071B">
        <w:rPr>
          <w:rFonts w:asciiTheme="minorHAnsi" w:hAnsiTheme="minorHAnsi"/>
          <w:bCs/>
          <w:i/>
          <w:noProof/>
          <w:sz w:val="22"/>
        </w:rPr>
        <w:t>T1</w:t>
      </w:r>
      <w:r w:rsidR="00F23DF1" w:rsidRPr="0068071B">
        <w:rPr>
          <w:rFonts w:asciiTheme="minorHAnsi" w:hAnsiTheme="minorHAnsi"/>
          <w:bCs/>
          <w:i/>
          <w:noProof/>
          <w:sz w:val="22"/>
        </w:rPr>
        <w:t xml:space="preserve"> 2022 (në lekë)</w:t>
      </w:r>
      <w:bookmarkEnd w:id="148"/>
    </w:p>
    <w:tbl>
      <w:tblPr>
        <w:tblStyle w:val="GridTable1Light-Accent12"/>
        <w:tblW w:w="9822" w:type="dxa"/>
        <w:jc w:val="center"/>
        <w:tblLook w:val="04A0" w:firstRow="1" w:lastRow="0" w:firstColumn="1" w:lastColumn="0" w:noHBand="0" w:noVBand="1"/>
      </w:tblPr>
      <w:tblGrid>
        <w:gridCol w:w="1408"/>
        <w:gridCol w:w="2739"/>
        <w:gridCol w:w="1920"/>
        <w:gridCol w:w="1495"/>
        <w:gridCol w:w="1130"/>
        <w:gridCol w:w="1130"/>
      </w:tblGrid>
      <w:tr w:rsidR="00F23DF1" w:rsidRPr="001524E0" w:rsidTr="00F23DF1">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Llog. Ekonomike</w:t>
            </w:r>
          </w:p>
        </w:tc>
        <w:tc>
          <w:tcPr>
            <w:tcW w:w="2739"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Kategoria</w:t>
            </w:r>
          </w:p>
        </w:tc>
        <w:tc>
          <w:tcPr>
            <w:tcW w:w="192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Bashki</w:t>
            </w:r>
          </w:p>
        </w:tc>
        <w:tc>
          <w:tcPr>
            <w:tcW w:w="1495"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Qarqe</w:t>
            </w:r>
          </w:p>
        </w:tc>
        <w:tc>
          <w:tcPr>
            <w:tcW w:w="113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Bashki</w:t>
            </w:r>
          </w:p>
        </w:tc>
        <w:tc>
          <w:tcPr>
            <w:tcW w:w="113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rsidR="00F23DF1" w:rsidRPr="001524E0" w:rsidRDefault="00F23DF1" w:rsidP="00F23DF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Qarqe</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4864100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Vendime Gjyqësore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574,331,516</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115,236,636</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8%</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96.4%</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4864200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Shërbime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763,752,696</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tabs>
                <w:tab w:val="center" w:pos="635"/>
                <w:tab w:val="right" w:pos="1271"/>
              </w:tabs>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ab/>
              <w:t xml:space="preserve">             1,448,121</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10.6%</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1.2%</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4864300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Det.Prap.Mirëmbajtjeje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158,485,503</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2.2%</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4864400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Investime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3,879,277,143</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739,225</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54%</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0.6%</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4864500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Det.Prap.Rimbursim TVSH</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758,305</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4864600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Mallra</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310,033,276</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705,546</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4.3%</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0.6%</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4864900</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Det.Prap.Të Tjera</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1,412,861,315</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1,435,940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19.7%</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1.2%</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4864601</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Det.Prap.Sig.Shoqërore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56,593,941</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0.8%</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4864602</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Det.Prap.Sig.Shëndetsore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3,921,652</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0.1%</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4864603</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Det.Prap.Ardh.Personale</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21,047,502</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0.3%</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r w:rsidRPr="001524E0">
              <w:rPr>
                <w:rFonts w:asciiTheme="minorHAnsi" w:hAnsiTheme="minorHAnsi"/>
                <w:sz w:val="18"/>
                <w:szCs w:val="20"/>
                <w:lang w:val="sq-AL"/>
              </w:rPr>
              <w:t>4864604</w:t>
            </w: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Det.Prap.Tatime Tjera</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1,738,144</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0.1%</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0.0%</w:t>
            </w:r>
          </w:p>
        </w:tc>
      </w:tr>
      <w:tr w:rsidR="00F23DF1" w:rsidRPr="001524E0" w:rsidTr="00F23DF1">
        <w:trPr>
          <w:trHeight w:val="229"/>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rPr>
                <w:rFonts w:asciiTheme="minorHAnsi" w:hAnsiTheme="minorHAnsi"/>
                <w:sz w:val="18"/>
                <w:szCs w:val="20"/>
                <w:lang w:val="sq-AL"/>
              </w:rPr>
            </w:pPr>
          </w:p>
        </w:tc>
        <w:tc>
          <w:tcPr>
            <w:tcW w:w="273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TOTAL</w:t>
            </w:r>
          </w:p>
        </w:tc>
        <w:tc>
          <w:tcPr>
            <w:tcW w:w="192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7,182,800,993</w:t>
            </w:r>
          </w:p>
        </w:tc>
        <w:tc>
          <w:tcPr>
            <w:tcW w:w="1495"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119,565,468</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c>
          <w:tcPr>
            <w:tcW w:w="113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rsidR="00F23DF1" w:rsidRPr="001524E0" w:rsidRDefault="00F23DF1" w:rsidP="00F23D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r>
    </w:tbl>
    <w:p w:rsidR="00F23DF1" w:rsidRPr="001524E0" w:rsidRDefault="00F23DF1" w:rsidP="00F23DF1">
      <w:pPr>
        <w:pStyle w:val="Caption"/>
        <w:spacing w:after="0" w:line="276" w:lineRule="auto"/>
        <w:rPr>
          <w:rFonts w:asciiTheme="minorHAnsi" w:hAnsiTheme="minorHAnsi"/>
          <w:b w:val="0"/>
          <w:i/>
          <w:color w:val="auto"/>
          <w:sz w:val="20"/>
          <w:szCs w:val="24"/>
          <w:lang w:val="sq-AL"/>
        </w:rPr>
      </w:pPr>
      <w:r w:rsidRPr="001524E0">
        <w:rPr>
          <w:rFonts w:asciiTheme="minorHAnsi" w:hAnsiTheme="minorHAnsi"/>
          <w:b w:val="0"/>
          <w:i/>
          <w:color w:val="auto"/>
          <w:sz w:val="20"/>
          <w:szCs w:val="24"/>
          <w:lang w:val="sq-AL"/>
        </w:rPr>
        <w:t>Burimi: Ministria e Financave dhe Ekonomisë (2022);</w:t>
      </w:r>
    </w:p>
    <w:p w:rsidR="00F23DF1" w:rsidRPr="001524E0" w:rsidRDefault="00F23DF1" w:rsidP="00F23DF1">
      <w:pPr>
        <w:spacing w:before="120" w:after="120"/>
        <w:jc w:val="both"/>
        <w:rPr>
          <w:rFonts w:asciiTheme="minorHAnsi" w:hAnsiTheme="minorHAnsi"/>
          <w:lang w:val="sq-AL"/>
        </w:rPr>
      </w:pPr>
      <w:r w:rsidRPr="001524E0">
        <w:rPr>
          <w:rFonts w:asciiTheme="minorHAnsi" w:hAnsiTheme="minorHAnsi"/>
          <w:lang w:val="sq-AL"/>
        </w:rPr>
        <w:t>Stokun më të lartë të detyrimeve e ka bashkia Tiranë në vlerën rreth 1.2 miliard lekë, e cila përbën 16.3% të totalit të detyrimeve. Më pas vjen bashkia Kavajë në vlerën rreth 813 milion lekë, e cila përbën 11.3% të totalit të detyrimeve; bashkia Vorë në vlerën rreth 516 milion lekë, e cila përbën 7.2% të totalit të detyrimeve; bashkia Lezhë në vlerën rreth 477 milion lekë, e cila përbën 6.6% të totalit të detyrimeve. Më pas renditen bashkia Malësi e Madhe dhe bashkia Pogradec.</w:t>
      </w:r>
    </w:p>
    <w:p w:rsidR="00F23DF1" w:rsidRPr="001524E0" w:rsidRDefault="00F23DF1" w:rsidP="00F23DF1">
      <w:pPr>
        <w:spacing w:before="120" w:after="120"/>
        <w:jc w:val="both"/>
        <w:rPr>
          <w:rFonts w:asciiTheme="minorHAnsi" w:hAnsiTheme="minorHAnsi"/>
          <w:lang w:val="sq-AL"/>
        </w:rPr>
      </w:pPr>
      <w:r w:rsidRPr="001524E0">
        <w:rPr>
          <w:rFonts w:asciiTheme="minorHAnsi" w:hAnsiTheme="minorHAnsi"/>
          <w:lang w:val="sq-AL"/>
        </w:rPr>
        <w:t xml:space="preserve">Ndërsa, sa i përket qarqeve, stokun më të lartë të detyrimit vazhdon ta ketë qarku Durrës në vlerën rreth 55.6 milion lekë, e cila përbën 46.5% të totalit të detyrimeve; qarku Berat në vlerën rreth 47 milion lekë, e cila përbën 39.2% të totalit të detyrimeve; qarku Gjirokastër në vlerën rreth 15 milion lekë, e cila përbën 12.9% të totalit të detyrimeve. Më pas renditen qarku Vlorë dhe qarku Korçë. </w:t>
      </w:r>
    </w:p>
    <w:p w:rsidR="00CD3B4E" w:rsidRPr="0068071B" w:rsidRDefault="0068071B" w:rsidP="00CD3B4E">
      <w:pPr>
        <w:pStyle w:val="Caption"/>
        <w:spacing w:after="0" w:line="276" w:lineRule="auto"/>
        <w:rPr>
          <w:rFonts w:asciiTheme="minorHAnsi" w:hAnsiTheme="minorHAnsi"/>
          <w:b w:val="0"/>
          <w:i/>
          <w:noProof/>
          <w:color w:val="auto"/>
          <w:sz w:val="22"/>
          <w:szCs w:val="24"/>
        </w:rPr>
      </w:pPr>
      <w:bookmarkStart w:id="149" w:name="_Toc107498140"/>
      <w:r w:rsidRPr="0068071B">
        <w:rPr>
          <w:rFonts w:asciiTheme="minorHAnsi" w:hAnsiTheme="minorHAnsi"/>
          <w:b w:val="0"/>
          <w:i/>
          <w:noProof/>
          <w:color w:val="auto"/>
          <w:sz w:val="22"/>
          <w:szCs w:val="24"/>
        </w:rPr>
        <w:t xml:space="preserve">Grafiku </w:t>
      </w:r>
      <w:r w:rsidRPr="0068071B">
        <w:rPr>
          <w:rFonts w:asciiTheme="minorHAnsi" w:hAnsiTheme="minorHAnsi"/>
          <w:b w:val="0"/>
          <w:i/>
          <w:noProof/>
          <w:color w:val="auto"/>
          <w:sz w:val="22"/>
          <w:szCs w:val="24"/>
        </w:rPr>
        <w:fldChar w:fldCharType="begin"/>
      </w:r>
      <w:r w:rsidRPr="0068071B">
        <w:rPr>
          <w:rFonts w:asciiTheme="minorHAnsi" w:hAnsiTheme="minorHAnsi"/>
          <w:b w:val="0"/>
          <w:i/>
          <w:noProof/>
          <w:color w:val="auto"/>
          <w:sz w:val="22"/>
          <w:szCs w:val="24"/>
        </w:rPr>
        <w:instrText xml:space="preserve"> SEQ Grafiku \* ARABIC </w:instrText>
      </w:r>
      <w:r w:rsidRPr="0068071B">
        <w:rPr>
          <w:rFonts w:asciiTheme="minorHAnsi" w:hAnsiTheme="minorHAnsi"/>
          <w:b w:val="0"/>
          <w:i/>
          <w:noProof/>
          <w:color w:val="auto"/>
          <w:sz w:val="22"/>
          <w:szCs w:val="24"/>
        </w:rPr>
        <w:fldChar w:fldCharType="separate"/>
      </w:r>
      <w:r w:rsidR="003B2B9B">
        <w:rPr>
          <w:rFonts w:asciiTheme="minorHAnsi" w:hAnsiTheme="minorHAnsi"/>
          <w:b w:val="0"/>
          <w:i/>
          <w:noProof/>
          <w:color w:val="auto"/>
          <w:sz w:val="22"/>
          <w:szCs w:val="24"/>
        </w:rPr>
        <w:t>49</w:t>
      </w:r>
      <w:r w:rsidRPr="0068071B">
        <w:rPr>
          <w:rFonts w:asciiTheme="minorHAnsi" w:hAnsiTheme="minorHAnsi"/>
          <w:b w:val="0"/>
          <w:i/>
          <w:noProof/>
          <w:color w:val="auto"/>
          <w:sz w:val="22"/>
          <w:szCs w:val="24"/>
        </w:rPr>
        <w:fldChar w:fldCharType="end"/>
      </w:r>
      <w:r w:rsidRPr="0068071B">
        <w:rPr>
          <w:rFonts w:asciiTheme="minorHAnsi" w:hAnsiTheme="minorHAnsi"/>
          <w:b w:val="0"/>
          <w:i/>
          <w:noProof/>
          <w:color w:val="auto"/>
          <w:sz w:val="22"/>
          <w:szCs w:val="24"/>
        </w:rPr>
        <w:t xml:space="preserve">: </w:t>
      </w:r>
      <w:r w:rsidR="00CD3B4E" w:rsidRPr="0068071B">
        <w:rPr>
          <w:rFonts w:asciiTheme="minorHAnsi" w:hAnsiTheme="minorHAnsi"/>
          <w:b w:val="0"/>
          <w:i/>
          <w:noProof/>
          <w:color w:val="auto"/>
          <w:sz w:val="22"/>
          <w:szCs w:val="24"/>
        </w:rPr>
        <w:t xml:space="preserve">Stoku i detyrimeve të prapambetura vendore </w:t>
      </w:r>
      <w:r w:rsidR="0083048A" w:rsidRPr="0068071B">
        <w:rPr>
          <w:rFonts w:asciiTheme="minorHAnsi" w:hAnsiTheme="minorHAnsi"/>
          <w:b w:val="0"/>
          <w:i/>
          <w:noProof/>
          <w:color w:val="auto"/>
          <w:sz w:val="22"/>
          <w:szCs w:val="24"/>
        </w:rPr>
        <w:t xml:space="preserve">(bashki+qarqe) </w:t>
      </w:r>
      <w:r w:rsidR="00CD3B4E" w:rsidRPr="0068071B">
        <w:rPr>
          <w:rFonts w:asciiTheme="minorHAnsi" w:hAnsiTheme="minorHAnsi"/>
          <w:b w:val="0"/>
          <w:i/>
          <w:noProof/>
          <w:color w:val="auto"/>
          <w:sz w:val="22"/>
          <w:szCs w:val="24"/>
        </w:rPr>
        <w:t>sipas zerave kryesorë</w:t>
      </w:r>
      <w:bookmarkEnd w:id="149"/>
    </w:p>
    <w:p w:rsidR="00CD3B4E" w:rsidRPr="000A2E8B" w:rsidRDefault="00EB7BF7" w:rsidP="00EB7BF7">
      <w:pPr>
        <w:spacing w:line="276" w:lineRule="auto"/>
        <w:contextualSpacing/>
        <w:jc w:val="center"/>
        <w:rPr>
          <w:rFonts w:asciiTheme="minorHAnsi" w:hAnsiTheme="minorHAnsi"/>
          <w:lang w:val="sq-AL"/>
        </w:rPr>
      </w:pPr>
      <w:r>
        <w:rPr>
          <w:noProof/>
          <w:shd w:val="clear" w:color="auto" w:fill="DAEEF3" w:themeFill="accent5" w:themeFillTint="33"/>
        </w:rPr>
        <w:drawing>
          <wp:inline distT="0" distB="0" distL="0" distR="0" wp14:anchorId="73EE0255" wp14:editId="0CDC75BC">
            <wp:extent cx="5406390" cy="259842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D3B4E" w:rsidRPr="00F07CFC" w:rsidRDefault="00FD3343" w:rsidP="00F23DF1">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p>
    <w:p w:rsidR="00CD3B4E" w:rsidRDefault="00CD3B4E" w:rsidP="0064168E">
      <w:pPr>
        <w:spacing w:before="120" w:line="276" w:lineRule="auto"/>
        <w:contextualSpacing/>
        <w:jc w:val="both"/>
        <w:rPr>
          <w:rFonts w:asciiTheme="minorHAnsi" w:hAnsiTheme="minorHAnsi"/>
          <w:lang w:val="sq-AL"/>
        </w:rPr>
      </w:pPr>
    </w:p>
    <w:p w:rsidR="003E4318" w:rsidRDefault="003E4318" w:rsidP="0064168E">
      <w:pPr>
        <w:spacing w:before="120" w:line="276" w:lineRule="auto"/>
        <w:contextualSpacing/>
        <w:jc w:val="both"/>
        <w:rPr>
          <w:rFonts w:asciiTheme="minorHAnsi" w:hAnsiTheme="minorHAnsi"/>
          <w:lang w:val="sq-AL"/>
        </w:rPr>
      </w:pPr>
    </w:p>
    <w:p w:rsidR="00562780" w:rsidRPr="004C6F8D" w:rsidRDefault="00521154" w:rsidP="003F6B21">
      <w:pPr>
        <w:pStyle w:val="Heading2"/>
        <w:numPr>
          <w:ilvl w:val="0"/>
          <w:numId w:val="31"/>
        </w:numPr>
        <w:ind w:hanging="720"/>
        <w:rPr>
          <w:sz w:val="26"/>
          <w:szCs w:val="26"/>
        </w:rPr>
      </w:pPr>
      <w:bookmarkStart w:id="150" w:name="_Toc107497002"/>
      <w:r w:rsidRPr="004C6F8D">
        <w:rPr>
          <w:sz w:val="26"/>
          <w:szCs w:val="26"/>
        </w:rPr>
        <w:t xml:space="preserve">Pagesat Faktike </w:t>
      </w:r>
      <w:r>
        <w:rPr>
          <w:sz w:val="26"/>
          <w:szCs w:val="26"/>
        </w:rPr>
        <w:t>të K</w:t>
      </w:r>
      <w:r w:rsidR="00FC6E77" w:rsidRPr="004C6F8D">
        <w:rPr>
          <w:sz w:val="26"/>
          <w:szCs w:val="26"/>
        </w:rPr>
        <w:t xml:space="preserve">ontratave </w:t>
      </w:r>
      <w:r w:rsidR="00562780" w:rsidRPr="004C6F8D">
        <w:rPr>
          <w:sz w:val="26"/>
          <w:szCs w:val="26"/>
        </w:rPr>
        <w:t>Koncesion</w:t>
      </w:r>
      <w:r w:rsidR="00FC6E77" w:rsidRPr="004C6F8D">
        <w:rPr>
          <w:sz w:val="26"/>
          <w:szCs w:val="26"/>
        </w:rPr>
        <w:t>are</w:t>
      </w:r>
      <w:r w:rsidR="00562780" w:rsidRPr="004C6F8D">
        <w:rPr>
          <w:sz w:val="26"/>
          <w:szCs w:val="26"/>
        </w:rPr>
        <w:t>/PPP</w:t>
      </w:r>
      <w:bookmarkEnd w:id="100"/>
      <w:bookmarkEnd w:id="101"/>
      <w:bookmarkEnd w:id="102"/>
      <w:r w:rsidR="00FC6E77" w:rsidRPr="004C6F8D">
        <w:rPr>
          <w:sz w:val="26"/>
          <w:szCs w:val="26"/>
        </w:rPr>
        <w:t xml:space="preserve">, me </w:t>
      </w:r>
      <w:r w:rsidRPr="004C6F8D">
        <w:rPr>
          <w:sz w:val="26"/>
          <w:szCs w:val="26"/>
        </w:rPr>
        <w:t>Mbështetje Buxhetore</w:t>
      </w:r>
      <w:bookmarkEnd w:id="150"/>
    </w:p>
    <w:p w:rsidR="00932560" w:rsidRPr="00F07CFC" w:rsidRDefault="00FC6E77" w:rsidP="00CA740E">
      <w:pPr>
        <w:jc w:val="both"/>
        <w:rPr>
          <w:rFonts w:asciiTheme="minorHAnsi" w:hAnsiTheme="minorHAnsi" w:cstheme="minorHAnsi"/>
        </w:rPr>
      </w:pPr>
      <w:r w:rsidRPr="00F07CFC">
        <w:rPr>
          <w:rFonts w:asciiTheme="minorHAnsi" w:hAnsiTheme="minorHAnsi" w:cstheme="minorHAnsi"/>
        </w:rPr>
        <w:t xml:space="preserve">Ministria e Financave dhe Ekonomisë (MFE) vlerëson dhe miraton paraprakisht të gjitha projektet koncesionare dhe të partneritetit publik privat (PPP), si edhe çdo ndryshim të tyre, nga pikëpamja e implikimeve individuale apo në grup, për shpenzimet buxhetore, deficitin buxhetor, qëndrueshmërinë e borxhit publik dhe detyrimet kontingjente eventuale. </w:t>
      </w:r>
    </w:p>
    <w:p w:rsidR="00FC6E77" w:rsidRPr="00F07CFC" w:rsidRDefault="00FC6E77" w:rsidP="00CA740E">
      <w:pPr>
        <w:spacing w:before="240"/>
        <w:jc w:val="both"/>
        <w:rPr>
          <w:rFonts w:asciiTheme="minorHAnsi" w:hAnsiTheme="minorHAnsi" w:cstheme="minorHAnsi"/>
        </w:rPr>
      </w:pPr>
      <w:r w:rsidRPr="00F07CFC">
        <w:rPr>
          <w:rFonts w:asciiTheme="minorHAnsi" w:hAnsiTheme="minorHAnsi" w:cstheme="minorHAnsi"/>
        </w:rPr>
        <w:lastRenderedPageBreak/>
        <w:t xml:space="preserve">Shuma totale e pagesave vjetore neto, që kryhen nga njësitë e qeverisjes së përgjithshme, të cilat rezultojnë nga kontrata koncesionare apo partneriteti publik privat (PPP), si rregull, nuk duhet të tejkalojë kufirin prej 5 përqind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 </w:t>
      </w:r>
    </w:p>
    <w:p w:rsidR="00F07CFC" w:rsidRPr="00F07CFC" w:rsidRDefault="00FC6E77" w:rsidP="00CA740E">
      <w:pPr>
        <w:spacing w:before="240"/>
        <w:jc w:val="both"/>
        <w:rPr>
          <w:rFonts w:asciiTheme="minorHAnsi" w:hAnsiTheme="minorHAnsi" w:cstheme="minorHAnsi"/>
        </w:rPr>
      </w:pPr>
      <w:r w:rsidRPr="00F07CFC">
        <w:rPr>
          <w:rFonts w:asciiTheme="minorHAnsi" w:hAnsiTheme="minorHAnsi" w:cstheme="minorHAnsi"/>
        </w:rPr>
        <w:t>Gjatë vitit 202</w:t>
      </w:r>
      <w:r w:rsidR="00F23DF1">
        <w:rPr>
          <w:rFonts w:asciiTheme="minorHAnsi" w:hAnsiTheme="minorHAnsi" w:cstheme="minorHAnsi"/>
        </w:rPr>
        <w:t>2</w:t>
      </w:r>
      <w:r w:rsidRPr="00F07CFC">
        <w:rPr>
          <w:rFonts w:asciiTheme="minorHAnsi" w:hAnsiTheme="minorHAnsi" w:cstheme="minorHAnsi"/>
        </w:rPr>
        <w:t xml:space="preserve">, MFE ka vijuar monitorimin e performancës së kontratave koncesionare/PPP-ve me mbështetje buxhetore, duke monitoruar ecurinë e pagesave faktike buxhetore dhe treguesit e performancës të planifikuar/realizuar, për secilën kontratë koncesionare/PPP. </w:t>
      </w:r>
    </w:p>
    <w:p w:rsidR="00CA740E" w:rsidRPr="00CA740E" w:rsidRDefault="00FC6E77" w:rsidP="00CA740E">
      <w:pPr>
        <w:spacing w:before="240"/>
        <w:jc w:val="both"/>
        <w:rPr>
          <w:rFonts w:asciiTheme="minorHAnsi" w:hAnsiTheme="minorHAnsi" w:cstheme="minorHAnsi"/>
        </w:rPr>
      </w:pPr>
      <w:r w:rsidRPr="00F07CFC">
        <w:rPr>
          <w:rFonts w:asciiTheme="minorHAnsi" w:hAnsiTheme="minorHAnsi" w:cstheme="minorHAnsi"/>
        </w:rPr>
        <w:t>Monitorimi dhe raportimi mbi kontratat koncesionare/PPP është institucionaliz</w:t>
      </w:r>
      <w:r w:rsidR="00CA740E">
        <w:rPr>
          <w:rFonts w:asciiTheme="minorHAnsi" w:hAnsiTheme="minorHAnsi" w:cstheme="minorHAnsi"/>
        </w:rPr>
        <w:t>uar edhe përmes përfshirjes në U</w:t>
      </w:r>
      <w:r w:rsidRPr="00F07CFC">
        <w:rPr>
          <w:rFonts w:asciiTheme="minorHAnsi" w:hAnsiTheme="minorHAnsi" w:cstheme="minorHAnsi"/>
        </w:rPr>
        <w:t xml:space="preserve">dhëzimin </w:t>
      </w:r>
      <w:r w:rsidR="00CA740E">
        <w:rPr>
          <w:rFonts w:asciiTheme="minorHAnsi" w:hAnsiTheme="minorHAnsi" w:cstheme="minorHAnsi"/>
        </w:rPr>
        <w:t>P</w:t>
      </w:r>
      <w:r w:rsidRPr="00F07CFC">
        <w:rPr>
          <w:rFonts w:asciiTheme="minorHAnsi" w:hAnsiTheme="minorHAnsi" w:cstheme="minorHAnsi"/>
        </w:rPr>
        <w:t xml:space="preserve">lotësues </w:t>
      </w:r>
      <w:r w:rsidR="00CA740E" w:rsidRPr="00AF25C1">
        <w:rPr>
          <w:rFonts w:asciiTheme="minorHAnsi" w:hAnsiTheme="minorHAnsi" w:cstheme="minorHAnsi"/>
          <w:lang w:val="sq-AL"/>
        </w:rPr>
        <w:t>nr.1 datë 10.01.2022 “</w:t>
      </w:r>
      <w:r w:rsidR="00CA740E" w:rsidRPr="00CA740E">
        <w:rPr>
          <w:rFonts w:asciiTheme="minorHAnsi" w:hAnsiTheme="minorHAnsi" w:cstheme="minorHAnsi"/>
          <w:i/>
          <w:lang w:val="sq-AL"/>
        </w:rPr>
        <w:t>Për zbatimin e buxhetit të vitit 2022</w:t>
      </w:r>
      <w:r w:rsidR="00CA740E" w:rsidRPr="00AF25C1">
        <w:rPr>
          <w:rFonts w:asciiTheme="minorHAnsi" w:hAnsiTheme="minorHAnsi" w:cstheme="minorHAnsi"/>
          <w:lang w:val="sq-AL"/>
        </w:rPr>
        <w:t>”</w:t>
      </w:r>
      <w:r w:rsidRPr="00F07CFC">
        <w:rPr>
          <w:rFonts w:asciiTheme="minorHAnsi" w:hAnsiTheme="minorHAnsi" w:cstheme="minorHAnsi"/>
        </w:rPr>
        <w:t xml:space="preserve">, të skedulit të detyrueshëm kohor të raportimit të tyre nga çdo autoritet kontraktor dhe të formateve standarde respektive, me qëllim thellimin e analizës dhe rritjen e transparencës. Ky monitorim është kryer në bazë mujore, me qëllim identifikimin dhe monitorimin hap pas hapi të risqeve potenciale që mund të materializohen nga implementimi i tyre. </w:t>
      </w:r>
      <w:bookmarkStart w:id="151" w:name="_Toc11135141"/>
      <w:r w:rsidR="00CA740E" w:rsidRPr="004462C8">
        <w:rPr>
          <w:rFonts w:asciiTheme="minorHAnsi" w:hAnsiTheme="minorHAnsi" w:cstheme="minorHAnsi"/>
          <w:lang w:val="sq-AL"/>
        </w:rPr>
        <w:t>Në fund të 5</w:t>
      </w:r>
      <w:r w:rsidR="00CA740E">
        <w:rPr>
          <w:rFonts w:asciiTheme="minorHAnsi" w:hAnsiTheme="minorHAnsi" w:cstheme="minorHAnsi"/>
          <w:lang w:val="sq-AL"/>
        </w:rPr>
        <w:t>M</w:t>
      </w:r>
      <w:r w:rsidR="00CA740E" w:rsidRPr="004462C8">
        <w:rPr>
          <w:rFonts w:asciiTheme="minorHAnsi" w:hAnsiTheme="minorHAnsi" w:cstheme="minorHAnsi"/>
          <w:lang w:val="sq-AL"/>
        </w:rPr>
        <w:t xml:space="preserve"> 2022, në nivel total rezultoi se, nga 12 kontrata koncesionare/PPP me mbështetje buxhetore:</w:t>
      </w:r>
    </w:p>
    <w:p w:rsidR="00CA740E" w:rsidRPr="004E355C"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Pr>
          <w:rFonts w:asciiTheme="minorHAnsi" w:hAnsiTheme="minorHAnsi"/>
          <w:i/>
          <w:lang w:val="sq-AL"/>
        </w:rPr>
        <w:t>9</w:t>
      </w:r>
      <w:r w:rsidRPr="004E355C">
        <w:rPr>
          <w:rFonts w:asciiTheme="minorHAnsi" w:hAnsiTheme="minorHAnsi"/>
          <w:i/>
          <w:lang w:val="sq-AL"/>
        </w:rPr>
        <w:t xml:space="preserve"> kontrata koncesionare/PPP kanë pagesa faktike buxhetore, për periudhën 5 mujore, </w:t>
      </w:r>
    </w:p>
    <w:p w:rsidR="00CA740E"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sidRPr="004E355C">
        <w:rPr>
          <w:rFonts w:asciiTheme="minorHAnsi" w:hAnsiTheme="minorHAnsi"/>
          <w:i/>
          <w:lang w:val="sq-AL"/>
        </w:rPr>
        <w:t xml:space="preserve">Për </w:t>
      </w:r>
      <w:r>
        <w:rPr>
          <w:rFonts w:asciiTheme="minorHAnsi" w:hAnsiTheme="minorHAnsi"/>
          <w:i/>
          <w:lang w:val="sq-AL"/>
        </w:rPr>
        <w:t>3</w:t>
      </w:r>
      <w:r w:rsidRPr="004E355C">
        <w:rPr>
          <w:rFonts w:asciiTheme="minorHAnsi" w:hAnsiTheme="minorHAnsi"/>
          <w:i/>
          <w:lang w:val="sq-AL"/>
        </w:rPr>
        <w:t xml:space="preserve"> kontrata nuk është kryer asnjë pagesë referuar periudhës 5 mujore. </w:t>
      </w:r>
    </w:p>
    <w:p w:rsidR="00CA740E" w:rsidRPr="003E4318" w:rsidRDefault="00CA740E" w:rsidP="00CA740E">
      <w:pPr>
        <w:jc w:val="both"/>
        <w:rPr>
          <w:rFonts w:asciiTheme="minorHAnsi" w:hAnsiTheme="minorHAnsi" w:cstheme="minorHAnsi"/>
          <w:sz w:val="16"/>
          <w:szCs w:val="8"/>
          <w:lang w:val="sq-AL"/>
        </w:rPr>
      </w:pPr>
    </w:p>
    <w:p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Fondet buxhetore të planifikuara për vitin 2022 me destinacion mbështetjen nga buxheti </w:t>
      </w:r>
      <w:r>
        <w:rPr>
          <w:rFonts w:asciiTheme="minorHAnsi" w:hAnsiTheme="minorHAnsi" w:cstheme="minorHAnsi"/>
          <w:lang w:val="sq-AL"/>
        </w:rPr>
        <w:t xml:space="preserve">i shtetit </w:t>
      </w:r>
      <w:r w:rsidRPr="004E4CF0">
        <w:rPr>
          <w:rFonts w:asciiTheme="minorHAnsi" w:hAnsiTheme="minorHAnsi" w:cstheme="minorHAnsi"/>
          <w:lang w:val="sq-AL"/>
        </w:rPr>
        <w:t>për kontratat konçesionare/PPP, sipas planit vjetor të ndryshuar, në total janë rreth 12.17 miliard LEK. Nga këto, rreth 4.58 miliard LEK janë investime dhe rreth 7.6 miliard LEK shpenzime korente.</w:t>
      </w:r>
      <w:r>
        <w:rPr>
          <w:rFonts w:asciiTheme="minorHAnsi" w:hAnsiTheme="minorHAnsi" w:cstheme="minorHAnsi"/>
          <w:lang w:val="sq-AL"/>
        </w:rPr>
        <w:t xml:space="preserve"> </w:t>
      </w:r>
      <w:r w:rsidRPr="004E4CF0">
        <w:rPr>
          <w:rFonts w:asciiTheme="minorHAnsi" w:hAnsiTheme="minorHAnsi" w:cstheme="minorHAnsi"/>
          <w:lang w:val="sq-AL"/>
        </w:rPr>
        <w:t xml:space="preserve">Krahasuar me pagesat faktike të vitit 2021 të cilat arritën vlerën rreth 11.52 miliard LEK, pagesat e planifikuara për vitin 2022, janë rreth 648.7 milion LEK më të </w:t>
      </w:r>
      <w:r w:rsidRPr="003E4318">
        <w:rPr>
          <w:rFonts w:asciiTheme="minorHAnsi" w:hAnsiTheme="minorHAnsi" w:cstheme="minorHAnsi"/>
          <w:lang w:val="sq-AL"/>
        </w:rPr>
        <w:t xml:space="preserve">larta ose </w:t>
      </w:r>
      <w:r w:rsidR="003E4318" w:rsidRPr="003E4318">
        <w:rPr>
          <w:rFonts w:asciiTheme="minorHAnsi" w:hAnsiTheme="minorHAnsi" w:cstheme="minorHAnsi"/>
          <w:lang w:val="sq-AL"/>
        </w:rPr>
        <w:t>rreth 5.6</w:t>
      </w:r>
      <w:r w:rsidRPr="003E4318">
        <w:rPr>
          <w:rFonts w:asciiTheme="minorHAnsi" w:hAnsiTheme="minorHAnsi" w:cstheme="minorHAnsi"/>
          <w:lang w:val="sq-AL"/>
        </w:rPr>
        <w:t>% m</w:t>
      </w:r>
      <w:r w:rsidR="009647C4" w:rsidRPr="003E4318">
        <w:rPr>
          <w:rFonts w:asciiTheme="minorHAnsi" w:hAnsiTheme="minorHAnsi" w:cstheme="minorHAnsi"/>
          <w:lang w:val="sq-AL"/>
        </w:rPr>
        <w:t>ë</w:t>
      </w:r>
      <w:r w:rsidRPr="003E4318">
        <w:rPr>
          <w:rFonts w:asciiTheme="minorHAnsi" w:hAnsiTheme="minorHAnsi" w:cstheme="minorHAnsi"/>
          <w:lang w:val="sq-AL"/>
        </w:rPr>
        <w:t xml:space="preserve"> shum</w:t>
      </w:r>
      <w:r w:rsidR="009647C4" w:rsidRPr="003E4318">
        <w:rPr>
          <w:rFonts w:asciiTheme="minorHAnsi" w:hAnsiTheme="minorHAnsi" w:cstheme="minorHAnsi"/>
          <w:lang w:val="sq-AL"/>
        </w:rPr>
        <w:t>ë</w:t>
      </w:r>
      <w:r w:rsidRPr="003E4318">
        <w:rPr>
          <w:rFonts w:asciiTheme="minorHAnsi" w:hAnsiTheme="minorHAnsi" w:cstheme="minorHAnsi"/>
          <w:lang w:val="sq-AL"/>
        </w:rPr>
        <w:t>.</w:t>
      </w:r>
      <w:r w:rsidRPr="004E4CF0">
        <w:rPr>
          <w:rFonts w:asciiTheme="minorHAnsi" w:hAnsiTheme="minorHAnsi" w:cstheme="minorHAnsi"/>
          <w:lang w:val="sq-AL"/>
        </w:rPr>
        <w:t xml:space="preserve"> </w:t>
      </w:r>
    </w:p>
    <w:p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Pagesat faktike për </w:t>
      </w:r>
      <w:r>
        <w:rPr>
          <w:rFonts w:asciiTheme="minorHAnsi" w:hAnsiTheme="minorHAnsi" w:cstheme="minorHAnsi"/>
          <w:lang w:val="sq-AL"/>
        </w:rPr>
        <w:t>5M</w:t>
      </w:r>
      <w:r w:rsidRPr="004E4CF0">
        <w:rPr>
          <w:rFonts w:asciiTheme="minorHAnsi" w:hAnsiTheme="minorHAnsi" w:cstheme="minorHAnsi"/>
          <w:lang w:val="sq-AL"/>
        </w:rPr>
        <w:t xml:space="preserve"> 2022, rezultojnë në masën rreth 3.75 miliard LEK ose 30.8% të pagesave të planifikuara vjetore 2022. Krahasuar me të nj</w:t>
      </w:r>
      <w:r>
        <w:rPr>
          <w:rFonts w:asciiTheme="minorHAnsi" w:hAnsiTheme="minorHAnsi" w:cstheme="minorHAnsi"/>
          <w:lang w:val="sq-AL"/>
        </w:rPr>
        <w:t>ë</w:t>
      </w:r>
      <w:r w:rsidRPr="004E4CF0">
        <w:rPr>
          <w:rFonts w:asciiTheme="minorHAnsi" w:hAnsiTheme="minorHAnsi" w:cstheme="minorHAnsi"/>
          <w:lang w:val="sq-AL"/>
        </w:rPr>
        <w:t xml:space="preserve">jtën periudhë të një viti më parë, </w:t>
      </w:r>
      <w:r>
        <w:rPr>
          <w:rFonts w:asciiTheme="minorHAnsi" w:hAnsiTheme="minorHAnsi" w:cstheme="minorHAnsi"/>
          <w:lang w:val="sq-AL"/>
        </w:rPr>
        <w:t xml:space="preserve">ato </w:t>
      </w:r>
      <w:r w:rsidRPr="004E4CF0">
        <w:rPr>
          <w:rFonts w:asciiTheme="minorHAnsi" w:hAnsiTheme="minorHAnsi" w:cstheme="minorHAnsi"/>
          <w:lang w:val="sq-AL"/>
        </w:rPr>
        <w:t xml:space="preserve">rezultojnë rreth 320.2 milion LEK më të </w:t>
      </w:r>
      <w:r w:rsidRPr="003E4318">
        <w:rPr>
          <w:rFonts w:asciiTheme="minorHAnsi" w:hAnsiTheme="minorHAnsi" w:cstheme="minorHAnsi"/>
          <w:lang w:val="sq-AL"/>
        </w:rPr>
        <w:t xml:space="preserve">larta ose </w:t>
      </w:r>
      <w:r w:rsidR="003E4318" w:rsidRPr="003E4318">
        <w:rPr>
          <w:rFonts w:asciiTheme="minorHAnsi" w:hAnsiTheme="minorHAnsi" w:cstheme="minorHAnsi"/>
          <w:lang w:val="sq-AL"/>
        </w:rPr>
        <w:t>rreth 9.3</w:t>
      </w:r>
      <w:r w:rsidRPr="003E4318">
        <w:rPr>
          <w:rFonts w:asciiTheme="minorHAnsi" w:hAnsiTheme="minorHAnsi" w:cstheme="minorHAnsi"/>
          <w:lang w:val="sq-AL"/>
        </w:rPr>
        <w:t>% m</w:t>
      </w:r>
      <w:r w:rsidR="009647C4" w:rsidRPr="003E4318">
        <w:rPr>
          <w:rFonts w:asciiTheme="minorHAnsi" w:hAnsiTheme="minorHAnsi" w:cstheme="minorHAnsi"/>
          <w:lang w:val="sq-AL"/>
        </w:rPr>
        <w:t>ë</w:t>
      </w:r>
      <w:r w:rsidRPr="003E4318">
        <w:rPr>
          <w:rFonts w:asciiTheme="minorHAnsi" w:hAnsiTheme="minorHAnsi" w:cstheme="minorHAnsi"/>
          <w:lang w:val="sq-AL"/>
        </w:rPr>
        <w:t xml:space="preserve"> shum</w:t>
      </w:r>
      <w:r w:rsidR="009647C4" w:rsidRPr="003E4318">
        <w:rPr>
          <w:rFonts w:asciiTheme="minorHAnsi" w:hAnsiTheme="minorHAnsi" w:cstheme="minorHAnsi"/>
          <w:lang w:val="sq-AL"/>
        </w:rPr>
        <w:t>ë</w:t>
      </w:r>
      <w:r w:rsidRPr="003E4318">
        <w:rPr>
          <w:rFonts w:asciiTheme="minorHAnsi" w:hAnsiTheme="minorHAnsi" w:cstheme="minorHAnsi"/>
          <w:lang w:val="sq-AL"/>
        </w:rPr>
        <w:t>.</w:t>
      </w:r>
      <w:r w:rsidRPr="004E4CF0">
        <w:rPr>
          <w:rFonts w:asciiTheme="minorHAnsi" w:hAnsiTheme="minorHAnsi" w:cstheme="minorHAnsi"/>
          <w:lang w:val="sq-AL"/>
        </w:rPr>
        <w:t xml:space="preserve"> </w:t>
      </w:r>
    </w:p>
    <w:p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Pagesat faktike për muajin Maj 2022 rezultojnë rreth 896.9 milion LEK ose rreth 7.4 përqind e pagesave të planifikuara vjetore 2022. Pagesa më e lartë e realizuar në muajin Maj është pagesa prej rreth 188.2 milion LEK për kontratën “</w:t>
      </w:r>
      <w:r w:rsidRPr="00CA740E">
        <w:rPr>
          <w:rFonts w:asciiTheme="minorHAnsi" w:hAnsiTheme="minorHAnsi" w:cstheme="minorHAnsi"/>
          <w:i/>
          <w:lang w:val="sq-AL"/>
        </w:rPr>
        <w:t>Ndërtimi, operimi dhe transferimi i inceneratorit për përpunimin e mbetjeve urbane të Bashkisë Fier</w:t>
      </w:r>
      <w:r w:rsidRPr="004E4CF0">
        <w:rPr>
          <w:rFonts w:asciiTheme="minorHAnsi" w:hAnsiTheme="minorHAnsi" w:cstheme="minorHAnsi"/>
          <w:lang w:val="sq-AL"/>
        </w:rPr>
        <w:t>”, pagesë e cila përbën 21 përqind të totalit të pagesave faktike të realizuara në muajin Maj.</w:t>
      </w:r>
    </w:p>
    <w:p w:rsidR="00F07CFC" w:rsidRDefault="00F07CFC" w:rsidP="00CA740E">
      <w:pPr>
        <w:jc w:val="both"/>
        <w:rPr>
          <w:rFonts w:asciiTheme="minorHAnsi" w:hAnsiTheme="minorHAnsi"/>
          <w:b/>
          <w:lang w:val="sq-AL"/>
        </w:rPr>
      </w:pPr>
    </w:p>
    <w:p w:rsidR="003E4318" w:rsidRDefault="003E4318" w:rsidP="00CA740E">
      <w:pPr>
        <w:jc w:val="both"/>
        <w:rPr>
          <w:rFonts w:asciiTheme="minorHAnsi" w:hAnsiTheme="minorHAnsi"/>
          <w:b/>
          <w:lang w:val="sq-AL"/>
        </w:rPr>
      </w:pPr>
    </w:p>
    <w:p w:rsidR="00FC6E77" w:rsidRPr="0065598A" w:rsidRDefault="00FC6E77" w:rsidP="00CA740E">
      <w:pPr>
        <w:jc w:val="both"/>
        <w:rPr>
          <w:rFonts w:asciiTheme="minorHAnsi" w:hAnsiTheme="minorHAnsi"/>
          <w:b/>
          <w:lang w:val="sq-AL"/>
        </w:rPr>
      </w:pPr>
      <w:r w:rsidRPr="00D36D71">
        <w:rPr>
          <w:rFonts w:asciiTheme="minorHAnsi" w:hAnsiTheme="minorHAnsi"/>
          <w:b/>
          <w:lang w:val="sq-AL"/>
        </w:rPr>
        <w:t xml:space="preserve">Respektimi i rregullit fiskal </w:t>
      </w:r>
      <w:r w:rsidR="00422501">
        <w:rPr>
          <w:rFonts w:asciiTheme="minorHAnsi" w:hAnsiTheme="minorHAnsi"/>
          <w:b/>
          <w:lang w:val="sq-AL"/>
        </w:rPr>
        <w:t xml:space="preserve">të PPP-ve, </w:t>
      </w:r>
      <w:r w:rsidRPr="00D36D71">
        <w:rPr>
          <w:rFonts w:asciiTheme="minorHAnsi" w:hAnsiTheme="minorHAnsi"/>
          <w:b/>
          <w:lang w:val="sq-AL"/>
        </w:rPr>
        <w:t>për vitin 202</w:t>
      </w:r>
      <w:r w:rsidR="00CA740E">
        <w:rPr>
          <w:rFonts w:asciiTheme="minorHAnsi" w:hAnsiTheme="minorHAnsi"/>
          <w:b/>
          <w:lang w:val="sq-AL"/>
        </w:rPr>
        <w:t>2</w:t>
      </w:r>
    </w:p>
    <w:p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Kufiri i lejuar i pagesave neto për kontratat konçesionare/PPP për vitin 2022, prej 5% i të ardhurave tatimore faktike të vitit 2021, përllogaritet në rreth 23.78 miliard LEK. </w:t>
      </w:r>
    </w:p>
    <w:p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Në nivel vjetor, pagesat e planifikuara për vitin 2022, për kontratat koncesionare/PPP, përbëjnë 2.56 përqind të totalit të të ardhurave tatimore faktike të vitit 2021, duke respektuar </w:t>
      </w:r>
      <w:r>
        <w:rPr>
          <w:rFonts w:asciiTheme="minorHAnsi" w:hAnsiTheme="minorHAnsi" w:cstheme="minorHAnsi"/>
          <w:lang w:val="sq-AL"/>
        </w:rPr>
        <w:t>duksh</w:t>
      </w:r>
      <w:r w:rsidR="009647C4">
        <w:rPr>
          <w:rFonts w:asciiTheme="minorHAnsi" w:hAnsiTheme="minorHAnsi" w:cstheme="minorHAnsi"/>
          <w:lang w:val="sq-AL"/>
        </w:rPr>
        <w:t>ë</w:t>
      </w:r>
      <w:r>
        <w:rPr>
          <w:rFonts w:asciiTheme="minorHAnsi" w:hAnsiTheme="minorHAnsi" w:cstheme="minorHAnsi"/>
          <w:lang w:val="sq-AL"/>
        </w:rPr>
        <w:t xml:space="preserve">m </w:t>
      </w:r>
      <w:r w:rsidRPr="004E4CF0">
        <w:rPr>
          <w:rFonts w:asciiTheme="minorHAnsi" w:hAnsiTheme="minorHAnsi" w:cstheme="minorHAnsi"/>
          <w:lang w:val="sq-AL"/>
        </w:rPr>
        <w:t xml:space="preserve">në këtë mënyrë rregullin fiskal prej </w:t>
      </w:r>
      <w:r w:rsidRPr="003E4318">
        <w:rPr>
          <w:rFonts w:asciiTheme="minorHAnsi" w:hAnsiTheme="minorHAnsi" w:cstheme="minorHAnsi"/>
          <w:lang w:val="sq-AL"/>
        </w:rPr>
        <w:t>jo m</w:t>
      </w:r>
      <w:r w:rsidR="009647C4" w:rsidRPr="003E4318">
        <w:rPr>
          <w:rFonts w:asciiTheme="minorHAnsi" w:hAnsiTheme="minorHAnsi" w:cstheme="minorHAnsi"/>
          <w:lang w:val="sq-AL"/>
        </w:rPr>
        <w:t>ë</w:t>
      </w:r>
      <w:r w:rsidRPr="003E4318">
        <w:rPr>
          <w:rFonts w:asciiTheme="minorHAnsi" w:hAnsiTheme="minorHAnsi" w:cstheme="minorHAnsi"/>
          <w:lang w:val="sq-AL"/>
        </w:rPr>
        <w:t xml:space="preserve"> shum</w:t>
      </w:r>
      <w:r w:rsidR="009647C4" w:rsidRPr="003E4318">
        <w:rPr>
          <w:rFonts w:asciiTheme="minorHAnsi" w:hAnsiTheme="minorHAnsi" w:cstheme="minorHAnsi"/>
          <w:lang w:val="sq-AL"/>
        </w:rPr>
        <w:t>ë</w:t>
      </w:r>
      <w:r w:rsidRPr="003E4318">
        <w:rPr>
          <w:rFonts w:asciiTheme="minorHAnsi" w:hAnsiTheme="minorHAnsi" w:cstheme="minorHAnsi"/>
          <w:lang w:val="sq-AL"/>
        </w:rPr>
        <w:t xml:space="preserve"> se</w:t>
      </w:r>
      <w:r>
        <w:rPr>
          <w:rFonts w:asciiTheme="minorHAnsi" w:hAnsiTheme="minorHAnsi" w:cstheme="minorHAnsi"/>
          <w:lang w:val="sq-AL"/>
        </w:rPr>
        <w:t xml:space="preserve"> </w:t>
      </w:r>
      <w:r w:rsidRPr="004E4CF0">
        <w:rPr>
          <w:rFonts w:asciiTheme="minorHAnsi" w:hAnsiTheme="minorHAnsi" w:cstheme="minorHAnsi"/>
          <w:lang w:val="sq-AL"/>
        </w:rPr>
        <w:t xml:space="preserve">5% të të ardhurave tatimore faktike të vitit paraardhës. </w:t>
      </w:r>
    </w:p>
    <w:p w:rsidR="00F07CFC" w:rsidRDefault="00F07CFC" w:rsidP="00CA740E">
      <w:pPr>
        <w:spacing w:after="240"/>
        <w:contextualSpacing/>
        <w:rPr>
          <w:rFonts w:asciiTheme="minorHAnsi" w:hAnsiTheme="minorHAnsi"/>
          <w:bCs/>
          <w:i/>
          <w:sz w:val="22"/>
          <w:lang w:val="sq-AL"/>
        </w:rPr>
      </w:pPr>
    </w:p>
    <w:p w:rsidR="003E4318" w:rsidRDefault="003E4318" w:rsidP="00CA740E">
      <w:pPr>
        <w:spacing w:after="240"/>
        <w:contextualSpacing/>
        <w:rPr>
          <w:rFonts w:asciiTheme="minorHAnsi" w:hAnsiTheme="minorHAnsi"/>
          <w:bCs/>
          <w:i/>
          <w:sz w:val="22"/>
          <w:lang w:val="sq-AL"/>
        </w:rPr>
      </w:pPr>
    </w:p>
    <w:p w:rsidR="003E4318" w:rsidRDefault="003E4318" w:rsidP="00CA740E">
      <w:pPr>
        <w:spacing w:after="240"/>
        <w:contextualSpacing/>
        <w:rPr>
          <w:rFonts w:asciiTheme="minorHAnsi" w:hAnsiTheme="minorHAnsi"/>
          <w:bCs/>
          <w:i/>
          <w:sz w:val="22"/>
          <w:lang w:val="sq-AL"/>
        </w:rPr>
      </w:pPr>
    </w:p>
    <w:p w:rsidR="003E4318" w:rsidRDefault="003E4318" w:rsidP="00CA740E">
      <w:pPr>
        <w:spacing w:after="240"/>
        <w:contextualSpacing/>
        <w:rPr>
          <w:rFonts w:asciiTheme="minorHAnsi" w:hAnsiTheme="minorHAnsi"/>
          <w:bCs/>
          <w:i/>
          <w:sz w:val="22"/>
          <w:lang w:val="sq-AL"/>
        </w:rPr>
      </w:pPr>
    </w:p>
    <w:p w:rsidR="003E4318" w:rsidRDefault="003E4318" w:rsidP="00CA740E">
      <w:pPr>
        <w:spacing w:after="240"/>
        <w:contextualSpacing/>
        <w:rPr>
          <w:rFonts w:asciiTheme="minorHAnsi" w:hAnsiTheme="minorHAnsi"/>
          <w:bCs/>
          <w:i/>
          <w:sz w:val="22"/>
          <w:lang w:val="sq-AL"/>
        </w:rPr>
      </w:pPr>
    </w:p>
    <w:p w:rsidR="003E4318" w:rsidRDefault="003E4318" w:rsidP="00CA740E">
      <w:pPr>
        <w:spacing w:after="240"/>
        <w:contextualSpacing/>
        <w:rPr>
          <w:rFonts w:asciiTheme="minorHAnsi" w:hAnsiTheme="minorHAnsi"/>
          <w:bCs/>
          <w:i/>
          <w:sz w:val="22"/>
          <w:lang w:val="sq-AL"/>
        </w:rPr>
      </w:pPr>
    </w:p>
    <w:p w:rsidR="00FC6E77" w:rsidRPr="00F30139" w:rsidRDefault="00FC6E77" w:rsidP="00FC6E77">
      <w:pPr>
        <w:spacing w:after="240" w:line="276" w:lineRule="auto"/>
        <w:contextualSpacing/>
        <w:rPr>
          <w:rFonts w:asciiTheme="minorHAnsi" w:hAnsiTheme="minorHAnsi"/>
          <w:b/>
          <w:bCs/>
          <w:sz w:val="6"/>
          <w:szCs w:val="8"/>
          <w:lang w:val="sq-AL"/>
        </w:rPr>
      </w:pPr>
      <w:bookmarkStart w:id="152" w:name="_Toc107496763"/>
      <w:r w:rsidRPr="00F30139">
        <w:rPr>
          <w:rFonts w:asciiTheme="minorHAnsi" w:hAnsiTheme="minorHAnsi"/>
          <w:bCs/>
          <w:i/>
          <w:sz w:val="22"/>
          <w:lang w:val="sq-AL"/>
        </w:rPr>
        <w:lastRenderedPageBreak/>
        <w:t xml:space="preserve">Tabela </w:t>
      </w:r>
      <w:r w:rsidRPr="00F30139">
        <w:rPr>
          <w:rFonts w:asciiTheme="minorHAnsi" w:hAnsiTheme="minorHAnsi"/>
          <w:bCs/>
          <w:i/>
          <w:sz w:val="22"/>
          <w:lang w:val="sq-AL"/>
        </w:rPr>
        <w:fldChar w:fldCharType="begin"/>
      </w:r>
      <w:r w:rsidRPr="00F30139">
        <w:rPr>
          <w:rFonts w:asciiTheme="minorHAnsi" w:hAnsiTheme="minorHAnsi"/>
          <w:bCs/>
          <w:i/>
          <w:sz w:val="22"/>
          <w:lang w:val="sq-AL"/>
        </w:rPr>
        <w:instrText xml:space="preserve"> SEQ Tabela \* ARABIC </w:instrText>
      </w:r>
      <w:r w:rsidRPr="00F30139">
        <w:rPr>
          <w:rFonts w:asciiTheme="minorHAnsi" w:hAnsiTheme="minorHAnsi"/>
          <w:bCs/>
          <w:i/>
          <w:sz w:val="22"/>
          <w:lang w:val="sq-AL"/>
        </w:rPr>
        <w:fldChar w:fldCharType="separate"/>
      </w:r>
      <w:r w:rsidR="003B2B9B">
        <w:rPr>
          <w:rFonts w:asciiTheme="minorHAnsi" w:hAnsiTheme="minorHAnsi"/>
          <w:bCs/>
          <w:i/>
          <w:noProof/>
          <w:sz w:val="22"/>
          <w:lang w:val="sq-AL"/>
        </w:rPr>
        <w:t>27</w:t>
      </w:r>
      <w:r w:rsidRPr="00F30139">
        <w:rPr>
          <w:rFonts w:asciiTheme="minorHAnsi" w:hAnsiTheme="minorHAnsi"/>
          <w:bCs/>
          <w:i/>
          <w:sz w:val="22"/>
          <w:lang w:val="sq-AL"/>
        </w:rPr>
        <w:fldChar w:fldCharType="end"/>
      </w:r>
      <w:r w:rsidRPr="00F30139">
        <w:rPr>
          <w:rFonts w:asciiTheme="minorHAnsi" w:hAnsiTheme="minorHAnsi"/>
          <w:bCs/>
          <w:i/>
          <w:sz w:val="22"/>
          <w:lang w:val="sq-AL"/>
        </w:rPr>
        <w:t>: Koncesionet/PPT-të aktive me mbështetje nga buxheti i shtetit (në mijë LEK)</w:t>
      </w:r>
      <w:bookmarkEnd w:id="151"/>
      <w:bookmarkEnd w:id="152"/>
    </w:p>
    <w:p w:rsidR="00FC6E77" w:rsidRDefault="00CA740E" w:rsidP="00FC6E77">
      <w:pPr>
        <w:spacing w:before="240" w:line="276" w:lineRule="auto"/>
        <w:ind w:left="-180"/>
        <w:contextualSpacing/>
        <w:jc w:val="center"/>
        <w:rPr>
          <w:rFonts w:asciiTheme="minorHAnsi" w:hAnsiTheme="minorHAnsi"/>
          <w:i/>
          <w:lang w:val="sq-AL"/>
        </w:rPr>
      </w:pPr>
      <w:r w:rsidRPr="00273122">
        <w:rPr>
          <w:rFonts w:eastAsia="SimSun"/>
          <w:noProof/>
        </w:rPr>
        <w:drawing>
          <wp:inline distT="0" distB="0" distL="0" distR="0" wp14:anchorId="009D74B5" wp14:editId="3392FB34">
            <wp:extent cx="6326912" cy="52044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34512" cy="5210712"/>
                    </a:xfrm>
                    <a:prstGeom prst="rect">
                      <a:avLst/>
                    </a:prstGeom>
                    <a:noFill/>
                    <a:ln>
                      <a:noFill/>
                    </a:ln>
                  </pic:spPr>
                </pic:pic>
              </a:graphicData>
            </a:graphic>
          </wp:inline>
        </w:drawing>
      </w:r>
    </w:p>
    <w:p w:rsidR="00FC6E77" w:rsidRDefault="00FD3343" w:rsidP="00FC6E77">
      <w:pPr>
        <w:spacing w:line="276" w:lineRule="auto"/>
        <w:rPr>
          <w:rFonts w:asciiTheme="minorHAnsi" w:eastAsia="SimSun" w:hAnsiTheme="minorHAnsi"/>
          <w:i/>
          <w:sz w:val="20"/>
          <w:lang w:val="sq-AL"/>
        </w:rPr>
      </w:pPr>
      <w:r>
        <w:rPr>
          <w:rFonts w:asciiTheme="minorHAnsi" w:eastAsia="SimSun" w:hAnsiTheme="minorHAnsi"/>
          <w:i/>
          <w:sz w:val="20"/>
          <w:lang w:val="sq-AL"/>
        </w:rPr>
        <w:t>Burimi: Ministria e Financave dhe Ekonomisë (2022)</w:t>
      </w:r>
    </w:p>
    <w:p w:rsidR="0083048A" w:rsidRDefault="0083048A" w:rsidP="00FC6E77">
      <w:pPr>
        <w:spacing w:line="276" w:lineRule="auto"/>
        <w:rPr>
          <w:rFonts w:asciiTheme="minorHAnsi" w:eastAsia="SimSun" w:hAnsiTheme="minorHAnsi"/>
          <w:i/>
          <w:sz w:val="20"/>
          <w:lang w:val="sq-AL"/>
        </w:rPr>
      </w:pPr>
    </w:p>
    <w:p w:rsidR="0083048A" w:rsidRDefault="0083048A" w:rsidP="00FC6E77">
      <w:pPr>
        <w:spacing w:line="276" w:lineRule="auto"/>
        <w:rPr>
          <w:rFonts w:asciiTheme="minorHAnsi" w:eastAsia="SimSun" w:hAnsiTheme="minorHAnsi"/>
          <w:i/>
          <w:sz w:val="20"/>
          <w:lang w:val="sq-AL"/>
        </w:rPr>
      </w:pPr>
    </w:p>
    <w:p w:rsidR="00562780" w:rsidRPr="004C6F8D" w:rsidRDefault="00562780" w:rsidP="003F6B21">
      <w:pPr>
        <w:pStyle w:val="Heading2"/>
        <w:numPr>
          <w:ilvl w:val="0"/>
          <w:numId w:val="32"/>
        </w:numPr>
        <w:ind w:hanging="720"/>
        <w:rPr>
          <w:sz w:val="26"/>
          <w:szCs w:val="26"/>
        </w:rPr>
      </w:pPr>
      <w:bookmarkStart w:id="153" w:name="_Toc10033287"/>
      <w:bookmarkStart w:id="154" w:name="_Toc10721424"/>
      <w:bookmarkStart w:id="155" w:name="_Toc11134244"/>
      <w:bookmarkStart w:id="156" w:name="_Toc107497003"/>
      <w:r w:rsidRPr="004C6F8D">
        <w:rPr>
          <w:sz w:val="26"/>
          <w:szCs w:val="26"/>
        </w:rPr>
        <w:t>Detyrime të tjera Kontigjente</w:t>
      </w:r>
      <w:bookmarkEnd w:id="153"/>
      <w:bookmarkEnd w:id="154"/>
      <w:bookmarkEnd w:id="155"/>
      <w:bookmarkEnd w:id="156"/>
    </w:p>
    <w:p w:rsidR="00562780" w:rsidRPr="004C6F8D" w:rsidRDefault="00562780" w:rsidP="003F6B21">
      <w:pPr>
        <w:pStyle w:val="Heading2"/>
        <w:numPr>
          <w:ilvl w:val="0"/>
          <w:numId w:val="33"/>
        </w:numPr>
        <w:ind w:left="360"/>
        <w:rPr>
          <w:sz w:val="26"/>
          <w:szCs w:val="26"/>
        </w:rPr>
      </w:pPr>
      <w:bookmarkStart w:id="157" w:name="_Toc11134245"/>
      <w:bookmarkStart w:id="158" w:name="_Toc107497004"/>
      <w:r w:rsidRPr="004C6F8D">
        <w:rPr>
          <w:sz w:val="26"/>
          <w:szCs w:val="26"/>
        </w:rPr>
        <w:t>Vendimet e Gjykatës së të Drejtave të Njeriut në Strasburg (GJEDNJ)</w:t>
      </w:r>
      <w:bookmarkEnd w:id="157"/>
      <w:bookmarkEnd w:id="158"/>
      <w:r w:rsidRPr="004C6F8D">
        <w:rPr>
          <w:sz w:val="26"/>
          <w:szCs w:val="26"/>
        </w:rPr>
        <w:t xml:space="preserve"> </w:t>
      </w:r>
    </w:p>
    <w:p w:rsidR="00FF4AD5" w:rsidRPr="00FF4AD5" w:rsidRDefault="00FF4AD5" w:rsidP="00FF4AD5">
      <w:pPr>
        <w:spacing w:after="200" w:line="276" w:lineRule="auto"/>
        <w:contextualSpacing/>
        <w:jc w:val="both"/>
        <w:rPr>
          <w:rFonts w:asciiTheme="minorHAnsi" w:hAnsiTheme="minorHAnsi"/>
          <w:sz w:val="8"/>
          <w:szCs w:val="8"/>
          <w:lang w:val="sq-AL"/>
        </w:rPr>
      </w:pPr>
    </w:p>
    <w:p w:rsidR="0083048A" w:rsidRPr="0083048A" w:rsidRDefault="00E2618C" w:rsidP="00016ECD">
      <w:pPr>
        <w:contextualSpacing/>
        <w:jc w:val="both"/>
        <w:rPr>
          <w:rFonts w:asciiTheme="minorHAnsi" w:hAnsiTheme="minorHAnsi"/>
          <w:lang w:val="sq-AL"/>
        </w:rPr>
      </w:pPr>
      <w:r w:rsidRPr="0083048A">
        <w:rPr>
          <w:rFonts w:asciiTheme="minorHAnsi" w:hAnsiTheme="minorHAnsi"/>
          <w:lang w:val="sq-AL"/>
        </w:rPr>
        <w:t xml:space="preserve">Këto vendime kanë të bëjnë kryesisht me çështje që lidhen me kthimin dhe kompensimin e pronave tek ish-pronarët. Sipas Avokaturës së Shtetit, risqet financiare që burojnë nga vendimet e GJEDNJ janë të karakterizuara nga një aftësi e dobët parashikuese, përsa kohë që kjo Gjykatë nuk funksionon me një kalendar të përcaktuar për komunikimin e çështjeve dhe nxjerrjen e vendimeve. </w:t>
      </w:r>
      <w:r w:rsidR="00016ECD" w:rsidRPr="0083048A">
        <w:rPr>
          <w:rFonts w:asciiTheme="minorHAnsi" w:hAnsiTheme="minorHAnsi"/>
          <w:lang w:val="sq-AL"/>
        </w:rPr>
        <w:t xml:space="preserve">MFE </w:t>
      </w:r>
      <w:r w:rsidRPr="0083048A">
        <w:rPr>
          <w:rFonts w:asciiTheme="minorHAnsi" w:hAnsiTheme="minorHAnsi"/>
          <w:lang w:val="sq-AL"/>
        </w:rPr>
        <w:t>ka respektuar në vazhdimësi të gjitha vendimet e miratuara nga GJEDNJ, përmes likujdimit të VKM respektive miratuar në mbështetje të tyre, me përpikmëri dhe brenda afateve strikte të përcaktuara prej këtij organi. Kjo, duke konsideruar faktin se kur pagesat nuk kryhen brenda afatit tre mujor nga data kur vendimi përkatës merr formën e prerë, shteti shqiptar ngarkohet me pagesën e një kamatë-vonese për çdo ditë vonesë. Sidoqoftë, për garantimin e shlyerjes në kohë të këtyre vendimeve, MFE ka rekomanduar vazhdimisht përdorimin e të gjitha kanaleve të mundshme institucionale dhe proceduriale, brenda hapësirave që siguron kuadri ligjor në fuqi, duke sugjeruar skedulimin e detyrimit financiar, sipas mundësive të buxhetit të shtetit me kë</w:t>
      </w:r>
      <w:r w:rsidR="00016ECD" w:rsidRPr="0083048A">
        <w:rPr>
          <w:rFonts w:asciiTheme="minorHAnsi" w:hAnsiTheme="minorHAnsi"/>
          <w:lang w:val="sq-AL"/>
        </w:rPr>
        <w:t xml:space="preserve">ste, në negocim me përfituesit. </w:t>
      </w:r>
    </w:p>
    <w:p w:rsidR="00E2618C" w:rsidRPr="0083048A" w:rsidRDefault="00E2618C" w:rsidP="00016ECD">
      <w:pPr>
        <w:contextualSpacing/>
        <w:jc w:val="both"/>
        <w:rPr>
          <w:rFonts w:asciiTheme="minorHAnsi" w:hAnsiTheme="minorHAnsi"/>
          <w:lang w:val="sq-AL"/>
        </w:rPr>
      </w:pPr>
      <w:r w:rsidRPr="0083048A">
        <w:rPr>
          <w:rFonts w:asciiTheme="minorHAnsi" w:hAnsiTheme="minorHAnsi"/>
          <w:lang w:val="sq-AL"/>
        </w:rPr>
        <w:lastRenderedPageBreak/>
        <w:t>Ndërkohë, hyrja në fuqi më datë 30.12.2018 e ndryshimeve në ligjin “</w:t>
      </w:r>
      <w:r w:rsidRPr="0083048A">
        <w:rPr>
          <w:rFonts w:asciiTheme="minorHAnsi" w:hAnsiTheme="minorHAnsi"/>
          <w:i/>
          <w:lang w:val="sq-AL"/>
        </w:rPr>
        <w:t>Për Avokaturën e Shtetit</w:t>
      </w:r>
      <w:r w:rsidRPr="0083048A">
        <w:rPr>
          <w:rFonts w:asciiTheme="minorHAnsi" w:hAnsiTheme="minorHAnsi"/>
          <w:lang w:val="sq-AL"/>
        </w:rPr>
        <w:t xml:space="preserve">”, përmban një kre të veçantë dedikuar ekzekutimit të vendimeve të GJEDNJ, ku specifikisht në nenin 19/4 përcaktohen </w:t>
      </w:r>
      <w:r w:rsidR="00653723" w:rsidRPr="0083048A">
        <w:rPr>
          <w:rFonts w:asciiTheme="minorHAnsi" w:hAnsiTheme="minorHAnsi"/>
          <w:lang w:val="sq-AL"/>
        </w:rPr>
        <w:t>dy</w:t>
      </w:r>
      <w:r w:rsidRPr="0083048A">
        <w:rPr>
          <w:rFonts w:asciiTheme="minorHAnsi" w:hAnsiTheme="minorHAnsi"/>
          <w:lang w:val="sq-AL"/>
        </w:rPr>
        <w:t xml:space="preserve"> mënyra ekzekutimi të shpërblimit:</w:t>
      </w:r>
    </w:p>
    <w:p w:rsidR="00CA740E" w:rsidRPr="0083048A" w:rsidRDefault="00CA740E" w:rsidP="003F6B21">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Detyrimet financiare që burojnë nga vendimet e GJEDNJ-së mbulohen nga buxheti i shtetit, sipas përcaktimeve të parashikuara në vendimin e Këshillit të Ministrave për ekzekutimin e vendimit të GJEDNJ.</w:t>
      </w:r>
    </w:p>
    <w:p w:rsidR="00CA740E" w:rsidRPr="0083048A" w:rsidRDefault="00CA740E" w:rsidP="003F6B21">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Përjashtimisht, për detyrimet financiare deri në 10.000 (dhjetë mijë) euro, pagesa ekzekutohet në mënyrë të drejtpërdrejtë nga ministria përgjegjëse për financat, pas kërkesës zyrtare të Avokaturës së Shtetit.</w:t>
      </w:r>
    </w:p>
    <w:p w:rsidR="00E2618C" w:rsidRPr="00016ECD" w:rsidRDefault="00E2618C" w:rsidP="00016ECD">
      <w:pPr>
        <w:contextualSpacing/>
        <w:jc w:val="both"/>
        <w:rPr>
          <w:rFonts w:asciiTheme="minorHAnsi" w:eastAsia="MS Mincho" w:hAnsiTheme="minorHAnsi"/>
          <w:i/>
          <w:sz w:val="16"/>
          <w:lang w:val="sq-AL"/>
        </w:rPr>
      </w:pPr>
    </w:p>
    <w:p w:rsidR="0083048A" w:rsidRPr="0083048A" w:rsidRDefault="00E2618C" w:rsidP="0083048A">
      <w:pPr>
        <w:contextualSpacing/>
        <w:jc w:val="both"/>
        <w:rPr>
          <w:rFonts w:asciiTheme="minorHAnsi" w:hAnsiTheme="minorHAnsi"/>
          <w:u w:val="single"/>
          <w:lang w:val="sq-AL"/>
        </w:rPr>
      </w:pPr>
      <w:r w:rsidRPr="0083048A">
        <w:rPr>
          <w:rFonts w:asciiTheme="minorHAnsi" w:hAnsiTheme="minorHAnsi"/>
          <w:lang w:val="sq-AL"/>
        </w:rPr>
        <w:t>Për periudhën Janar</w:t>
      </w:r>
      <w:r w:rsidR="00CA740E" w:rsidRPr="0083048A">
        <w:rPr>
          <w:rFonts w:asciiTheme="minorHAnsi" w:hAnsiTheme="minorHAnsi"/>
          <w:lang w:val="sq-AL"/>
        </w:rPr>
        <w:t xml:space="preserve"> –</w:t>
      </w:r>
      <w:r w:rsidRPr="0083048A">
        <w:rPr>
          <w:rFonts w:asciiTheme="minorHAnsi" w:hAnsiTheme="minorHAnsi"/>
          <w:lang w:val="sq-AL"/>
        </w:rPr>
        <w:t xml:space="preserve"> </w:t>
      </w:r>
      <w:r w:rsidR="00CA740E" w:rsidRPr="0083048A">
        <w:rPr>
          <w:rFonts w:asciiTheme="minorHAnsi" w:hAnsiTheme="minorHAnsi"/>
          <w:lang w:val="sq-AL"/>
        </w:rPr>
        <w:t xml:space="preserve">Qershor </w:t>
      </w:r>
      <w:r w:rsidRPr="0083048A">
        <w:rPr>
          <w:rFonts w:asciiTheme="minorHAnsi" w:hAnsiTheme="minorHAnsi"/>
          <w:lang w:val="sq-AL"/>
        </w:rPr>
        <w:t>202</w:t>
      </w:r>
      <w:r w:rsidR="00CA740E" w:rsidRPr="0083048A">
        <w:rPr>
          <w:rFonts w:asciiTheme="minorHAnsi" w:hAnsiTheme="minorHAnsi"/>
          <w:lang w:val="sq-AL"/>
        </w:rPr>
        <w:t>2</w:t>
      </w:r>
      <w:r w:rsidR="0083048A" w:rsidRPr="0083048A">
        <w:rPr>
          <w:rFonts w:asciiTheme="minorHAnsi" w:hAnsiTheme="minorHAnsi"/>
          <w:lang w:val="sq-AL"/>
        </w:rPr>
        <w:t xml:space="preserve">, </w:t>
      </w:r>
      <w:r w:rsidR="0083048A" w:rsidRPr="0083048A">
        <w:rPr>
          <w:rFonts w:asciiTheme="minorHAnsi" w:eastAsia="MS Mincho" w:hAnsiTheme="minorHAnsi"/>
          <w:lang w:val="sq-AL"/>
        </w:rPr>
        <w:t>Këshilli i Ministrave ka miratuar tre VKM në zbatim të vendimeve të GJEDNJ-së, me një vlerë totale prej 36.2</w:t>
      </w:r>
      <w:r w:rsidR="0083048A">
        <w:rPr>
          <w:rFonts w:asciiTheme="minorHAnsi" w:eastAsia="MS Mincho" w:hAnsiTheme="minorHAnsi"/>
          <w:lang w:val="sq-AL"/>
        </w:rPr>
        <w:t xml:space="preserve">00 Euro (rreth 4.4 milion LEK), </w:t>
      </w:r>
      <w:r w:rsidR="0083048A" w:rsidRPr="0083048A">
        <w:rPr>
          <w:rFonts w:asciiTheme="minorHAnsi" w:eastAsia="MS Mincho" w:hAnsiTheme="minorHAnsi"/>
          <w:lang w:val="sq-AL"/>
        </w:rPr>
        <w:t>konkretisht:</w:t>
      </w:r>
    </w:p>
    <w:p w:rsidR="0083048A" w:rsidRPr="0083048A" w:rsidRDefault="0083048A" w:rsidP="0083048A">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VKM nr.29, datë 19.01.2022 “Për ekzekutimin e vendimit të Gjykatës Evropiane për të Drejtat e Njeriut, datë 12.01.2021, për çështjen ‘Budo kundër Shqipërisë’” (kërkesa nr.75763/17), </w:t>
      </w:r>
    </w:p>
    <w:p w:rsidR="0083048A" w:rsidRPr="0083048A" w:rsidRDefault="0083048A" w:rsidP="0083048A">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VKM nr. 290, datë 11.05.2022 “Për ekzekutimin e vendimit të Gjykatës Evropiane për të Drejtat e Njeriut, datë 19.10.2021, për çështjen ‘Laçi kundër Shqipërisë’” (kërkesa nr.28142/17) dhe </w:t>
      </w:r>
    </w:p>
    <w:p w:rsidR="0083048A" w:rsidRPr="0083048A" w:rsidRDefault="0083048A" w:rsidP="0083048A">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VKM nr. 369, datë 01.06.2022 “Për ekzekutimin e vendimit të Gjykatës Evropiane për të Drejtat e Njeriut, datë 09.12.2021, për çështjen ‘Fotaq Zaharia kundër Shqipërisë’” (kërkesa nr.45022/16),për çështjet “Budo kundër Shqipërisë” (kërkesa nr.75763/17), “Fotaq Zaharia kundër Shqipërisë” (kërkesa nr.45022/16) dhe “Laçi kundër Shqipërisë” (kërkesa nr.28142/17), </w:t>
      </w:r>
    </w:p>
    <w:p w:rsidR="0083048A" w:rsidRPr="0083048A" w:rsidRDefault="0083048A" w:rsidP="0083048A">
      <w:pPr>
        <w:jc w:val="both"/>
        <w:rPr>
          <w:rFonts w:asciiTheme="minorHAnsi" w:eastAsia="MS Mincho" w:hAnsiTheme="minorHAnsi"/>
          <w:sz w:val="8"/>
          <w:szCs w:val="8"/>
          <w:lang w:val="sq-AL"/>
        </w:rPr>
      </w:pPr>
    </w:p>
    <w:p w:rsidR="0083048A" w:rsidRPr="0083048A" w:rsidRDefault="0083048A" w:rsidP="0083048A">
      <w:pPr>
        <w:jc w:val="both"/>
        <w:rPr>
          <w:rFonts w:asciiTheme="minorHAnsi" w:eastAsia="MS Mincho" w:hAnsiTheme="minorHAnsi"/>
          <w:lang w:val="sq-AL"/>
        </w:rPr>
      </w:pPr>
      <w:r w:rsidRPr="0083048A">
        <w:rPr>
          <w:rFonts w:asciiTheme="minorHAnsi" w:eastAsia="MS Mincho" w:hAnsiTheme="minorHAnsi"/>
          <w:lang w:val="sq-AL"/>
        </w:rPr>
        <w:t>Efektet financiare të VKM-ve të sipërcituara përballohen nga Fondi Rezervë i buxheti i shtetit, i miratuar për vitin 2022. Nga këto, deri tani:</w:t>
      </w:r>
    </w:p>
    <w:p w:rsidR="0083048A" w:rsidRPr="0083048A" w:rsidRDefault="0083048A" w:rsidP="0083048A">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Është zbatuar vetëm VKM për çështjen “Budo kundër Shqipërisë” me vlerë 10.700 Euro (rreth 1.3 milion LEK) dhe janë në proces zbatimi VKM-të për çështjet “Fotaq Zaharia kundër Shqipërisë” dhe “Laçi kundër Shqipërisë”, me vlera përkatëse prej 15.000 Euro &amp; 10.500 Euro.</w:t>
      </w:r>
    </w:p>
    <w:p w:rsidR="0083048A" w:rsidRPr="0083048A" w:rsidRDefault="0083048A" w:rsidP="0083048A">
      <w:pPr>
        <w:numPr>
          <w:ilvl w:val="0"/>
          <w:numId w:val="9"/>
        </w:numPr>
        <w:ind w:left="360"/>
        <w:contextualSpacing/>
        <w:jc w:val="both"/>
        <w:rPr>
          <w:rFonts w:asciiTheme="minorHAnsi" w:eastAsia="MS Mincho" w:hAnsiTheme="minorHAnsi"/>
          <w:lang w:val="sq-AL"/>
        </w:rPr>
      </w:pPr>
      <w:r w:rsidRPr="0083048A">
        <w:rPr>
          <w:rFonts w:asciiTheme="minorHAnsi" w:eastAsia="MS Mincho" w:hAnsiTheme="minorHAnsi"/>
          <w:lang w:val="sq-AL"/>
        </w:rPr>
        <w:t>Ndërkohë, MFE ka ekzekutuar edhe tetë vendime të GJEDNJ-së, vlerat përkatëse të të cilave janë nën 10.000 Euro. Totali i pagesave për këto vendime rezulton në vlerën 25.600 Euro (rreth 3.17 milion LEK).</w:t>
      </w:r>
    </w:p>
    <w:p w:rsidR="00666B9F" w:rsidRDefault="00666B9F" w:rsidP="00016ECD">
      <w:pPr>
        <w:contextualSpacing/>
        <w:jc w:val="both"/>
        <w:rPr>
          <w:rFonts w:asciiTheme="minorHAnsi" w:eastAsia="Calibri" w:hAnsiTheme="minorHAnsi"/>
          <w:i/>
          <w:sz w:val="12"/>
          <w:lang w:val="sq-AL"/>
        </w:rPr>
      </w:pPr>
    </w:p>
    <w:p w:rsidR="00016ECD" w:rsidRPr="00D407A2" w:rsidRDefault="0068071B" w:rsidP="0083048A">
      <w:pPr>
        <w:ind w:left="360" w:hanging="360"/>
        <w:contextualSpacing/>
        <w:rPr>
          <w:rFonts w:asciiTheme="minorHAnsi" w:hAnsiTheme="minorHAnsi"/>
          <w:b/>
          <w:bCs/>
          <w:sz w:val="6"/>
          <w:szCs w:val="8"/>
          <w:lang w:val="sq-AL"/>
        </w:rPr>
      </w:pPr>
      <w:bookmarkStart w:id="159" w:name="_Toc107496764"/>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3B2B9B">
        <w:rPr>
          <w:rFonts w:asciiTheme="minorHAnsi" w:hAnsiTheme="minorHAnsi"/>
          <w:bCs/>
          <w:i/>
          <w:noProof/>
          <w:sz w:val="22"/>
        </w:rPr>
        <w:t>28</w:t>
      </w:r>
      <w:r w:rsidRPr="00343167">
        <w:rPr>
          <w:rFonts w:asciiTheme="minorHAnsi" w:hAnsiTheme="minorHAnsi"/>
          <w:bCs/>
          <w:i/>
          <w:noProof/>
          <w:sz w:val="22"/>
        </w:rPr>
        <w:fldChar w:fldCharType="end"/>
      </w:r>
      <w:r>
        <w:rPr>
          <w:rFonts w:asciiTheme="minorHAnsi" w:hAnsiTheme="minorHAnsi"/>
          <w:bCs/>
          <w:i/>
          <w:noProof/>
          <w:sz w:val="22"/>
        </w:rPr>
        <w:t>:</w:t>
      </w:r>
      <w:r w:rsidR="00016ECD" w:rsidRPr="00F30139">
        <w:rPr>
          <w:rFonts w:asciiTheme="minorHAnsi" w:hAnsiTheme="minorHAnsi"/>
          <w:bCs/>
          <w:i/>
          <w:sz w:val="22"/>
          <w:lang w:val="sq-AL"/>
        </w:rPr>
        <w:t xml:space="preserve"> </w:t>
      </w:r>
      <w:r w:rsidR="00016ECD">
        <w:rPr>
          <w:rFonts w:asciiTheme="minorHAnsi" w:hAnsiTheme="minorHAnsi"/>
          <w:bCs/>
          <w:i/>
          <w:sz w:val="22"/>
          <w:lang w:val="sq-AL"/>
        </w:rPr>
        <w:t>Detyrimet faktike dhe kontigjente nga vendimet e GJEDNJ-së</w:t>
      </w:r>
      <w:r w:rsidR="00016ECD" w:rsidRPr="00F30139">
        <w:rPr>
          <w:rFonts w:asciiTheme="minorHAnsi" w:hAnsiTheme="minorHAnsi"/>
          <w:bCs/>
          <w:i/>
          <w:sz w:val="22"/>
          <w:lang w:val="sq-AL"/>
        </w:rPr>
        <w:t xml:space="preserve"> (në </w:t>
      </w:r>
      <w:r w:rsidR="00016ECD">
        <w:rPr>
          <w:rFonts w:asciiTheme="minorHAnsi" w:hAnsiTheme="minorHAnsi"/>
          <w:bCs/>
          <w:i/>
          <w:sz w:val="22"/>
          <w:lang w:val="sq-AL"/>
        </w:rPr>
        <w:t>Euro</w:t>
      </w:r>
      <w:r w:rsidR="00016ECD" w:rsidRPr="00F30139">
        <w:rPr>
          <w:rFonts w:asciiTheme="minorHAnsi" w:hAnsiTheme="minorHAnsi"/>
          <w:bCs/>
          <w:i/>
          <w:sz w:val="22"/>
          <w:lang w:val="sq-AL"/>
        </w:rPr>
        <w:t>)</w:t>
      </w:r>
      <w:bookmarkEnd w:id="159"/>
    </w:p>
    <w:p w:rsidR="00016ECD" w:rsidRDefault="00016ECD" w:rsidP="00016ECD">
      <w:pPr>
        <w:contextualSpacing/>
        <w:jc w:val="both"/>
        <w:rPr>
          <w:rFonts w:eastAsia="Calibri"/>
          <w:noProof/>
        </w:rPr>
      </w:pPr>
      <w:r w:rsidRPr="00865CCE">
        <w:rPr>
          <w:rFonts w:eastAsia="Calibri"/>
          <w:noProof/>
        </w:rPr>
        <w:drawing>
          <wp:inline distT="0" distB="0" distL="0" distR="0" wp14:anchorId="28BBBD41" wp14:editId="455830E8">
            <wp:extent cx="6112378" cy="33909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38046" cy="3405140"/>
                    </a:xfrm>
                    <a:prstGeom prst="rect">
                      <a:avLst/>
                    </a:prstGeom>
                    <a:noFill/>
                    <a:ln>
                      <a:noFill/>
                    </a:ln>
                  </pic:spPr>
                </pic:pic>
              </a:graphicData>
            </a:graphic>
          </wp:inline>
        </w:drawing>
      </w:r>
    </w:p>
    <w:p w:rsidR="00016ECD" w:rsidRDefault="00016ECD" w:rsidP="00016ECD">
      <w:pPr>
        <w:spacing w:line="276" w:lineRule="auto"/>
        <w:rPr>
          <w:rFonts w:asciiTheme="minorHAnsi" w:eastAsia="SimSun" w:hAnsiTheme="minorHAnsi"/>
          <w:i/>
          <w:sz w:val="18"/>
          <w:lang w:val="sq-AL"/>
        </w:rPr>
      </w:pPr>
      <w:r w:rsidRPr="00016ECD">
        <w:rPr>
          <w:rFonts w:asciiTheme="minorHAnsi" w:eastAsia="SimSun" w:hAnsiTheme="minorHAnsi"/>
          <w:i/>
          <w:sz w:val="18"/>
          <w:lang w:val="sq-AL"/>
        </w:rPr>
        <w:t>Burimi: Avokatura e Shtetit, Ministria e Financave dhe Ekonomisë (2022)</w:t>
      </w:r>
    </w:p>
    <w:p w:rsidR="0083048A" w:rsidRDefault="0083048A" w:rsidP="00016ECD">
      <w:pPr>
        <w:spacing w:line="276" w:lineRule="auto"/>
        <w:rPr>
          <w:rFonts w:asciiTheme="minorHAnsi" w:eastAsia="SimSun" w:hAnsiTheme="minorHAnsi"/>
          <w:i/>
          <w:sz w:val="18"/>
          <w:lang w:val="sq-AL"/>
        </w:rPr>
      </w:pPr>
    </w:p>
    <w:p w:rsidR="00562780" w:rsidRPr="004C6F8D" w:rsidRDefault="00562780" w:rsidP="003F6B21">
      <w:pPr>
        <w:pStyle w:val="Heading2"/>
        <w:numPr>
          <w:ilvl w:val="0"/>
          <w:numId w:val="34"/>
        </w:numPr>
        <w:ind w:left="810" w:hanging="810"/>
        <w:rPr>
          <w:sz w:val="26"/>
          <w:szCs w:val="26"/>
        </w:rPr>
      </w:pPr>
      <w:bookmarkStart w:id="160" w:name="_Toc11134246"/>
      <w:bookmarkStart w:id="161" w:name="_Toc107497005"/>
      <w:r w:rsidRPr="004C6F8D">
        <w:rPr>
          <w:sz w:val="26"/>
          <w:szCs w:val="26"/>
        </w:rPr>
        <w:lastRenderedPageBreak/>
        <w:t>Vendimet e Gjykatës Ndërkombëtare të ARBITRAZHIT</w:t>
      </w:r>
      <w:bookmarkEnd w:id="160"/>
      <w:bookmarkEnd w:id="161"/>
      <w:r w:rsidRPr="004C6F8D">
        <w:rPr>
          <w:sz w:val="26"/>
          <w:szCs w:val="26"/>
        </w:rPr>
        <w:t xml:space="preserve"> </w:t>
      </w:r>
    </w:p>
    <w:p w:rsidR="00FF4AD5" w:rsidRPr="00FF4AD5" w:rsidRDefault="00FF4AD5" w:rsidP="00FF4AD5">
      <w:pPr>
        <w:spacing w:line="276" w:lineRule="auto"/>
        <w:contextualSpacing/>
        <w:jc w:val="both"/>
        <w:rPr>
          <w:rFonts w:asciiTheme="minorHAnsi" w:hAnsiTheme="minorHAnsi"/>
          <w:sz w:val="8"/>
          <w:szCs w:val="8"/>
          <w:lang w:val="sq-AL"/>
        </w:rPr>
      </w:pPr>
    </w:p>
    <w:p w:rsidR="00545CF4" w:rsidRDefault="00DA03D6" w:rsidP="00DA03D6">
      <w:pPr>
        <w:spacing w:line="276" w:lineRule="auto"/>
        <w:contextualSpacing/>
        <w:jc w:val="both"/>
        <w:rPr>
          <w:rFonts w:asciiTheme="minorHAnsi" w:hAnsiTheme="minorHAnsi"/>
          <w:lang w:val="sq-AL"/>
        </w:rPr>
      </w:pPr>
      <w:r>
        <w:rPr>
          <w:rFonts w:asciiTheme="minorHAnsi" w:hAnsiTheme="minorHAnsi"/>
          <w:lang w:val="sq-AL"/>
        </w:rPr>
        <w:t>Këto vendime</w:t>
      </w:r>
      <w:r w:rsidRPr="004A11B3">
        <w:rPr>
          <w:rFonts w:asciiTheme="minorHAnsi" w:hAnsiTheme="minorHAnsi"/>
          <w:lang w:val="sq-AL"/>
        </w:rPr>
        <w:t xml:space="preserv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w:t>
      </w:r>
    </w:p>
    <w:p w:rsidR="00545CF4" w:rsidRPr="00545CF4" w:rsidRDefault="00545CF4" w:rsidP="00DA03D6">
      <w:pPr>
        <w:spacing w:line="276" w:lineRule="auto"/>
        <w:contextualSpacing/>
        <w:jc w:val="both"/>
        <w:rPr>
          <w:rFonts w:asciiTheme="minorHAnsi" w:hAnsiTheme="minorHAnsi"/>
          <w:sz w:val="8"/>
          <w:szCs w:val="8"/>
          <w:lang w:val="sq-AL"/>
        </w:rPr>
      </w:pPr>
    </w:p>
    <w:p w:rsidR="00016ECD" w:rsidRDefault="00DA03D6" w:rsidP="00DA03D6">
      <w:pPr>
        <w:spacing w:line="276" w:lineRule="auto"/>
        <w:contextualSpacing/>
        <w:jc w:val="both"/>
        <w:rPr>
          <w:rFonts w:asciiTheme="minorHAnsi" w:hAnsiTheme="minorHAnsi"/>
          <w:lang w:val="sq-AL"/>
        </w:rPr>
      </w:pPr>
      <w:r w:rsidRPr="004A11B3">
        <w:rPr>
          <w:rFonts w:asciiTheme="minorHAnsi" w:hAnsiTheme="minorHAnsi"/>
          <w:lang w:val="sq-AL"/>
        </w:rPr>
        <w:t xml:space="preserve">Në pjesën më të madhe, efektet financiare që rrjedhin nga zbatimi i këtyre vendimeve janë përballuar nga buxheti i vetë institucioneve buxhetore (kryesisht ministri linje), të cilat kanë qenë edhe palë e paditur në gjykimet respektive. Ndërkohë që, në rastet kur palë e paditur cilësohet ‘shteti shqiptar’ apo ‘qeveria shqiptare’, këto vendime likujdohen përmes buxhetit të </w:t>
      </w:r>
      <w:r>
        <w:rPr>
          <w:rFonts w:asciiTheme="minorHAnsi" w:hAnsiTheme="minorHAnsi"/>
          <w:lang w:val="sq-AL"/>
        </w:rPr>
        <w:t>MFE dhe/ose Fondit R</w:t>
      </w:r>
      <w:r w:rsidRPr="004A11B3">
        <w:rPr>
          <w:rFonts w:asciiTheme="minorHAnsi" w:hAnsiTheme="minorHAnsi"/>
          <w:lang w:val="sq-AL"/>
        </w:rPr>
        <w:t xml:space="preserve">ezervë të buxhetit të shtetit, nëse lind nevoja. </w:t>
      </w:r>
    </w:p>
    <w:p w:rsidR="00016ECD" w:rsidRPr="00016ECD" w:rsidRDefault="00016ECD" w:rsidP="00DA03D6">
      <w:pPr>
        <w:spacing w:line="276" w:lineRule="auto"/>
        <w:contextualSpacing/>
        <w:jc w:val="both"/>
        <w:rPr>
          <w:rFonts w:asciiTheme="minorHAnsi" w:hAnsiTheme="minorHAnsi"/>
          <w:sz w:val="8"/>
          <w:szCs w:val="8"/>
          <w:lang w:val="sq-AL"/>
        </w:rPr>
      </w:pPr>
    </w:p>
    <w:p w:rsidR="00DA03D6" w:rsidRDefault="00DA03D6" w:rsidP="00DA03D6">
      <w:pPr>
        <w:spacing w:line="276" w:lineRule="auto"/>
        <w:contextualSpacing/>
        <w:jc w:val="both"/>
        <w:rPr>
          <w:rFonts w:asciiTheme="minorHAnsi" w:hAnsiTheme="minorHAnsi"/>
          <w:lang w:val="sq-AL"/>
        </w:rPr>
      </w:pPr>
      <w:r>
        <w:rPr>
          <w:rFonts w:asciiTheme="minorHAnsi" w:hAnsiTheme="minorHAnsi"/>
          <w:lang w:val="sq-AL"/>
        </w:rPr>
        <w:t>MFE</w:t>
      </w:r>
      <w:r w:rsidRPr="00DE3687">
        <w:rPr>
          <w:rFonts w:asciiTheme="minorHAnsi" w:hAnsiTheme="minorHAnsi"/>
          <w:lang w:val="sq-AL"/>
        </w:rPr>
        <w:t>,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w:t>
      </w:r>
      <w:r>
        <w:rPr>
          <w:rFonts w:asciiTheme="minorHAnsi" w:hAnsiTheme="minorHAnsi"/>
          <w:lang w:val="sq-AL"/>
        </w:rPr>
        <w:t xml:space="preserve"> </w:t>
      </w:r>
    </w:p>
    <w:p w:rsidR="00DA03D6" w:rsidRPr="002815BF" w:rsidRDefault="00DA03D6" w:rsidP="00DA03D6">
      <w:pPr>
        <w:spacing w:line="276" w:lineRule="auto"/>
        <w:jc w:val="both"/>
        <w:rPr>
          <w:rFonts w:asciiTheme="minorHAnsi" w:hAnsiTheme="minorHAnsi"/>
          <w:sz w:val="8"/>
          <w:szCs w:val="8"/>
          <w:lang w:val="sq-AL"/>
        </w:rPr>
      </w:pPr>
    </w:p>
    <w:p w:rsidR="00016ECD" w:rsidRPr="002815BF" w:rsidRDefault="00016ECD" w:rsidP="00016ECD">
      <w:pPr>
        <w:spacing w:line="276" w:lineRule="auto"/>
        <w:jc w:val="both"/>
        <w:rPr>
          <w:rFonts w:asciiTheme="minorHAnsi" w:hAnsiTheme="minorHAnsi"/>
          <w:lang w:val="sq-AL"/>
        </w:rPr>
      </w:pPr>
      <w:r w:rsidRPr="002815BF">
        <w:rPr>
          <w:rFonts w:asciiTheme="minorHAnsi" w:hAnsiTheme="minorHAnsi"/>
          <w:lang w:val="sq-AL"/>
        </w:rPr>
        <w:t xml:space="preserve">Për </w:t>
      </w:r>
      <w:r w:rsidRPr="00DA03D6">
        <w:rPr>
          <w:rFonts w:asciiTheme="minorHAnsi" w:hAnsiTheme="minorHAnsi"/>
          <w:lang w:val="sq-AL"/>
        </w:rPr>
        <w:t>periudhën Janar-</w:t>
      </w:r>
      <w:r>
        <w:rPr>
          <w:rFonts w:asciiTheme="minorHAnsi" w:hAnsiTheme="minorHAnsi"/>
          <w:lang w:val="sq-AL"/>
        </w:rPr>
        <w:t>Maj</w:t>
      </w:r>
      <w:r w:rsidRPr="00DA03D6">
        <w:rPr>
          <w:rFonts w:asciiTheme="minorHAnsi" w:hAnsiTheme="minorHAnsi"/>
          <w:lang w:val="sq-AL"/>
        </w:rPr>
        <w:t xml:space="preserve"> 202</w:t>
      </w:r>
      <w:r>
        <w:rPr>
          <w:rFonts w:asciiTheme="minorHAnsi" w:hAnsiTheme="minorHAnsi"/>
          <w:lang w:val="sq-AL"/>
        </w:rPr>
        <w:t>2</w:t>
      </w:r>
      <w:r w:rsidRPr="00DA03D6">
        <w:rPr>
          <w:rFonts w:asciiTheme="minorHAnsi" w:hAnsiTheme="minorHAnsi"/>
          <w:lang w:val="sq-AL"/>
        </w:rPr>
        <w:t>, bazuar</w:t>
      </w:r>
      <w:r w:rsidRPr="002815BF">
        <w:rPr>
          <w:rFonts w:asciiTheme="minorHAnsi" w:hAnsiTheme="minorHAnsi"/>
          <w:lang w:val="sq-AL"/>
        </w:rPr>
        <w:t xml:space="preserve"> në raportimin e institucioneve buxhetore, vlera totale e paguar nga </w:t>
      </w:r>
      <w:r>
        <w:rPr>
          <w:rFonts w:asciiTheme="minorHAnsi" w:hAnsiTheme="minorHAnsi"/>
          <w:lang w:val="sq-AL"/>
        </w:rPr>
        <w:t>ministritë e linjës dhe institucionet e varësisë</w:t>
      </w:r>
      <w:r w:rsidRPr="002815BF">
        <w:rPr>
          <w:rFonts w:asciiTheme="minorHAnsi" w:hAnsiTheme="minorHAnsi"/>
          <w:lang w:val="sq-AL"/>
        </w:rPr>
        <w:t xml:space="preserve">, për vendimet e arbitrazhit, rezultoi në masën rreth </w:t>
      </w:r>
      <w:r w:rsidRPr="00865CCE">
        <w:rPr>
          <w:rFonts w:asciiTheme="minorHAnsi" w:hAnsiTheme="minorHAnsi"/>
          <w:lang w:val="sq-AL"/>
        </w:rPr>
        <w:t>243.65 milion LEK.</w:t>
      </w:r>
      <w:r w:rsidRPr="002815BF">
        <w:rPr>
          <w:rFonts w:asciiTheme="minorHAnsi" w:hAnsiTheme="minorHAnsi"/>
          <w:lang w:val="sq-AL"/>
        </w:rPr>
        <w:t xml:space="preserve"> Nga këto: </w:t>
      </w:r>
    </w:p>
    <w:p w:rsidR="00016ECD" w:rsidRPr="0083048A" w:rsidRDefault="00016ECD" w:rsidP="003F6B21">
      <w:pPr>
        <w:pStyle w:val="ListParagraph"/>
        <w:numPr>
          <w:ilvl w:val="0"/>
          <w:numId w:val="52"/>
        </w:numPr>
        <w:spacing w:line="276" w:lineRule="auto"/>
        <w:ind w:left="450"/>
        <w:jc w:val="both"/>
        <w:rPr>
          <w:rFonts w:asciiTheme="minorHAnsi" w:hAnsiTheme="minorHAnsi"/>
          <w:i/>
          <w:lang w:val="sq-AL"/>
        </w:rPr>
      </w:pPr>
      <w:r w:rsidRPr="0083048A">
        <w:rPr>
          <w:rFonts w:asciiTheme="minorHAnsi" w:hAnsiTheme="minorHAnsi"/>
          <w:i/>
          <w:lang w:val="sq-AL"/>
        </w:rPr>
        <w:t>12.1 milion LEK nga Ministria e Infrastrukturës dhe Energjisë, për pagesën e shërbimeve juridike  për përfaqësimin në procedurat e anullimit të vendimit të arbitrazhit ndërkombëtar për çështjen “ICC Case no.22919/GR” (Hydro S.R.L kundër Republikës së Shqipërisë).</w:t>
      </w:r>
    </w:p>
    <w:p w:rsidR="00016ECD" w:rsidRPr="0083048A" w:rsidRDefault="00016ECD" w:rsidP="003F6B21">
      <w:pPr>
        <w:pStyle w:val="ListParagraph"/>
        <w:numPr>
          <w:ilvl w:val="0"/>
          <w:numId w:val="52"/>
        </w:numPr>
        <w:ind w:left="450"/>
        <w:jc w:val="both"/>
        <w:rPr>
          <w:rFonts w:asciiTheme="minorHAnsi" w:hAnsiTheme="minorHAnsi"/>
          <w:i/>
          <w:lang w:val="sq-AL"/>
        </w:rPr>
      </w:pPr>
      <w:r w:rsidRPr="0083048A">
        <w:rPr>
          <w:rFonts w:asciiTheme="minorHAnsi" w:hAnsiTheme="minorHAnsi"/>
          <w:i/>
          <w:lang w:val="sq-AL"/>
        </w:rPr>
        <w:t>Rreth 3.7 milion LEK nga Autoriteti Rrugor Shqiptar, për pagesën e shërbimeve juridike për përfaqësimin në procedurat e anullimit të vendimit të arbitrazhit ndërkombëtar “ICC Case 23998/MHM (c-24011/MHM/HBH)”.</w:t>
      </w:r>
    </w:p>
    <w:p w:rsidR="00016ECD" w:rsidRPr="0083048A" w:rsidRDefault="00016ECD" w:rsidP="003F6B21">
      <w:pPr>
        <w:pStyle w:val="ListParagraph"/>
        <w:numPr>
          <w:ilvl w:val="0"/>
          <w:numId w:val="52"/>
        </w:numPr>
        <w:ind w:left="450"/>
        <w:jc w:val="both"/>
        <w:rPr>
          <w:rFonts w:asciiTheme="minorHAnsi" w:hAnsiTheme="minorHAnsi"/>
          <w:i/>
          <w:lang w:val="sq-AL"/>
        </w:rPr>
      </w:pPr>
      <w:r w:rsidRPr="0083048A">
        <w:rPr>
          <w:rFonts w:asciiTheme="minorHAnsi" w:hAnsiTheme="minorHAnsi"/>
          <w:i/>
          <w:lang w:val="sq-AL"/>
        </w:rPr>
        <w:t>87.7 milion LEK nga Agjencia Kombëtare Ujësjellës Kanalizimeve dhe Infrastrukturës së Mbetjeve (AKUM), për pagesën e shërbimeve juridike për përfaqësim dhe mbrojtje, lidhur me vendimin e arbitrazhit ndërkombëtar</w:t>
      </w:r>
      <w:r w:rsidRPr="0083048A">
        <w:rPr>
          <w:rFonts w:asciiTheme="minorHAnsi" w:hAnsiTheme="minorHAnsi"/>
          <w:lang w:val="sq-AL"/>
        </w:rPr>
        <w:t xml:space="preserve"> “</w:t>
      </w:r>
      <w:r w:rsidRPr="0083048A">
        <w:rPr>
          <w:rFonts w:asciiTheme="minorHAnsi" w:hAnsiTheme="minorHAnsi"/>
          <w:i/>
          <w:lang w:val="sq-AL"/>
        </w:rPr>
        <w:t>ICC Case no.24140/MHM/HBH”.</w:t>
      </w:r>
    </w:p>
    <w:p w:rsidR="00016ECD" w:rsidRPr="0083048A" w:rsidRDefault="00016ECD" w:rsidP="003F6B21">
      <w:pPr>
        <w:pStyle w:val="ListParagraph"/>
        <w:numPr>
          <w:ilvl w:val="0"/>
          <w:numId w:val="52"/>
        </w:numPr>
        <w:ind w:left="450"/>
        <w:jc w:val="both"/>
        <w:rPr>
          <w:rFonts w:asciiTheme="minorHAnsi" w:hAnsiTheme="minorHAnsi"/>
          <w:i/>
          <w:lang w:val="sq-AL"/>
        </w:rPr>
      </w:pPr>
      <w:r w:rsidRPr="0083048A">
        <w:rPr>
          <w:rFonts w:asciiTheme="minorHAnsi" w:hAnsiTheme="minorHAnsi"/>
          <w:i/>
          <w:lang w:val="sq-AL"/>
        </w:rPr>
        <w:t>Rreth 30.5 milion LEK nga Agjencia Kombëtare e Burimeve Natyrore (AKBN) për pagesën e kostove për përfaqësimin e MIE/AKBN në çështjen e arbitrazhit ndërkombëtar “ICC Case 21349/EMT/GR”.</w:t>
      </w:r>
    </w:p>
    <w:p w:rsidR="00016ECD" w:rsidRPr="0083048A" w:rsidRDefault="00016ECD" w:rsidP="003F6B21">
      <w:pPr>
        <w:pStyle w:val="ListParagraph"/>
        <w:numPr>
          <w:ilvl w:val="0"/>
          <w:numId w:val="52"/>
        </w:numPr>
        <w:ind w:left="450"/>
        <w:jc w:val="both"/>
        <w:rPr>
          <w:rFonts w:asciiTheme="minorHAnsi" w:hAnsiTheme="minorHAnsi"/>
          <w:i/>
          <w:lang w:val="sq-AL"/>
        </w:rPr>
      </w:pPr>
      <w:r w:rsidRPr="0083048A">
        <w:rPr>
          <w:rFonts w:asciiTheme="minorHAnsi" w:hAnsiTheme="minorHAnsi"/>
          <w:i/>
          <w:lang w:val="sq-AL"/>
        </w:rPr>
        <w:t>Rreth 19.35 milion LEK nga Autoriteti Portual Durrës, për shërbime ekspertimi dhe konsulencë ligjore dhe financiare për çështje të arbitrazhit ndërkombëtar.</w:t>
      </w:r>
      <w:r w:rsidRPr="0083048A">
        <w:rPr>
          <w:rFonts w:asciiTheme="minorHAnsi" w:hAnsiTheme="minorHAnsi"/>
          <w:lang w:val="sq-AL"/>
        </w:rPr>
        <w:t xml:space="preserve"> </w:t>
      </w:r>
    </w:p>
    <w:p w:rsidR="00016ECD" w:rsidRPr="0083048A" w:rsidRDefault="00016ECD" w:rsidP="003F6B21">
      <w:pPr>
        <w:pStyle w:val="ListParagraph"/>
        <w:numPr>
          <w:ilvl w:val="0"/>
          <w:numId w:val="52"/>
        </w:numPr>
        <w:spacing w:line="276" w:lineRule="auto"/>
        <w:ind w:left="450"/>
        <w:jc w:val="both"/>
        <w:rPr>
          <w:rFonts w:asciiTheme="minorHAnsi" w:hAnsiTheme="minorHAnsi"/>
          <w:i/>
          <w:lang w:val="sq-AL"/>
        </w:rPr>
      </w:pPr>
      <w:r w:rsidRPr="0083048A">
        <w:rPr>
          <w:rFonts w:asciiTheme="minorHAnsi" w:hAnsiTheme="minorHAnsi"/>
          <w:i/>
          <w:lang w:val="sq-AL"/>
        </w:rPr>
        <w:t>36.6 milion LEK nga Ministria e Turizmit dhe Mjedisit për pagesën e shërbimeve juridike të studios ligjore, të kontraktuar për anullimin e vendimit të arbitrazhit</w:t>
      </w:r>
      <w:r w:rsidRPr="0083048A">
        <w:rPr>
          <w:rFonts w:asciiTheme="minorHAnsi" w:hAnsiTheme="minorHAnsi"/>
          <w:lang w:val="sq-AL"/>
        </w:rPr>
        <w:t xml:space="preserve"> “</w:t>
      </w:r>
      <w:r w:rsidRPr="0083048A">
        <w:rPr>
          <w:rFonts w:asciiTheme="minorHAnsi" w:hAnsiTheme="minorHAnsi"/>
          <w:i/>
          <w:lang w:val="sq-AL"/>
        </w:rPr>
        <w:t>ICSID Case no. ARB/14/26 Albaniabeg Ambient shpk, Angelo Noveli, Construzioni S.R.L”.</w:t>
      </w:r>
    </w:p>
    <w:p w:rsidR="00016ECD" w:rsidRPr="0083048A" w:rsidRDefault="00016ECD" w:rsidP="003F6B21">
      <w:pPr>
        <w:pStyle w:val="ListParagraph"/>
        <w:numPr>
          <w:ilvl w:val="0"/>
          <w:numId w:val="52"/>
        </w:numPr>
        <w:spacing w:line="276" w:lineRule="auto"/>
        <w:ind w:left="450"/>
        <w:jc w:val="both"/>
        <w:rPr>
          <w:rFonts w:asciiTheme="minorHAnsi" w:hAnsiTheme="minorHAnsi"/>
          <w:i/>
          <w:lang w:val="sq-AL"/>
        </w:rPr>
      </w:pPr>
      <w:r w:rsidRPr="0083048A">
        <w:rPr>
          <w:rFonts w:asciiTheme="minorHAnsi" w:hAnsiTheme="minorHAnsi"/>
          <w:i/>
          <w:lang w:val="sq-AL"/>
        </w:rPr>
        <w:t>Rreth 31 milion LEK nga Ministria e Bujqësisë dhe Zhvillimit Rural, për pagesën e shërbimeve juridike, për 1 çështje të arbitrazhit ndërkombëtar</w:t>
      </w:r>
      <w:r w:rsidRPr="0083048A">
        <w:rPr>
          <w:rFonts w:asciiTheme="minorHAnsi" w:hAnsiTheme="minorHAnsi"/>
          <w:lang w:val="sq-AL"/>
        </w:rPr>
        <w:t xml:space="preserve"> “</w:t>
      </w:r>
      <w:r w:rsidRPr="0083048A">
        <w:rPr>
          <w:rFonts w:asciiTheme="minorHAnsi" w:hAnsiTheme="minorHAnsi"/>
          <w:i/>
          <w:lang w:val="sq-AL"/>
        </w:rPr>
        <w:t>PCA Case 2018-49 VALERIA SRL”.</w:t>
      </w:r>
    </w:p>
    <w:p w:rsidR="00016ECD" w:rsidRPr="0083048A" w:rsidRDefault="00016ECD" w:rsidP="003F6B21">
      <w:pPr>
        <w:pStyle w:val="ListParagraph"/>
        <w:numPr>
          <w:ilvl w:val="0"/>
          <w:numId w:val="52"/>
        </w:numPr>
        <w:spacing w:line="276" w:lineRule="auto"/>
        <w:ind w:left="450"/>
        <w:jc w:val="both"/>
        <w:rPr>
          <w:rFonts w:asciiTheme="minorHAnsi" w:hAnsiTheme="minorHAnsi"/>
          <w:i/>
          <w:lang w:val="sq-AL"/>
        </w:rPr>
      </w:pPr>
      <w:r w:rsidRPr="0083048A">
        <w:rPr>
          <w:rFonts w:asciiTheme="minorHAnsi" w:hAnsiTheme="minorHAnsi"/>
          <w:i/>
          <w:lang w:val="sq-AL"/>
        </w:rPr>
        <w:t>22.7 milion LEK nga Ministria e Financave dhe Ekonomisë, për pagesën e shërbimeve juridike për përfaqësimin dhe mbrojtjen në çështjen e arbitrazhit ndërkombëtar</w:t>
      </w:r>
      <w:r w:rsidRPr="0083048A">
        <w:rPr>
          <w:rFonts w:asciiTheme="minorHAnsi" w:hAnsiTheme="minorHAnsi"/>
          <w:lang w:val="sq-AL"/>
        </w:rPr>
        <w:t xml:space="preserve"> </w:t>
      </w:r>
      <w:r w:rsidRPr="0083048A">
        <w:rPr>
          <w:rFonts w:asciiTheme="minorHAnsi" w:hAnsiTheme="minorHAnsi"/>
          <w:i/>
          <w:lang w:val="sq-AL"/>
        </w:rPr>
        <w:t>ICSID nr.ARB/15/28 “Hydro dhe të tjerët kundër Shqipërisë”.</w:t>
      </w:r>
    </w:p>
    <w:p w:rsidR="00016ECD" w:rsidRDefault="00016ECD" w:rsidP="00016ECD">
      <w:pPr>
        <w:spacing w:line="276" w:lineRule="auto"/>
        <w:jc w:val="both"/>
        <w:rPr>
          <w:rFonts w:asciiTheme="minorHAnsi" w:hAnsiTheme="minorHAnsi"/>
          <w:lang w:val="sq-AL"/>
        </w:rPr>
      </w:pPr>
    </w:p>
    <w:p w:rsidR="00016ECD" w:rsidRDefault="00016ECD" w:rsidP="00016ECD">
      <w:pPr>
        <w:spacing w:line="276" w:lineRule="auto"/>
        <w:jc w:val="both"/>
        <w:rPr>
          <w:rFonts w:asciiTheme="minorHAnsi" w:hAnsiTheme="minorHAnsi"/>
          <w:lang w:val="sq-AL"/>
        </w:rPr>
      </w:pPr>
      <w:r>
        <w:rPr>
          <w:rFonts w:asciiTheme="minorHAnsi" w:hAnsiTheme="minorHAnsi"/>
          <w:lang w:val="sq-AL"/>
        </w:rPr>
        <w:t xml:space="preserve">Mëposhtë paraqitet tabela përmbledhëse e detyrimeve për vendimet e Arbitrazhit Ndërkombëtar, </w:t>
      </w:r>
      <w:r w:rsidRPr="008B0AD0">
        <w:rPr>
          <w:rFonts w:asciiTheme="minorHAnsi" w:hAnsiTheme="minorHAnsi"/>
          <w:lang w:val="sq-AL"/>
        </w:rPr>
        <w:t xml:space="preserve"> </w:t>
      </w:r>
      <w:r>
        <w:rPr>
          <w:rFonts w:asciiTheme="minorHAnsi" w:hAnsiTheme="minorHAnsi"/>
          <w:lang w:val="sq-AL"/>
        </w:rPr>
        <w:t>bazuar në informacionin që disponon Ministria e Financave dhe Ekonomisë.</w:t>
      </w:r>
    </w:p>
    <w:p w:rsidR="0083048A" w:rsidRDefault="0083048A" w:rsidP="00016ECD">
      <w:pPr>
        <w:spacing w:line="276" w:lineRule="auto"/>
        <w:jc w:val="both"/>
        <w:rPr>
          <w:rFonts w:asciiTheme="minorHAnsi" w:hAnsiTheme="minorHAnsi"/>
          <w:lang w:val="sq-AL"/>
        </w:rPr>
      </w:pPr>
    </w:p>
    <w:p w:rsidR="008F207A" w:rsidRPr="00E2618C" w:rsidRDefault="008F207A" w:rsidP="008F207A">
      <w:pPr>
        <w:spacing w:after="240" w:line="276" w:lineRule="auto"/>
        <w:contextualSpacing/>
        <w:rPr>
          <w:rFonts w:ascii="Calibri" w:hAnsi="Calibri"/>
          <w:sz w:val="22"/>
          <w:lang w:val="sq-AL"/>
        </w:rPr>
      </w:pPr>
      <w:bookmarkStart w:id="162" w:name="_Toc107496765"/>
      <w:r w:rsidRPr="00E2618C">
        <w:rPr>
          <w:rFonts w:ascii="Calibri" w:hAnsi="Calibri"/>
          <w:bCs/>
          <w:i/>
          <w:sz w:val="22"/>
          <w:lang w:val="sq-AL"/>
        </w:rPr>
        <w:lastRenderedPageBreak/>
        <w:t xml:space="preserve">Tabela </w:t>
      </w:r>
      <w:r w:rsidRPr="00E2618C">
        <w:rPr>
          <w:rFonts w:ascii="Calibri" w:hAnsi="Calibri"/>
          <w:bCs/>
          <w:i/>
          <w:sz w:val="22"/>
          <w:lang w:val="sq-AL"/>
        </w:rPr>
        <w:fldChar w:fldCharType="begin"/>
      </w:r>
      <w:r w:rsidRPr="00E2618C">
        <w:rPr>
          <w:rFonts w:ascii="Calibri" w:hAnsi="Calibri"/>
          <w:bCs/>
          <w:i/>
          <w:sz w:val="22"/>
          <w:lang w:val="sq-AL"/>
        </w:rPr>
        <w:instrText xml:space="preserve"> SEQ Tabela \* ARABIC </w:instrText>
      </w:r>
      <w:r w:rsidRPr="00E2618C">
        <w:rPr>
          <w:rFonts w:ascii="Calibri" w:hAnsi="Calibri"/>
          <w:bCs/>
          <w:i/>
          <w:sz w:val="22"/>
          <w:lang w:val="sq-AL"/>
        </w:rPr>
        <w:fldChar w:fldCharType="separate"/>
      </w:r>
      <w:r w:rsidR="003B2B9B">
        <w:rPr>
          <w:rFonts w:ascii="Calibri" w:hAnsi="Calibri"/>
          <w:bCs/>
          <w:i/>
          <w:noProof/>
          <w:sz w:val="22"/>
          <w:lang w:val="sq-AL"/>
        </w:rPr>
        <w:t>29</w:t>
      </w:r>
      <w:r w:rsidRPr="00E2618C">
        <w:rPr>
          <w:rFonts w:ascii="Calibri" w:hAnsi="Calibri"/>
          <w:bCs/>
          <w:i/>
          <w:sz w:val="22"/>
          <w:lang w:val="sq-AL"/>
        </w:rPr>
        <w:fldChar w:fldCharType="end"/>
      </w:r>
      <w:r w:rsidRPr="00E2618C">
        <w:rPr>
          <w:rFonts w:ascii="Calibri" w:hAnsi="Calibri"/>
          <w:bCs/>
          <w:i/>
          <w:sz w:val="22"/>
          <w:lang w:val="sq-AL"/>
        </w:rPr>
        <w:t xml:space="preserve">: </w:t>
      </w:r>
      <w:r w:rsidRPr="00E2618C">
        <w:rPr>
          <w:rFonts w:ascii="Calibri" w:hAnsi="Calibri"/>
          <w:i/>
          <w:sz w:val="22"/>
          <w:lang w:val="sq-AL"/>
        </w:rPr>
        <w:t>Detyrime për vendimet e Arbitrazhit Ndërkombëtar</w:t>
      </w:r>
      <w:r w:rsidRPr="00E2618C">
        <w:rPr>
          <w:rFonts w:ascii="Calibri" w:hAnsi="Calibri"/>
          <w:sz w:val="22"/>
          <w:lang w:val="sq-AL"/>
        </w:rPr>
        <w:t xml:space="preserve"> (n</w:t>
      </w:r>
      <w:r w:rsidR="002323A5" w:rsidRPr="00E2618C">
        <w:rPr>
          <w:rFonts w:ascii="Calibri" w:hAnsi="Calibri"/>
          <w:sz w:val="22"/>
          <w:lang w:val="sq-AL"/>
        </w:rPr>
        <w:t>ë</w:t>
      </w:r>
      <w:r w:rsidRPr="00E2618C">
        <w:rPr>
          <w:rFonts w:ascii="Calibri" w:hAnsi="Calibri"/>
          <w:sz w:val="22"/>
          <w:lang w:val="sq-AL"/>
        </w:rPr>
        <w:t xml:space="preserve"> EUR)</w:t>
      </w:r>
      <w:bookmarkEnd w:id="162"/>
      <w:r w:rsidRPr="00E2618C">
        <w:rPr>
          <w:rFonts w:ascii="Calibri" w:hAnsi="Calibri"/>
          <w:sz w:val="22"/>
          <w:lang w:val="sq-AL"/>
        </w:rPr>
        <w:t xml:space="preserve">                                                                    </w:t>
      </w:r>
    </w:p>
    <w:p w:rsidR="00FF4AD5" w:rsidRDefault="0083048A" w:rsidP="00932560">
      <w:pPr>
        <w:ind w:left="-360"/>
        <w:jc w:val="center"/>
        <w:rPr>
          <w:rFonts w:asciiTheme="minorHAnsi" w:hAnsiTheme="minorHAnsi"/>
          <w:i/>
          <w:sz w:val="22"/>
          <w:lang w:val="sq-AL"/>
        </w:rPr>
      </w:pPr>
      <w:r>
        <w:rPr>
          <w:rFonts w:asciiTheme="minorHAnsi" w:hAnsiTheme="minorHAnsi"/>
          <w:i/>
          <w:noProof/>
          <w:sz w:val="22"/>
        </w:rPr>
        <w:drawing>
          <wp:inline distT="0" distB="0" distL="0" distR="0" wp14:anchorId="6358FEA5" wp14:editId="682DF7AD">
            <wp:extent cx="6474460" cy="6553835"/>
            <wp:effectExtent l="0" t="0" r="254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4460" cy="6553835"/>
                    </a:xfrm>
                    <a:prstGeom prst="rect">
                      <a:avLst/>
                    </a:prstGeom>
                    <a:noFill/>
                  </pic:spPr>
                </pic:pic>
              </a:graphicData>
            </a:graphic>
          </wp:inline>
        </w:drawing>
      </w:r>
    </w:p>
    <w:p w:rsidR="00EF1561" w:rsidRPr="00EF1561" w:rsidRDefault="00EF1561" w:rsidP="008F207A">
      <w:pPr>
        <w:spacing w:line="276" w:lineRule="auto"/>
        <w:ind w:firstLine="720"/>
        <w:rPr>
          <w:rFonts w:asciiTheme="minorHAnsi" w:eastAsia="SimSun" w:hAnsiTheme="minorHAnsi"/>
          <w:i/>
          <w:sz w:val="4"/>
          <w:lang w:val="sq-AL"/>
        </w:rPr>
      </w:pPr>
    </w:p>
    <w:p w:rsidR="00545CF4" w:rsidRDefault="00545CF4" w:rsidP="00545CF4">
      <w:pPr>
        <w:spacing w:line="276" w:lineRule="auto"/>
        <w:jc w:val="both"/>
        <w:rPr>
          <w:rFonts w:asciiTheme="minorHAnsi" w:eastAsia="SimSun" w:hAnsiTheme="minorHAnsi"/>
          <w:i/>
          <w:sz w:val="18"/>
          <w:lang w:val="sq-AL"/>
        </w:rPr>
      </w:pPr>
      <w:r w:rsidRPr="00653723">
        <w:rPr>
          <w:rFonts w:asciiTheme="minorHAnsi" w:eastAsia="SimSun" w:hAnsiTheme="minorHAnsi"/>
          <w:i/>
          <w:sz w:val="18"/>
          <w:lang w:val="sq-AL"/>
        </w:rPr>
        <w:t xml:space="preserve">Burimi: </w:t>
      </w:r>
      <w:r>
        <w:rPr>
          <w:rFonts w:asciiTheme="minorHAnsi" w:eastAsia="SimSun" w:hAnsiTheme="minorHAnsi"/>
          <w:i/>
          <w:sz w:val="18"/>
          <w:lang w:val="sq-AL"/>
        </w:rPr>
        <w:t xml:space="preserve">Avokatura e Shtetit, Ministritë e Linjës, </w:t>
      </w:r>
      <w:r w:rsidRPr="00653723">
        <w:rPr>
          <w:rFonts w:asciiTheme="minorHAnsi" w:eastAsia="SimSun" w:hAnsiTheme="minorHAnsi"/>
          <w:i/>
          <w:sz w:val="18"/>
          <w:lang w:val="sq-AL"/>
        </w:rPr>
        <w:t>Ministria e Financave dhe Ekonomisë (202</w:t>
      </w:r>
      <w:r>
        <w:rPr>
          <w:rFonts w:asciiTheme="minorHAnsi" w:eastAsia="SimSun" w:hAnsiTheme="minorHAnsi"/>
          <w:i/>
          <w:sz w:val="18"/>
          <w:lang w:val="sq-AL"/>
        </w:rPr>
        <w:t>2</w:t>
      </w:r>
      <w:r w:rsidRPr="00653723">
        <w:rPr>
          <w:rFonts w:asciiTheme="minorHAnsi" w:eastAsia="SimSun" w:hAnsiTheme="minorHAnsi"/>
          <w:i/>
          <w:sz w:val="18"/>
          <w:lang w:val="sq-AL"/>
        </w:rPr>
        <w:t>)</w:t>
      </w:r>
    </w:p>
    <w:p w:rsidR="00545CF4" w:rsidRPr="00545CF4" w:rsidRDefault="00545CF4" w:rsidP="00545CF4">
      <w:pPr>
        <w:spacing w:line="276" w:lineRule="auto"/>
        <w:jc w:val="both"/>
        <w:rPr>
          <w:rFonts w:asciiTheme="minorHAnsi" w:eastAsia="SimSun" w:hAnsiTheme="minorHAnsi"/>
          <w:i/>
          <w:sz w:val="8"/>
          <w:szCs w:val="8"/>
          <w:lang w:val="sq-AL"/>
        </w:rPr>
      </w:pPr>
    </w:p>
    <w:p w:rsidR="00545CF4" w:rsidRPr="00AD006C" w:rsidRDefault="00545CF4" w:rsidP="00545CF4">
      <w:pPr>
        <w:jc w:val="both"/>
        <w:rPr>
          <w:rFonts w:asciiTheme="minorHAnsi" w:hAnsiTheme="minorHAnsi"/>
          <w:i/>
          <w:sz w:val="16"/>
          <w:lang w:val="sq-AL"/>
        </w:rPr>
      </w:pPr>
      <w:r w:rsidRPr="00AD006C">
        <w:rPr>
          <w:rFonts w:asciiTheme="minorHAnsi" w:hAnsiTheme="minorHAnsi"/>
          <w:i/>
          <w:sz w:val="16"/>
          <w:lang w:val="sq-AL"/>
        </w:rPr>
        <w:t>* Sipas Avokaturës së Shtetit, bazuar në vendimin e Komisionit përkatës të negociimit u vendos mosvijimi i negociatave me Starbridge. Rrjedhimisht kontrata e shërbimeve me kosulentin nuk ezauroi të 3 fazat e kontratës. Rrjedhimisht as vlerën e plotë të saj prej 500.000 Euro.</w:t>
      </w:r>
    </w:p>
    <w:p w:rsidR="00545CF4" w:rsidRPr="00AD006C" w:rsidRDefault="00545CF4" w:rsidP="00545CF4">
      <w:pPr>
        <w:jc w:val="both"/>
        <w:rPr>
          <w:rFonts w:asciiTheme="minorHAnsi" w:hAnsiTheme="minorHAnsi"/>
          <w:i/>
          <w:sz w:val="16"/>
          <w:lang w:val="sq-AL"/>
        </w:rPr>
      </w:pPr>
      <w:r w:rsidRPr="00545CF4">
        <w:rPr>
          <w:rFonts w:asciiTheme="minorHAnsi" w:hAnsiTheme="minorHAnsi"/>
          <w:b/>
          <w:i/>
          <w:sz w:val="16"/>
          <w:lang w:val="sq-AL"/>
        </w:rPr>
        <w:t>Shënim</w:t>
      </w:r>
      <w:r w:rsidRPr="00AD006C">
        <w:rPr>
          <w:rFonts w:asciiTheme="minorHAnsi" w:hAnsiTheme="minorHAnsi"/>
          <w:i/>
          <w:sz w:val="16"/>
          <w:lang w:val="sq-AL"/>
        </w:rPr>
        <w:t>: Informacioni i mësipërm bazohet në të dhënat e raportuara në MFE. Për pasojë, vlerësimet tona janë të sakta për aq sa informacion disponojmë. Tagrin për validimin e tyre e ka vetëm Avokatura e Shtetit.</w:t>
      </w: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545CF4" w:rsidRDefault="00545CF4" w:rsidP="008F207A">
      <w:pPr>
        <w:spacing w:line="276" w:lineRule="auto"/>
        <w:ind w:firstLine="720"/>
        <w:rPr>
          <w:rFonts w:asciiTheme="minorHAnsi" w:eastAsia="SimSun" w:hAnsiTheme="minorHAnsi"/>
          <w:i/>
          <w:sz w:val="18"/>
          <w:lang w:val="sq-AL"/>
        </w:rPr>
      </w:pPr>
    </w:p>
    <w:p w:rsidR="00545CF4" w:rsidRDefault="00545CF4" w:rsidP="008F207A">
      <w:pPr>
        <w:spacing w:line="276" w:lineRule="auto"/>
        <w:ind w:firstLine="720"/>
        <w:rPr>
          <w:rFonts w:asciiTheme="minorHAnsi" w:eastAsia="SimSun" w:hAnsiTheme="minorHAnsi"/>
          <w:i/>
          <w:sz w:val="18"/>
          <w:lang w:val="sq-AL"/>
        </w:rPr>
      </w:pPr>
    </w:p>
    <w:p w:rsidR="00545CF4" w:rsidRDefault="00545CF4" w:rsidP="008F207A">
      <w:pPr>
        <w:spacing w:line="276" w:lineRule="auto"/>
        <w:ind w:firstLine="720"/>
        <w:rPr>
          <w:rFonts w:asciiTheme="minorHAnsi" w:eastAsia="SimSun" w:hAnsiTheme="minorHAnsi"/>
          <w:i/>
          <w:sz w:val="18"/>
          <w:lang w:val="sq-AL"/>
        </w:rPr>
      </w:pPr>
    </w:p>
    <w:p w:rsidR="00545CF4" w:rsidRDefault="00545CF4" w:rsidP="008F207A">
      <w:pPr>
        <w:spacing w:line="276" w:lineRule="auto"/>
        <w:ind w:firstLine="720"/>
        <w:rPr>
          <w:rFonts w:asciiTheme="minorHAnsi" w:eastAsia="SimSun" w:hAnsiTheme="minorHAnsi"/>
          <w:i/>
          <w:sz w:val="18"/>
          <w:lang w:val="sq-AL"/>
        </w:rPr>
      </w:pPr>
    </w:p>
    <w:p w:rsidR="00545CF4" w:rsidRDefault="00545CF4"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Pr="00653723" w:rsidRDefault="00F07CFC" w:rsidP="008F207A">
      <w:pPr>
        <w:spacing w:line="276" w:lineRule="auto"/>
        <w:ind w:firstLine="720"/>
        <w:rPr>
          <w:rFonts w:asciiTheme="minorHAnsi" w:eastAsia="SimSun" w:hAnsiTheme="minorHAnsi"/>
          <w:i/>
          <w:sz w:val="18"/>
          <w:lang w:val="sq-AL"/>
        </w:rPr>
      </w:pPr>
    </w:p>
    <w:p w:rsidR="00F02D9D" w:rsidRPr="00F02D9D" w:rsidRDefault="00F02D9D" w:rsidP="008F207A">
      <w:pPr>
        <w:spacing w:line="276" w:lineRule="auto"/>
        <w:ind w:firstLine="720"/>
        <w:rPr>
          <w:rFonts w:asciiTheme="minorHAnsi" w:eastAsia="SimSun" w:hAnsiTheme="minorHAnsi"/>
          <w:i/>
          <w:sz w:val="4"/>
          <w:lang w:val="sq-AL"/>
        </w:rPr>
      </w:pPr>
    </w:p>
    <w:p w:rsidR="00880BDE" w:rsidRPr="008A27A7" w:rsidRDefault="00765663" w:rsidP="00F02D9D">
      <w:pPr>
        <w:pStyle w:val="Heading1"/>
        <w:numPr>
          <w:ilvl w:val="0"/>
          <w:numId w:val="1"/>
        </w:numPr>
        <w:spacing w:before="0" w:line="276" w:lineRule="auto"/>
        <w:ind w:left="720"/>
        <w:jc w:val="both"/>
        <w:rPr>
          <w:color w:val="C00000"/>
          <w:sz w:val="32"/>
          <w:u w:val="none"/>
        </w:rPr>
      </w:pPr>
      <w:bookmarkStart w:id="163" w:name="_Toc107497006"/>
      <w:r w:rsidRPr="008A27A7">
        <w:rPr>
          <w:color w:val="C00000"/>
          <w:sz w:val="32"/>
          <w:u w:val="none"/>
        </w:rPr>
        <w:t>KONKLUZIONE DHE PROPOZIME</w:t>
      </w:r>
      <w:bookmarkEnd w:id="163"/>
    </w:p>
    <w:p w:rsidR="00F02D9D" w:rsidRPr="00F02D9D" w:rsidRDefault="00F02D9D" w:rsidP="00C74FE0">
      <w:pPr>
        <w:spacing w:line="276" w:lineRule="auto"/>
        <w:jc w:val="both"/>
        <w:rPr>
          <w:rFonts w:ascii="Calibri" w:hAnsi="Calibri"/>
          <w:i/>
          <w:sz w:val="8"/>
          <w:szCs w:val="8"/>
          <w:lang w:val="sq-AL"/>
        </w:rPr>
      </w:pPr>
    </w:p>
    <w:p w:rsidR="008A27A7" w:rsidRDefault="002C1E6C" w:rsidP="00E5712C">
      <w:pPr>
        <w:spacing w:after="120"/>
        <w:jc w:val="both"/>
        <w:rPr>
          <w:rFonts w:asciiTheme="minorHAnsi" w:hAnsiTheme="minorHAnsi" w:cstheme="minorHAnsi"/>
          <w:noProof/>
          <w:lang w:val="sq-AL"/>
        </w:rPr>
      </w:pPr>
      <w:r w:rsidRPr="002C1E6C">
        <w:rPr>
          <w:rFonts w:ascii="Calibri" w:hAnsi="Calibri"/>
          <w:i/>
          <w:noProof/>
          <w:lang w:val="sq-AL"/>
        </w:rPr>
        <w:t>Perspektiva për ekonominë shqiptare ka ardhur në përmirësim</w:t>
      </w:r>
      <w:r w:rsidR="008A27A7">
        <w:rPr>
          <w:rFonts w:ascii="Calibri" w:hAnsi="Calibri"/>
          <w:noProof/>
          <w:lang w:val="sq-AL"/>
        </w:rPr>
        <w:t>.</w:t>
      </w:r>
      <w:r w:rsidRPr="005C5B2F">
        <w:rPr>
          <w:rFonts w:ascii="Calibri" w:hAnsi="Calibri"/>
          <w:noProof/>
          <w:lang w:val="sq-AL"/>
        </w:rPr>
        <w:t xml:space="preserve"> </w:t>
      </w:r>
      <w:r w:rsidR="008A27A7" w:rsidRPr="00F60B38">
        <w:rPr>
          <w:rFonts w:asciiTheme="minorHAnsi" w:hAnsiTheme="minorHAnsi" w:cstheme="minorHAnsi"/>
          <w:noProof/>
          <w:lang w:val="sq-AL"/>
        </w:rPr>
        <w:t xml:space="preserve">Parashikimi per vitin aktual 2022 është pozitiv dhe pritet që ekonomia të vazhdojë në ritmet pozitive të rritjes dhe pse më një normë më të përmbajtur në krahasim me vitin e kaluar, në nivelin prej 3.2%. Gjatë periudhës afatmesme rritja pritet të gjenerohet kryesisht nga kërkesa e brendshme, si konsumi ashtu edhe investimet. Ndërkohë kërkesa e huaj neto (eksport – import) pritet të ketë një efekt të moderuar pozitiv. </w:t>
      </w:r>
    </w:p>
    <w:p w:rsidR="008A27A7" w:rsidRPr="008A27A7" w:rsidRDefault="008A27A7" w:rsidP="00E5712C">
      <w:pPr>
        <w:tabs>
          <w:tab w:val="left" w:pos="2730"/>
        </w:tabs>
        <w:spacing w:after="120"/>
        <w:jc w:val="both"/>
        <w:rPr>
          <w:rFonts w:asciiTheme="minorHAnsi" w:eastAsia="Calibri" w:hAnsiTheme="minorHAnsi"/>
          <w:noProof/>
          <w:lang w:eastAsia="ja-JP"/>
        </w:rPr>
      </w:pPr>
      <w:r w:rsidRPr="00397DA3">
        <w:rPr>
          <w:rFonts w:asciiTheme="minorHAnsi" w:hAnsiTheme="minorHAnsi"/>
          <w:i/>
          <w:lang w:val="sq-AL"/>
        </w:rPr>
        <w:t>Pritshmëria e borxhit publik</w:t>
      </w:r>
      <w:r>
        <w:rPr>
          <w:rFonts w:asciiTheme="minorHAnsi" w:hAnsiTheme="minorHAnsi"/>
          <w:lang w:val="sq-AL"/>
        </w:rPr>
        <w:t xml:space="preserve"> – </w:t>
      </w:r>
      <w:r w:rsidRPr="00D52A22">
        <w:rPr>
          <w:rFonts w:asciiTheme="minorHAnsi" w:eastAsia="Calibri" w:hAnsiTheme="minorHAnsi"/>
          <w:noProof/>
          <w:lang w:eastAsia="ja-JP"/>
        </w:rPr>
        <w:t xml:space="preserve">Gjatë pjesës së mbetur të vitit 2022, menaxhimi i borxhit do të ketë në fokus plotësimin e nevojave për huamarrje në kuadër të rimëkëmbjes së ekonomisë pas situatës së krijuar nga përhapja e pandemisë Covid-19 dhe ndikimit të konfliktit Rusi-Ukrainë, duke mbajtur në konsideratë përmirësimin e mëtejshëm të strukturës së borxhit </w:t>
      </w:r>
      <w:r w:rsidRPr="00D52A22">
        <w:rPr>
          <w:rFonts w:asciiTheme="minorHAnsi" w:eastAsia="Calibri" w:hAnsiTheme="minorHAnsi"/>
          <w:i/>
          <w:noProof/>
          <w:lang w:eastAsia="ja-JP"/>
        </w:rPr>
        <w:t>(</w:t>
      </w:r>
      <w:r w:rsidRPr="008A27A7">
        <w:rPr>
          <w:rFonts w:asciiTheme="minorHAnsi" w:eastAsia="Calibri" w:hAnsiTheme="minorHAnsi"/>
          <w:i/>
          <w:noProof/>
          <w:sz w:val="22"/>
          <w:lang w:eastAsia="ja-JP"/>
        </w:rPr>
        <w:t>kryesisht strukturën e portofolit të borxhit të brendshëm</w:t>
      </w:r>
      <w:r w:rsidRPr="00D52A22">
        <w:rPr>
          <w:rFonts w:asciiTheme="minorHAnsi" w:eastAsia="Calibri" w:hAnsiTheme="minorHAnsi"/>
          <w:i/>
          <w:noProof/>
          <w:lang w:eastAsia="ja-JP"/>
        </w:rPr>
        <w:t>)</w:t>
      </w:r>
      <w:r w:rsidRPr="00D52A22">
        <w:rPr>
          <w:rFonts w:asciiTheme="minorHAnsi" w:eastAsia="Calibri" w:hAnsiTheme="minorHAnsi"/>
          <w:noProof/>
          <w:lang w:eastAsia="ja-JP"/>
        </w:rPr>
        <w:t xml:space="preserve"> në drejtim të uljes së ekspozimit ndaj risqeve e m</w:t>
      </w:r>
      <w:r>
        <w:rPr>
          <w:rFonts w:asciiTheme="minorHAnsi" w:eastAsia="Calibri" w:hAnsiTheme="minorHAnsi"/>
          <w:noProof/>
          <w:lang w:eastAsia="ja-JP"/>
        </w:rPr>
        <w:t>bajtjes nën kontroll të kostos.</w:t>
      </w:r>
      <w:r>
        <w:rPr>
          <w:rFonts w:asciiTheme="minorHAnsi" w:hAnsiTheme="minorHAnsi"/>
          <w:lang w:val="sq-AL"/>
        </w:rPr>
        <w:t xml:space="preserve"> </w:t>
      </w:r>
    </w:p>
    <w:p w:rsidR="008A27A7" w:rsidRPr="00CB0025" w:rsidRDefault="00D57893" w:rsidP="00A42657">
      <w:pPr>
        <w:tabs>
          <w:tab w:val="left" w:pos="2730"/>
        </w:tabs>
        <w:jc w:val="both"/>
        <w:rPr>
          <w:rFonts w:asciiTheme="minorHAnsi" w:hAnsiTheme="minorHAnsi" w:cstheme="minorHAnsi"/>
          <w:color w:val="000000" w:themeColor="text1"/>
          <w:lang w:val="sq-AL"/>
        </w:rPr>
      </w:pPr>
      <w:r>
        <w:rPr>
          <w:rFonts w:asciiTheme="minorHAnsi" w:hAnsiTheme="minorHAnsi"/>
          <w:i/>
          <w:lang w:val="sq-AL"/>
        </w:rPr>
        <w:t>Pritshm</w:t>
      </w:r>
      <w:r w:rsidR="000B7B21">
        <w:rPr>
          <w:rFonts w:asciiTheme="minorHAnsi" w:hAnsiTheme="minorHAnsi"/>
          <w:i/>
          <w:lang w:val="sq-AL"/>
        </w:rPr>
        <w:t>ë</w:t>
      </w:r>
      <w:r>
        <w:rPr>
          <w:rFonts w:asciiTheme="minorHAnsi" w:hAnsiTheme="minorHAnsi"/>
          <w:i/>
          <w:lang w:val="sq-AL"/>
        </w:rPr>
        <w:t>ria n</w:t>
      </w:r>
      <w:r w:rsidR="00BA5358">
        <w:rPr>
          <w:rFonts w:asciiTheme="minorHAnsi" w:hAnsiTheme="minorHAnsi"/>
          <w:i/>
          <w:lang w:val="sq-AL"/>
        </w:rPr>
        <w:t xml:space="preserve">ë kahun e </w:t>
      </w:r>
      <w:r w:rsidR="0078470D" w:rsidRPr="00C74FE0">
        <w:rPr>
          <w:rFonts w:asciiTheme="minorHAnsi" w:hAnsiTheme="minorHAnsi"/>
          <w:i/>
          <w:lang w:val="sq-AL"/>
        </w:rPr>
        <w:t>të ardhurave buxhetore</w:t>
      </w:r>
      <w:r w:rsidR="0078470D" w:rsidRPr="00C74FE0">
        <w:rPr>
          <w:rFonts w:asciiTheme="minorHAnsi" w:hAnsiTheme="minorHAnsi"/>
          <w:lang w:val="sq-AL"/>
        </w:rPr>
        <w:t xml:space="preserve"> </w:t>
      </w:r>
      <w:r w:rsidR="00BA5358">
        <w:rPr>
          <w:rFonts w:asciiTheme="minorHAnsi" w:hAnsiTheme="minorHAnsi"/>
          <w:lang w:val="sq-AL"/>
        </w:rPr>
        <w:t xml:space="preserve">– </w:t>
      </w:r>
      <w:r w:rsidR="008A27A7" w:rsidRPr="00FF064D">
        <w:rPr>
          <w:rFonts w:asciiTheme="minorHAnsi" w:hAnsiTheme="minorHAnsi" w:cstheme="minorHAnsi"/>
          <w:color w:val="000000" w:themeColor="text1"/>
          <w:lang w:val="sq-AL"/>
        </w:rPr>
        <w:t>Bazuar në performancën e 5</w:t>
      </w:r>
      <w:r w:rsidR="008A27A7">
        <w:rPr>
          <w:rFonts w:asciiTheme="minorHAnsi" w:hAnsiTheme="minorHAnsi" w:cstheme="minorHAnsi"/>
          <w:color w:val="000000" w:themeColor="text1"/>
          <w:lang w:val="sq-AL"/>
        </w:rPr>
        <w:t>M</w:t>
      </w:r>
      <w:r w:rsidR="008A27A7" w:rsidRPr="00FF064D">
        <w:rPr>
          <w:rFonts w:asciiTheme="minorHAnsi" w:hAnsiTheme="minorHAnsi" w:cstheme="minorHAnsi"/>
          <w:color w:val="000000" w:themeColor="text1"/>
          <w:lang w:val="sq-AL"/>
        </w:rPr>
        <w:t xml:space="preserve"> Janar</w:t>
      </w:r>
      <w:r w:rsidR="008A27A7">
        <w:rPr>
          <w:rFonts w:asciiTheme="minorHAnsi" w:hAnsiTheme="minorHAnsi" w:cstheme="minorHAnsi"/>
          <w:color w:val="000000" w:themeColor="text1"/>
          <w:lang w:val="sq-AL"/>
        </w:rPr>
        <w:t>-</w:t>
      </w:r>
      <w:r w:rsidR="008A27A7" w:rsidRPr="00FF064D">
        <w:rPr>
          <w:rFonts w:asciiTheme="minorHAnsi" w:hAnsiTheme="minorHAnsi" w:cstheme="minorHAnsi"/>
          <w:color w:val="000000" w:themeColor="text1"/>
          <w:lang w:val="sq-AL"/>
        </w:rPr>
        <w:t>Maj</w:t>
      </w:r>
      <w:r w:rsidR="008A27A7">
        <w:rPr>
          <w:rFonts w:asciiTheme="minorHAnsi" w:hAnsiTheme="minorHAnsi" w:cstheme="minorHAnsi"/>
          <w:color w:val="000000" w:themeColor="text1"/>
          <w:lang w:val="sq-AL"/>
        </w:rPr>
        <w:t xml:space="preserve"> 2022 </w:t>
      </w:r>
      <w:r w:rsidR="008A27A7" w:rsidRPr="00FF064D">
        <w:rPr>
          <w:rFonts w:asciiTheme="minorHAnsi" w:hAnsiTheme="minorHAnsi" w:cstheme="minorHAnsi"/>
          <w:color w:val="000000" w:themeColor="text1"/>
          <w:lang w:val="sq-AL"/>
        </w:rPr>
        <w:t xml:space="preserve">dhe në analizën e faktorëve që mund të impaktojnë realizimin e të ardhurave tatimore dhe doganore </w:t>
      </w:r>
      <w:r w:rsidR="008A27A7">
        <w:rPr>
          <w:rFonts w:asciiTheme="minorHAnsi" w:hAnsiTheme="minorHAnsi" w:cstheme="minorHAnsi"/>
          <w:color w:val="000000" w:themeColor="text1"/>
          <w:lang w:val="sq-AL"/>
        </w:rPr>
        <w:t>p</w:t>
      </w:r>
      <w:r w:rsidR="008A27A7" w:rsidRPr="00FF064D">
        <w:rPr>
          <w:rFonts w:asciiTheme="minorHAnsi" w:hAnsiTheme="minorHAnsi" w:cstheme="minorHAnsi"/>
          <w:color w:val="000000" w:themeColor="text1"/>
          <w:lang w:val="sq-AL"/>
        </w:rPr>
        <w:t>ë</w:t>
      </w:r>
      <w:r w:rsidR="008A27A7">
        <w:rPr>
          <w:rFonts w:asciiTheme="minorHAnsi" w:hAnsiTheme="minorHAnsi" w:cstheme="minorHAnsi"/>
          <w:color w:val="000000" w:themeColor="text1"/>
          <w:lang w:val="sq-AL"/>
        </w:rPr>
        <w:t>r</w:t>
      </w:r>
      <w:r w:rsidR="008A27A7" w:rsidRPr="00FF064D">
        <w:rPr>
          <w:rFonts w:asciiTheme="minorHAnsi" w:hAnsiTheme="minorHAnsi" w:cstheme="minorHAnsi"/>
          <w:color w:val="000000" w:themeColor="text1"/>
          <w:lang w:val="sq-AL"/>
        </w:rPr>
        <w:t xml:space="preserve"> 7</w:t>
      </w:r>
      <w:r w:rsidR="008A27A7">
        <w:rPr>
          <w:rFonts w:asciiTheme="minorHAnsi" w:hAnsiTheme="minorHAnsi" w:cstheme="minorHAnsi"/>
          <w:color w:val="000000" w:themeColor="text1"/>
          <w:lang w:val="sq-AL"/>
        </w:rPr>
        <w:t>M</w:t>
      </w:r>
      <w:r w:rsidR="008A27A7" w:rsidRPr="00FF064D">
        <w:rPr>
          <w:rFonts w:asciiTheme="minorHAnsi" w:hAnsiTheme="minorHAnsi" w:cstheme="minorHAnsi"/>
          <w:color w:val="000000" w:themeColor="text1"/>
          <w:lang w:val="sq-AL"/>
        </w:rPr>
        <w:t xml:space="preserve"> në vijim, vlerësojmë se të ardhurat që administrohen nga Drejtoria e Përgjithshme e Tatimeve dhe Drejt</w:t>
      </w:r>
      <w:r w:rsidR="008A27A7">
        <w:rPr>
          <w:rFonts w:asciiTheme="minorHAnsi" w:hAnsiTheme="minorHAnsi" w:cstheme="minorHAnsi"/>
          <w:color w:val="000000" w:themeColor="text1"/>
          <w:lang w:val="sq-AL"/>
        </w:rPr>
        <w:t>oria e Përgjithshme e Doganave</w:t>
      </w:r>
      <w:r w:rsidR="008A27A7" w:rsidRPr="00FF064D">
        <w:rPr>
          <w:rFonts w:asciiTheme="minorHAnsi" w:hAnsiTheme="minorHAnsi" w:cstheme="minorHAnsi"/>
          <w:color w:val="000000" w:themeColor="text1"/>
          <w:lang w:val="sq-AL"/>
        </w:rPr>
        <w:t xml:space="preserve">, </w:t>
      </w:r>
      <w:r w:rsidR="008A27A7" w:rsidRPr="00B45962">
        <w:rPr>
          <w:rFonts w:asciiTheme="minorHAnsi" w:hAnsiTheme="minorHAnsi" w:cstheme="minorHAnsi"/>
          <w:lang w:val="sq-AL"/>
        </w:rPr>
        <w:t>p</w:t>
      </w:r>
      <w:r w:rsidR="008A27A7" w:rsidRPr="00B45962">
        <w:rPr>
          <w:rFonts w:asciiTheme="minorHAnsi" w:hAnsiTheme="minorHAnsi" w:cstheme="minorHAnsi"/>
          <w:noProof/>
          <w:lang w:val="sq-AL"/>
        </w:rPr>
        <w:t xml:space="preserve">ërfshirë kontributet e sigurimeve shoqërore e shëndetësore, pritet të realizohen mbi 100%.  </w:t>
      </w:r>
      <w:r w:rsidR="008A27A7" w:rsidRPr="00B45962">
        <w:rPr>
          <w:rFonts w:asciiTheme="minorHAnsi" w:hAnsiTheme="minorHAnsi" w:cstheme="minorHAnsi"/>
          <w:lang w:val="sq-AL"/>
        </w:rPr>
        <w:t xml:space="preserve">Ndër faktorët kryesorë </w:t>
      </w:r>
      <w:r w:rsidR="008A27A7">
        <w:rPr>
          <w:rFonts w:asciiTheme="minorHAnsi" w:hAnsiTheme="minorHAnsi" w:cstheme="minorHAnsi"/>
          <w:lang w:val="sq-AL"/>
        </w:rPr>
        <w:t>q</w:t>
      </w:r>
      <w:r w:rsidR="008A27A7" w:rsidRPr="00B45962">
        <w:rPr>
          <w:rFonts w:asciiTheme="minorHAnsi" w:hAnsiTheme="minorHAnsi" w:cstheme="minorHAnsi"/>
          <w:lang w:val="sq-AL"/>
        </w:rPr>
        <w:t xml:space="preserve">ë do të ndikojnë në realizimin </w:t>
      </w:r>
      <w:r w:rsidR="008A27A7" w:rsidRPr="00CB0025">
        <w:rPr>
          <w:rFonts w:asciiTheme="minorHAnsi" w:hAnsiTheme="minorHAnsi" w:cstheme="minorHAnsi"/>
          <w:color w:val="000000" w:themeColor="text1"/>
          <w:lang w:val="sq-AL"/>
        </w:rPr>
        <w:t xml:space="preserve">e  pritshëm të të ardhurave deri në fund të vitit 2022 janë: </w:t>
      </w:r>
    </w:p>
    <w:p w:rsidR="008A27A7" w:rsidRPr="008A27A7" w:rsidRDefault="008A27A7"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Thellimi i luftës kundër informalitetit, duke përmirësuar administrimin tatimor dhe atë doganor.</w:t>
      </w:r>
    </w:p>
    <w:p w:rsidR="008A27A7" w:rsidRPr="008A27A7" w:rsidRDefault="008A27A7"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Rritja e çmimimeve dhe ne veçanti e karburantit dhe energjisë elektrike në tregjet globale.</w:t>
      </w:r>
    </w:p>
    <w:p w:rsidR="008A27A7" w:rsidRPr="008A27A7" w:rsidRDefault="008A27A7"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Rimëkëmbja e ekonomisë pas situatës Covid 19 në vazhdimësi të vitit të kaluar.</w:t>
      </w:r>
    </w:p>
    <w:p w:rsidR="008A27A7" w:rsidRPr="008A27A7" w:rsidRDefault="008A27A7"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Përmirësimi i performancës së administratës tatimore në administrimin e TVSH-së së brendshme, duke nxitur vetëdeklarimin dhe kontrolluar mbi bazë risku sektorët dhe industritë që gjenerojnë këtë tatim.</w:t>
      </w:r>
    </w:p>
    <w:p w:rsidR="008A27A7" w:rsidRPr="008A27A7" w:rsidRDefault="008A27A7"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Ecuria pozitive e proçesit të fiskalizimit nga administrata tatimore.</w:t>
      </w:r>
    </w:p>
    <w:p w:rsidR="004D05F2" w:rsidRDefault="00F02D9D" w:rsidP="00E5712C">
      <w:pPr>
        <w:spacing w:before="120"/>
        <w:jc w:val="both"/>
        <w:rPr>
          <w:rFonts w:asciiTheme="minorHAnsi" w:hAnsiTheme="minorHAnsi"/>
          <w:lang w:val="sq-AL"/>
        </w:rPr>
      </w:pPr>
      <w:r w:rsidRPr="00F02D9D">
        <w:rPr>
          <w:rFonts w:asciiTheme="minorHAnsi" w:hAnsiTheme="minorHAnsi"/>
          <w:i/>
          <w:lang w:val="sq-AL"/>
        </w:rPr>
        <w:t xml:space="preserve">Pritshmëria </w:t>
      </w:r>
      <w:r w:rsidR="00A40EC7">
        <w:rPr>
          <w:rFonts w:asciiTheme="minorHAnsi" w:hAnsiTheme="minorHAnsi"/>
          <w:i/>
          <w:lang w:val="sq-AL"/>
        </w:rPr>
        <w:t>lidhur me</w:t>
      </w:r>
      <w:r w:rsidRPr="00F02D9D">
        <w:rPr>
          <w:rFonts w:asciiTheme="minorHAnsi" w:hAnsiTheme="minorHAnsi"/>
          <w:i/>
          <w:lang w:val="sq-AL"/>
        </w:rPr>
        <w:t xml:space="preserve"> ecurinë e shpenzimeve buxhetore</w:t>
      </w:r>
      <w:r w:rsidRPr="00F02D9D">
        <w:rPr>
          <w:rFonts w:asciiTheme="minorHAnsi" w:hAnsiTheme="minorHAnsi"/>
          <w:lang w:val="sq-AL"/>
        </w:rPr>
        <w:t xml:space="preserve"> </w:t>
      </w:r>
      <w:r w:rsidR="004D05F2">
        <w:rPr>
          <w:rFonts w:asciiTheme="minorHAnsi" w:hAnsiTheme="minorHAnsi"/>
          <w:lang w:val="sq-AL"/>
        </w:rPr>
        <w:t xml:space="preserve">– </w:t>
      </w:r>
      <w:r w:rsidR="008A27A7">
        <w:rPr>
          <w:rFonts w:asciiTheme="minorHAnsi" w:hAnsiTheme="minorHAnsi"/>
          <w:lang w:val="sq-AL"/>
        </w:rPr>
        <w:t>Tashm</w:t>
      </w:r>
      <w:r w:rsidR="00A42657">
        <w:rPr>
          <w:rFonts w:asciiTheme="minorHAnsi" w:hAnsiTheme="minorHAnsi"/>
          <w:lang w:val="sq-AL"/>
        </w:rPr>
        <w:t>ë</w:t>
      </w:r>
      <w:r w:rsidR="008A27A7">
        <w:rPr>
          <w:rFonts w:asciiTheme="minorHAnsi" w:hAnsiTheme="minorHAnsi"/>
          <w:lang w:val="sq-AL"/>
        </w:rPr>
        <w:t xml:space="preserve"> n</w:t>
      </w:r>
      <w:r w:rsidRPr="00F02D9D">
        <w:rPr>
          <w:rFonts w:asciiTheme="minorHAnsi" w:hAnsiTheme="minorHAnsi"/>
          <w:lang w:val="sq-AL"/>
        </w:rPr>
        <w:t xml:space="preserve">ë kushtet e </w:t>
      </w:r>
      <w:r w:rsidR="004D05F2">
        <w:rPr>
          <w:rFonts w:asciiTheme="minorHAnsi" w:hAnsiTheme="minorHAnsi"/>
          <w:lang w:val="sq-AL"/>
        </w:rPr>
        <w:t>nj</w:t>
      </w:r>
      <w:r w:rsidR="000B7B21">
        <w:rPr>
          <w:rFonts w:asciiTheme="minorHAnsi" w:hAnsiTheme="minorHAnsi"/>
          <w:lang w:val="sq-AL"/>
        </w:rPr>
        <w:t>ë</w:t>
      </w:r>
      <w:r w:rsidR="004D05F2">
        <w:rPr>
          <w:rFonts w:asciiTheme="minorHAnsi" w:hAnsiTheme="minorHAnsi"/>
          <w:lang w:val="sq-AL"/>
        </w:rPr>
        <w:t xml:space="preserve"> rishikimi t</w:t>
      </w:r>
      <w:r w:rsidR="000B7B21">
        <w:rPr>
          <w:rFonts w:asciiTheme="minorHAnsi" w:hAnsiTheme="minorHAnsi"/>
          <w:lang w:val="sq-AL"/>
        </w:rPr>
        <w:t>ë</w:t>
      </w:r>
      <w:r w:rsidR="004D05F2">
        <w:rPr>
          <w:rFonts w:asciiTheme="minorHAnsi" w:hAnsiTheme="minorHAnsi"/>
          <w:lang w:val="sq-AL"/>
        </w:rPr>
        <w:t xml:space="preserve"> </w:t>
      </w:r>
      <w:r w:rsidR="008A27A7">
        <w:rPr>
          <w:rFonts w:asciiTheme="minorHAnsi" w:hAnsiTheme="minorHAnsi"/>
          <w:lang w:val="sq-AL"/>
        </w:rPr>
        <w:t>par</w:t>
      </w:r>
      <w:r w:rsidR="00A42657">
        <w:rPr>
          <w:rFonts w:asciiTheme="minorHAnsi" w:hAnsiTheme="minorHAnsi"/>
          <w:lang w:val="sq-AL"/>
        </w:rPr>
        <w:t>ë</w:t>
      </w:r>
      <w:r w:rsidR="008A27A7">
        <w:rPr>
          <w:rFonts w:asciiTheme="minorHAnsi" w:hAnsiTheme="minorHAnsi"/>
          <w:lang w:val="sq-AL"/>
        </w:rPr>
        <w:t xml:space="preserve"> t</w:t>
      </w:r>
      <w:r w:rsidR="00A42657">
        <w:rPr>
          <w:rFonts w:asciiTheme="minorHAnsi" w:hAnsiTheme="minorHAnsi"/>
          <w:lang w:val="sq-AL"/>
        </w:rPr>
        <w:t>ë</w:t>
      </w:r>
      <w:r w:rsidR="004D05F2">
        <w:rPr>
          <w:rFonts w:asciiTheme="minorHAnsi" w:hAnsiTheme="minorHAnsi"/>
          <w:lang w:val="sq-AL"/>
        </w:rPr>
        <w:t xml:space="preserve"> ligjit t</w:t>
      </w:r>
      <w:r w:rsidR="000B7B21">
        <w:rPr>
          <w:rFonts w:asciiTheme="minorHAnsi" w:hAnsiTheme="minorHAnsi"/>
          <w:lang w:val="sq-AL"/>
        </w:rPr>
        <w:t>ë</w:t>
      </w:r>
      <w:r w:rsidR="004D05F2">
        <w:rPr>
          <w:rFonts w:asciiTheme="minorHAnsi" w:hAnsiTheme="minorHAnsi"/>
          <w:lang w:val="sq-AL"/>
        </w:rPr>
        <w:t xml:space="preserve"> buxhetit 202</w:t>
      </w:r>
      <w:r w:rsidR="008A27A7">
        <w:rPr>
          <w:rFonts w:asciiTheme="minorHAnsi" w:hAnsiTheme="minorHAnsi"/>
          <w:lang w:val="sq-AL"/>
        </w:rPr>
        <w:t>2, t</w:t>
      </w:r>
      <w:r w:rsidR="00A42657">
        <w:rPr>
          <w:rFonts w:asciiTheme="minorHAnsi" w:hAnsiTheme="minorHAnsi"/>
          <w:lang w:val="sq-AL"/>
        </w:rPr>
        <w:t>ë</w:t>
      </w:r>
      <w:r w:rsidR="008A27A7">
        <w:rPr>
          <w:rFonts w:asciiTheme="minorHAnsi" w:hAnsiTheme="minorHAnsi"/>
          <w:lang w:val="sq-AL"/>
        </w:rPr>
        <w:t xml:space="preserve"> kusht</w:t>
      </w:r>
      <w:r w:rsidR="00A42657">
        <w:rPr>
          <w:rFonts w:asciiTheme="minorHAnsi" w:hAnsiTheme="minorHAnsi"/>
          <w:lang w:val="sq-AL"/>
        </w:rPr>
        <w:t>ë</w:t>
      </w:r>
      <w:r w:rsidR="008A27A7">
        <w:rPr>
          <w:rFonts w:asciiTheme="minorHAnsi" w:hAnsiTheme="minorHAnsi"/>
          <w:lang w:val="sq-AL"/>
        </w:rPr>
        <w:t>zuar t</w:t>
      </w:r>
      <w:r w:rsidR="00A42657">
        <w:rPr>
          <w:rFonts w:asciiTheme="minorHAnsi" w:hAnsiTheme="minorHAnsi"/>
          <w:lang w:val="sq-AL"/>
        </w:rPr>
        <w:t>ë</w:t>
      </w:r>
      <w:r w:rsidR="008A27A7">
        <w:rPr>
          <w:rFonts w:asciiTheme="minorHAnsi" w:hAnsiTheme="minorHAnsi"/>
          <w:lang w:val="sq-AL"/>
        </w:rPr>
        <w:t>r</w:t>
      </w:r>
      <w:r w:rsidR="00A42657">
        <w:rPr>
          <w:rFonts w:asciiTheme="minorHAnsi" w:hAnsiTheme="minorHAnsi"/>
          <w:lang w:val="sq-AL"/>
        </w:rPr>
        <w:t>ë</w:t>
      </w:r>
      <w:r w:rsidR="008A27A7">
        <w:rPr>
          <w:rFonts w:asciiTheme="minorHAnsi" w:hAnsiTheme="minorHAnsi"/>
          <w:lang w:val="sq-AL"/>
        </w:rPr>
        <w:t>sisht nga thellimi i kriz</w:t>
      </w:r>
      <w:r w:rsidR="00A42657">
        <w:rPr>
          <w:rFonts w:asciiTheme="minorHAnsi" w:hAnsiTheme="minorHAnsi"/>
          <w:lang w:val="sq-AL"/>
        </w:rPr>
        <w:t>ë</w:t>
      </w:r>
      <w:r w:rsidR="008A27A7">
        <w:rPr>
          <w:rFonts w:asciiTheme="minorHAnsi" w:hAnsiTheme="minorHAnsi"/>
          <w:lang w:val="sq-AL"/>
        </w:rPr>
        <w:t>s energjitike dhe rritjes s</w:t>
      </w:r>
      <w:r w:rsidR="00A42657">
        <w:rPr>
          <w:rFonts w:asciiTheme="minorHAnsi" w:hAnsiTheme="minorHAnsi"/>
          <w:lang w:val="sq-AL"/>
        </w:rPr>
        <w:t>ë</w:t>
      </w:r>
      <w:r w:rsidR="008A27A7">
        <w:rPr>
          <w:rFonts w:asciiTheme="minorHAnsi" w:hAnsiTheme="minorHAnsi"/>
          <w:lang w:val="sq-AL"/>
        </w:rPr>
        <w:t xml:space="preserve"> ndjeshme t</w:t>
      </w:r>
      <w:r w:rsidR="00A42657">
        <w:rPr>
          <w:rFonts w:asciiTheme="minorHAnsi" w:hAnsiTheme="minorHAnsi"/>
          <w:lang w:val="sq-AL"/>
        </w:rPr>
        <w:t>ë</w:t>
      </w:r>
      <w:r w:rsidR="008A27A7">
        <w:rPr>
          <w:rFonts w:asciiTheme="minorHAnsi" w:hAnsiTheme="minorHAnsi"/>
          <w:lang w:val="sq-AL"/>
        </w:rPr>
        <w:t xml:space="preserve"> çmimit t</w:t>
      </w:r>
      <w:r w:rsidR="00A42657">
        <w:rPr>
          <w:rFonts w:asciiTheme="minorHAnsi" w:hAnsiTheme="minorHAnsi"/>
          <w:lang w:val="sq-AL"/>
        </w:rPr>
        <w:t>ë</w:t>
      </w:r>
      <w:r w:rsidR="008A27A7">
        <w:rPr>
          <w:rFonts w:asciiTheme="minorHAnsi" w:hAnsiTheme="minorHAnsi"/>
          <w:lang w:val="sq-AL"/>
        </w:rPr>
        <w:t xml:space="preserve"> inputeve bujq</w:t>
      </w:r>
      <w:r w:rsidR="00A42657">
        <w:rPr>
          <w:rFonts w:asciiTheme="minorHAnsi" w:hAnsiTheme="minorHAnsi"/>
          <w:lang w:val="sq-AL"/>
        </w:rPr>
        <w:t>ë</w:t>
      </w:r>
      <w:r w:rsidR="008A27A7">
        <w:rPr>
          <w:rFonts w:asciiTheme="minorHAnsi" w:hAnsiTheme="minorHAnsi"/>
          <w:lang w:val="sq-AL"/>
        </w:rPr>
        <w:t>sore &amp; industriale si pasoj</w:t>
      </w:r>
      <w:r w:rsidR="00A42657">
        <w:rPr>
          <w:rFonts w:asciiTheme="minorHAnsi" w:hAnsiTheme="minorHAnsi"/>
          <w:lang w:val="sq-AL"/>
        </w:rPr>
        <w:t>ë</w:t>
      </w:r>
      <w:r w:rsidR="008A27A7">
        <w:rPr>
          <w:rFonts w:asciiTheme="minorHAnsi" w:hAnsiTheme="minorHAnsi"/>
          <w:lang w:val="sq-AL"/>
        </w:rPr>
        <w:t xml:space="preserve"> e p</w:t>
      </w:r>
      <w:r w:rsidR="00A42657">
        <w:rPr>
          <w:rFonts w:asciiTheme="minorHAnsi" w:hAnsiTheme="minorHAnsi"/>
          <w:lang w:val="sq-AL"/>
        </w:rPr>
        <w:t>ë</w:t>
      </w:r>
      <w:r w:rsidR="008A27A7">
        <w:rPr>
          <w:rFonts w:asciiTheme="minorHAnsi" w:hAnsiTheme="minorHAnsi"/>
          <w:lang w:val="sq-AL"/>
        </w:rPr>
        <w:t>rshkall</w:t>
      </w:r>
      <w:r w:rsidR="00A42657">
        <w:rPr>
          <w:rFonts w:asciiTheme="minorHAnsi" w:hAnsiTheme="minorHAnsi"/>
          <w:lang w:val="sq-AL"/>
        </w:rPr>
        <w:t>ë</w:t>
      </w:r>
      <w:r w:rsidR="008A27A7">
        <w:rPr>
          <w:rFonts w:asciiTheme="minorHAnsi" w:hAnsiTheme="minorHAnsi"/>
          <w:lang w:val="sq-AL"/>
        </w:rPr>
        <w:t>zimit t</w:t>
      </w:r>
      <w:r w:rsidR="00A42657">
        <w:rPr>
          <w:rFonts w:asciiTheme="minorHAnsi" w:hAnsiTheme="minorHAnsi"/>
          <w:lang w:val="sq-AL"/>
        </w:rPr>
        <w:t>ë</w:t>
      </w:r>
      <w:r w:rsidR="008A27A7">
        <w:rPr>
          <w:rFonts w:asciiTheme="minorHAnsi" w:hAnsiTheme="minorHAnsi"/>
          <w:lang w:val="sq-AL"/>
        </w:rPr>
        <w:t xml:space="preserve"> konfliktit Rusi-Ukrain</w:t>
      </w:r>
      <w:r w:rsidR="00A42657">
        <w:rPr>
          <w:rFonts w:asciiTheme="minorHAnsi" w:hAnsiTheme="minorHAnsi"/>
          <w:lang w:val="sq-AL"/>
        </w:rPr>
        <w:t>ë</w:t>
      </w:r>
      <w:r w:rsidR="004D05F2">
        <w:rPr>
          <w:rFonts w:asciiTheme="minorHAnsi" w:hAnsiTheme="minorHAnsi"/>
          <w:lang w:val="sq-AL"/>
        </w:rPr>
        <w:t>, pritshm</w:t>
      </w:r>
      <w:r w:rsidR="000B7B21">
        <w:rPr>
          <w:rFonts w:asciiTheme="minorHAnsi" w:hAnsiTheme="minorHAnsi"/>
          <w:lang w:val="sq-AL"/>
        </w:rPr>
        <w:t>ë</w:t>
      </w:r>
      <w:r w:rsidR="004D05F2">
        <w:rPr>
          <w:rFonts w:asciiTheme="minorHAnsi" w:hAnsiTheme="minorHAnsi"/>
          <w:lang w:val="sq-AL"/>
        </w:rPr>
        <w:t>ria e performanc</w:t>
      </w:r>
      <w:r w:rsidR="000B7B21">
        <w:rPr>
          <w:rFonts w:asciiTheme="minorHAnsi" w:hAnsiTheme="minorHAnsi"/>
          <w:lang w:val="sq-AL"/>
        </w:rPr>
        <w:t>ë</w:t>
      </w:r>
      <w:r w:rsidR="004D05F2">
        <w:rPr>
          <w:rFonts w:asciiTheme="minorHAnsi" w:hAnsiTheme="minorHAnsi"/>
          <w:lang w:val="sq-AL"/>
        </w:rPr>
        <w:t>s s</w:t>
      </w:r>
      <w:r w:rsidR="000B7B21">
        <w:rPr>
          <w:rFonts w:asciiTheme="minorHAnsi" w:hAnsiTheme="minorHAnsi"/>
          <w:lang w:val="sq-AL"/>
        </w:rPr>
        <w:t>ë</w:t>
      </w:r>
      <w:r w:rsidR="004D05F2">
        <w:rPr>
          <w:rFonts w:asciiTheme="minorHAnsi" w:hAnsiTheme="minorHAnsi"/>
          <w:lang w:val="sq-AL"/>
        </w:rPr>
        <w:t xml:space="preserve"> z</w:t>
      </w:r>
      <w:r w:rsidR="000B7B21">
        <w:rPr>
          <w:rFonts w:asciiTheme="minorHAnsi" w:hAnsiTheme="minorHAnsi"/>
          <w:lang w:val="sq-AL"/>
        </w:rPr>
        <w:t>ë</w:t>
      </w:r>
      <w:r w:rsidR="004D05F2">
        <w:rPr>
          <w:rFonts w:asciiTheme="minorHAnsi" w:hAnsiTheme="minorHAnsi"/>
          <w:lang w:val="sq-AL"/>
        </w:rPr>
        <w:t>rave t</w:t>
      </w:r>
      <w:r w:rsidR="000B7B21">
        <w:rPr>
          <w:rFonts w:asciiTheme="minorHAnsi" w:hAnsiTheme="minorHAnsi"/>
          <w:lang w:val="sq-AL"/>
        </w:rPr>
        <w:t>ë</w:t>
      </w:r>
      <w:r w:rsidR="004D05F2">
        <w:rPr>
          <w:rFonts w:asciiTheme="minorHAnsi" w:hAnsiTheme="minorHAnsi"/>
          <w:lang w:val="sq-AL"/>
        </w:rPr>
        <w:t xml:space="preserve"> shpenzimeve publike vler</w:t>
      </w:r>
      <w:r w:rsidR="000B7B21">
        <w:rPr>
          <w:rFonts w:asciiTheme="minorHAnsi" w:hAnsiTheme="minorHAnsi"/>
          <w:lang w:val="sq-AL"/>
        </w:rPr>
        <w:t>ë</w:t>
      </w:r>
      <w:r w:rsidR="004D05F2">
        <w:rPr>
          <w:rFonts w:asciiTheme="minorHAnsi" w:hAnsiTheme="minorHAnsi"/>
          <w:lang w:val="sq-AL"/>
        </w:rPr>
        <w:t>sohet t</w:t>
      </w:r>
      <w:r w:rsidR="000B7B21">
        <w:rPr>
          <w:rFonts w:asciiTheme="minorHAnsi" w:hAnsiTheme="minorHAnsi"/>
          <w:lang w:val="sq-AL"/>
        </w:rPr>
        <w:t>ë</w:t>
      </w:r>
      <w:r w:rsidR="004D05F2">
        <w:rPr>
          <w:rFonts w:asciiTheme="minorHAnsi" w:hAnsiTheme="minorHAnsi"/>
          <w:lang w:val="sq-AL"/>
        </w:rPr>
        <w:t xml:space="preserve"> jet</w:t>
      </w:r>
      <w:r w:rsidR="000B7B21">
        <w:rPr>
          <w:rFonts w:asciiTheme="minorHAnsi" w:hAnsiTheme="minorHAnsi"/>
          <w:lang w:val="sq-AL"/>
        </w:rPr>
        <w:t>ë</w:t>
      </w:r>
      <w:r w:rsidR="004D05F2">
        <w:rPr>
          <w:rFonts w:asciiTheme="minorHAnsi" w:hAnsiTheme="minorHAnsi"/>
          <w:lang w:val="sq-AL"/>
        </w:rPr>
        <w:t>:</w:t>
      </w:r>
    </w:p>
    <w:p w:rsidR="004D05F2" w:rsidRPr="008A27A7" w:rsidRDefault="004D05F2" w:rsidP="003F6B21">
      <w:pPr>
        <w:pStyle w:val="ListParagraph"/>
        <w:widowControl w:val="0"/>
        <w:numPr>
          <w:ilvl w:val="0"/>
          <w:numId w:val="8"/>
        </w:numPr>
        <w:ind w:left="540"/>
        <w:jc w:val="both"/>
        <w:rPr>
          <w:rFonts w:asciiTheme="minorHAnsi" w:hAnsiTheme="minorHAnsi" w:cstheme="minorHAnsi"/>
          <w:i/>
          <w:sz w:val="22"/>
          <w:lang w:val="sq-AL"/>
        </w:rPr>
      </w:pPr>
      <w:r w:rsidRPr="008A27A7">
        <w:rPr>
          <w:rFonts w:asciiTheme="minorHAnsi" w:hAnsiTheme="minorHAnsi" w:cstheme="minorHAnsi"/>
          <w:i/>
          <w:sz w:val="22"/>
          <w:lang w:val="sq-AL"/>
        </w:rPr>
        <w:t>Nga nj</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ra an</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 n</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 xml:space="preserve"> linj</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 xml:space="preserve"> me parashikimet q</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 xml:space="preserve"> kan</w:t>
      </w:r>
      <w:r w:rsidR="000B7B21" w:rsidRPr="008A27A7">
        <w:rPr>
          <w:rFonts w:asciiTheme="minorHAnsi" w:hAnsiTheme="minorHAnsi" w:cstheme="minorHAnsi"/>
          <w:i/>
          <w:sz w:val="22"/>
          <w:lang w:val="sq-AL"/>
        </w:rPr>
        <w:t>ë</w:t>
      </w:r>
      <w:r w:rsidRPr="008A27A7">
        <w:rPr>
          <w:rFonts w:asciiTheme="minorHAnsi" w:hAnsiTheme="minorHAnsi" w:cstheme="minorHAnsi"/>
          <w:i/>
          <w:sz w:val="22"/>
          <w:lang w:val="sq-AL"/>
        </w:rPr>
        <w:t xml:space="preserve"> </w:t>
      </w:r>
      <w:r w:rsidR="00A42657">
        <w:rPr>
          <w:rFonts w:asciiTheme="minorHAnsi" w:hAnsiTheme="minorHAnsi" w:cstheme="minorHAnsi"/>
          <w:i/>
          <w:sz w:val="22"/>
          <w:lang w:val="sq-AL"/>
        </w:rPr>
        <w:t>karakterizuar</w:t>
      </w:r>
      <w:r w:rsidRPr="008A27A7">
        <w:rPr>
          <w:rFonts w:asciiTheme="minorHAnsi" w:hAnsiTheme="minorHAnsi" w:cstheme="minorHAnsi"/>
          <w:i/>
          <w:sz w:val="22"/>
          <w:lang w:val="sq-AL"/>
        </w:rPr>
        <w:t xml:space="preserve"> </w:t>
      </w:r>
      <w:r w:rsidR="00A40EC7" w:rsidRPr="008A27A7">
        <w:rPr>
          <w:rFonts w:asciiTheme="minorHAnsi" w:hAnsiTheme="minorHAnsi" w:cstheme="minorHAnsi"/>
          <w:i/>
          <w:sz w:val="22"/>
          <w:lang w:val="sq-AL"/>
        </w:rPr>
        <w:t xml:space="preserve">tashmë </w:t>
      </w:r>
      <w:r w:rsidRPr="008A27A7">
        <w:rPr>
          <w:rFonts w:asciiTheme="minorHAnsi" w:hAnsiTheme="minorHAnsi" w:cstheme="minorHAnsi"/>
          <w:i/>
          <w:sz w:val="22"/>
          <w:lang w:val="sq-AL"/>
        </w:rPr>
        <w:t>rishiki</w:t>
      </w:r>
      <w:r w:rsidR="00A42657">
        <w:rPr>
          <w:rFonts w:asciiTheme="minorHAnsi" w:hAnsiTheme="minorHAnsi" w:cstheme="minorHAnsi"/>
          <w:i/>
          <w:sz w:val="22"/>
          <w:lang w:val="sq-AL"/>
        </w:rPr>
        <w:t xml:space="preserve">min </w:t>
      </w:r>
      <w:r w:rsidRPr="008A27A7">
        <w:rPr>
          <w:rFonts w:asciiTheme="minorHAnsi" w:hAnsiTheme="minorHAnsi" w:cstheme="minorHAnsi"/>
          <w:i/>
          <w:sz w:val="22"/>
          <w:lang w:val="sq-AL"/>
        </w:rPr>
        <w:t xml:space="preserve">e </w:t>
      </w:r>
      <w:r w:rsidR="00A42657">
        <w:rPr>
          <w:rFonts w:asciiTheme="minorHAnsi" w:hAnsiTheme="minorHAnsi" w:cstheme="minorHAnsi"/>
          <w:i/>
          <w:sz w:val="22"/>
          <w:lang w:val="sq-AL"/>
        </w:rPr>
        <w:t xml:space="preserve">parë </w:t>
      </w:r>
      <w:r w:rsidR="00A40EC7" w:rsidRPr="008A27A7">
        <w:rPr>
          <w:rFonts w:asciiTheme="minorHAnsi" w:hAnsiTheme="minorHAnsi" w:cstheme="minorHAnsi"/>
          <w:i/>
          <w:sz w:val="22"/>
          <w:lang w:val="sq-AL"/>
        </w:rPr>
        <w:t>të buxhetit 202</w:t>
      </w:r>
      <w:r w:rsidR="00A42657">
        <w:rPr>
          <w:rFonts w:asciiTheme="minorHAnsi" w:hAnsiTheme="minorHAnsi" w:cstheme="minorHAnsi"/>
          <w:i/>
          <w:sz w:val="22"/>
          <w:lang w:val="sq-AL"/>
        </w:rPr>
        <w:t>2</w:t>
      </w:r>
      <w:r w:rsidRPr="008A27A7">
        <w:rPr>
          <w:rFonts w:asciiTheme="minorHAnsi" w:hAnsiTheme="minorHAnsi" w:cstheme="minorHAnsi"/>
          <w:i/>
          <w:sz w:val="22"/>
          <w:lang w:val="sq-AL"/>
        </w:rPr>
        <w:t xml:space="preserve">, </w:t>
      </w:r>
      <w:r w:rsidR="00A42657">
        <w:rPr>
          <w:rFonts w:asciiTheme="minorHAnsi" w:hAnsiTheme="minorHAnsi" w:cstheme="minorHAnsi"/>
          <w:i/>
          <w:sz w:val="22"/>
          <w:lang w:val="sq-AL"/>
        </w:rPr>
        <w:t xml:space="preserve">të </w:t>
      </w:r>
      <w:r w:rsidRPr="008A27A7">
        <w:rPr>
          <w:rFonts w:asciiTheme="minorHAnsi" w:hAnsiTheme="minorHAnsi" w:cstheme="minorHAnsi"/>
          <w:i/>
          <w:sz w:val="22"/>
          <w:lang w:val="sq-AL"/>
        </w:rPr>
        <w:t xml:space="preserve">karakterizuar nga </w:t>
      </w:r>
      <w:r w:rsidR="00A42657">
        <w:rPr>
          <w:rFonts w:asciiTheme="minorHAnsi" w:hAnsiTheme="minorHAnsi" w:cstheme="minorHAnsi"/>
          <w:i/>
          <w:sz w:val="22"/>
          <w:lang w:val="sq-AL"/>
        </w:rPr>
        <w:t>sigurimi i financimeve/</w:t>
      </w:r>
      <w:r w:rsidRPr="008A27A7">
        <w:rPr>
          <w:rFonts w:asciiTheme="minorHAnsi" w:hAnsiTheme="minorHAnsi" w:cstheme="minorHAnsi"/>
          <w:i/>
          <w:sz w:val="22"/>
          <w:lang w:val="sq-AL"/>
        </w:rPr>
        <w:t>sistemime</w:t>
      </w:r>
      <w:r w:rsidR="00A42657">
        <w:rPr>
          <w:rFonts w:asciiTheme="minorHAnsi" w:hAnsiTheme="minorHAnsi" w:cstheme="minorHAnsi"/>
          <w:i/>
          <w:sz w:val="22"/>
          <w:lang w:val="sq-AL"/>
        </w:rPr>
        <w:t xml:space="preserve">ve </w:t>
      </w:r>
      <w:r w:rsidR="00A42657" w:rsidRPr="008A27A7">
        <w:rPr>
          <w:rFonts w:asciiTheme="minorHAnsi" w:hAnsiTheme="minorHAnsi" w:cstheme="minorHAnsi"/>
          <w:i/>
          <w:sz w:val="22"/>
          <w:lang w:val="sq-AL"/>
        </w:rPr>
        <w:t>të vlefshme për mbarëvajtjen e vitit buxhetor në tërës</w:t>
      </w:r>
      <w:r w:rsidR="00A42657">
        <w:rPr>
          <w:rFonts w:asciiTheme="minorHAnsi" w:hAnsiTheme="minorHAnsi" w:cstheme="minorHAnsi"/>
          <w:i/>
          <w:sz w:val="22"/>
          <w:lang w:val="sq-AL"/>
        </w:rPr>
        <w:t>i, të nevojshme për mbështetjen e shtresave më vulnerabël dhe jo vetëm;</w:t>
      </w:r>
      <w:r w:rsidRPr="008A27A7">
        <w:rPr>
          <w:rFonts w:asciiTheme="minorHAnsi" w:hAnsiTheme="minorHAnsi" w:cstheme="minorHAnsi"/>
          <w:i/>
          <w:sz w:val="22"/>
          <w:lang w:val="sq-AL"/>
        </w:rPr>
        <w:t xml:space="preserve"> </w:t>
      </w:r>
    </w:p>
    <w:p w:rsidR="004D05F2" w:rsidRPr="008A27A7" w:rsidRDefault="00A42657" w:rsidP="003F6B21">
      <w:pPr>
        <w:pStyle w:val="ListParagraph"/>
        <w:widowControl w:val="0"/>
        <w:numPr>
          <w:ilvl w:val="0"/>
          <w:numId w:val="8"/>
        </w:numPr>
        <w:ind w:left="540"/>
        <w:jc w:val="both"/>
        <w:rPr>
          <w:rFonts w:asciiTheme="minorHAnsi" w:hAnsiTheme="minorHAnsi" w:cstheme="minorHAnsi"/>
          <w:i/>
          <w:sz w:val="22"/>
          <w:lang w:val="sq-AL"/>
        </w:rPr>
      </w:pPr>
      <w:r>
        <w:rPr>
          <w:rFonts w:asciiTheme="minorHAnsi" w:hAnsiTheme="minorHAnsi" w:cstheme="minorHAnsi"/>
          <w:i/>
          <w:sz w:val="22"/>
          <w:lang w:val="sq-AL"/>
        </w:rPr>
        <w:t>N</w:t>
      </w:r>
      <w:r w:rsidR="004D05F2" w:rsidRPr="008A27A7">
        <w:rPr>
          <w:rFonts w:asciiTheme="minorHAnsi" w:hAnsiTheme="minorHAnsi" w:cstheme="minorHAnsi"/>
          <w:i/>
          <w:sz w:val="22"/>
          <w:lang w:val="sq-AL"/>
        </w:rPr>
        <w:t>ga ana tjet</w:t>
      </w:r>
      <w:r w:rsidR="000B7B21" w:rsidRPr="008A27A7">
        <w:rPr>
          <w:rFonts w:asciiTheme="minorHAnsi" w:hAnsiTheme="minorHAnsi" w:cstheme="minorHAnsi"/>
          <w:i/>
          <w:sz w:val="22"/>
          <w:lang w:val="sq-AL"/>
        </w:rPr>
        <w:t>ë</w:t>
      </w:r>
      <w:r w:rsidR="004D05F2" w:rsidRPr="008A27A7">
        <w:rPr>
          <w:rFonts w:asciiTheme="minorHAnsi" w:hAnsiTheme="minorHAnsi" w:cstheme="minorHAnsi"/>
          <w:i/>
          <w:sz w:val="22"/>
          <w:lang w:val="sq-AL"/>
        </w:rPr>
        <w:t xml:space="preserve">r, </w:t>
      </w:r>
      <w:r>
        <w:rPr>
          <w:rFonts w:asciiTheme="minorHAnsi" w:hAnsiTheme="minorHAnsi" w:cstheme="minorHAnsi"/>
          <w:i/>
          <w:sz w:val="22"/>
          <w:lang w:val="sq-AL"/>
        </w:rPr>
        <w:t xml:space="preserve">shpenzimet buxhetore </w:t>
      </w:r>
      <w:r w:rsidR="00A40EC7" w:rsidRPr="008A27A7">
        <w:rPr>
          <w:rFonts w:asciiTheme="minorHAnsi" w:hAnsiTheme="minorHAnsi" w:cstheme="minorHAnsi"/>
          <w:i/>
          <w:sz w:val="22"/>
          <w:lang w:val="sq-AL"/>
        </w:rPr>
        <w:t xml:space="preserve">ato </w:t>
      </w:r>
      <w:r>
        <w:rPr>
          <w:rFonts w:asciiTheme="minorHAnsi" w:hAnsiTheme="minorHAnsi" w:cstheme="minorHAnsi"/>
          <w:i/>
          <w:sz w:val="22"/>
          <w:lang w:val="sq-AL"/>
        </w:rPr>
        <w:t>do t</w:t>
      </w:r>
      <w:r w:rsidR="00E5712C">
        <w:rPr>
          <w:rFonts w:asciiTheme="minorHAnsi" w:hAnsiTheme="minorHAnsi" w:cstheme="minorHAnsi"/>
          <w:i/>
          <w:sz w:val="22"/>
          <w:lang w:val="sq-AL"/>
        </w:rPr>
        <w:t>ë</w:t>
      </w:r>
      <w:r>
        <w:rPr>
          <w:rFonts w:asciiTheme="minorHAnsi" w:hAnsiTheme="minorHAnsi" w:cstheme="minorHAnsi"/>
          <w:i/>
          <w:sz w:val="22"/>
          <w:lang w:val="sq-AL"/>
        </w:rPr>
        <w:t xml:space="preserve"> </w:t>
      </w:r>
      <w:r w:rsidR="00A40EC7" w:rsidRPr="008A27A7">
        <w:rPr>
          <w:rFonts w:asciiTheme="minorHAnsi" w:hAnsiTheme="minorHAnsi" w:cstheme="minorHAnsi"/>
          <w:i/>
          <w:sz w:val="22"/>
          <w:lang w:val="sq-AL"/>
        </w:rPr>
        <w:t xml:space="preserve">vazhdojnë të mbeten subjekt i </w:t>
      </w:r>
      <w:r>
        <w:rPr>
          <w:rFonts w:asciiTheme="minorHAnsi" w:hAnsiTheme="minorHAnsi" w:cstheme="minorHAnsi"/>
          <w:i/>
          <w:sz w:val="22"/>
          <w:lang w:val="sq-AL"/>
        </w:rPr>
        <w:t xml:space="preserve">analizave dhe </w:t>
      </w:r>
      <w:r w:rsidR="00A40EC7" w:rsidRPr="008A27A7">
        <w:rPr>
          <w:rFonts w:asciiTheme="minorHAnsi" w:hAnsiTheme="minorHAnsi" w:cstheme="minorHAnsi"/>
          <w:i/>
          <w:sz w:val="22"/>
          <w:lang w:val="sq-AL"/>
        </w:rPr>
        <w:t>vlerësimeve intensive nga ana e MFE, duke patur parasysh aspektet specifike që kanë karakterizuar vitin 202</w:t>
      </w:r>
      <w:r>
        <w:rPr>
          <w:rFonts w:asciiTheme="minorHAnsi" w:hAnsiTheme="minorHAnsi" w:cstheme="minorHAnsi"/>
          <w:i/>
          <w:sz w:val="22"/>
          <w:lang w:val="sq-AL"/>
        </w:rPr>
        <w:t>2</w:t>
      </w:r>
      <w:r w:rsidR="00A40EC7" w:rsidRPr="008A27A7">
        <w:rPr>
          <w:rFonts w:asciiTheme="minorHAnsi" w:hAnsiTheme="minorHAnsi" w:cstheme="minorHAnsi"/>
          <w:i/>
          <w:sz w:val="22"/>
          <w:lang w:val="sq-AL"/>
        </w:rPr>
        <w:t xml:space="preserve"> nga pikëpamja e </w:t>
      </w:r>
      <w:r>
        <w:rPr>
          <w:rFonts w:asciiTheme="minorHAnsi" w:hAnsiTheme="minorHAnsi" w:cstheme="minorHAnsi"/>
          <w:i/>
          <w:sz w:val="22"/>
          <w:lang w:val="sq-AL"/>
        </w:rPr>
        <w:t>efekteve t</w:t>
      </w:r>
      <w:r w:rsidR="00E5712C">
        <w:rPr>
          <w:rFonts w:asciiTheme="minorHAnsi" w:hAnsiTheme="minorHAnsi" w:cstheme="minorHAnsi"/>
          <w:i/>
          <w:sz w:val="22"/>
          <w:lang w:val="sq-AL"/>
        </w:rPr>
        <w:t>ë</w:t>
      </w:r>
      <w:r>
        <w:rPr>
          <w:rFonts w:asciiTheme="minorHAnsi" w:hAnsiTheme="minorHAnsi" w:cstheme="minorHAnsi"/>
          <w:i/>
          <w:sz w:val="22"/>
          <w:lang w:val="sq-AL"/>
        </w:rPr>
        <w:t xml:space="preserve"> rritjes s</w:t>
      </w:r>
      <w:r w:rsidR="00E5712C">
        <w:rPr>
          <w:rFonts w:asciiTheme="minorHAnsi" w:hAnsiTheme="minorHAnsi" w:cstheme="minorHAnsi"/>
          <w:i/>
          <w:sz w:val="22"/>
          <w:lang w:val="sq-AL"/>
        </w:rPr>
        <w:t>ë</w:t>
      </w:r>
      <w:r>
        <w:rPr>
          <w:rFonts w:asciiTheme="minorHAnsi" w:hAnsiTheme="minorHAnsi" w:cstheme="minorHAnsi"/>
          <w:i/>
          <w:sz w:val="22"/>
          <w:lang w:val="sq-AL"/>
        </w:rPr>
        <w:t xml:space="preserve"> çmimeve kryesisht</w:t>
      </w:r>
      <w:r w:rsidR="00A40EC7" w:rsidRPr="008A27A7">
        <w:rPr>
          <w:rFonts w:asciiTheme="minorHAnsi" w:hAnsiTheme="minorHAnsi" w:cstheme="minorHAnsi"/>
          <w:i/>
          <w:sz w:val="22"/>
          <w:lang w:val="sq-AL"/>
        </w:rPr>
        <w:t xml:space="preserve"> dhe rrjedhimisht, nevojat </w:t>
      </w:r>
      <w:r>
        <w:rPr>
          <w:rFonts w:asciiTheme="minorHAnsi" w:hAnsiTheme="minorHAnsi" w:cstheme="minorHAnsi"/>
          <w:i/>
          <w:sz w:val="22"/>
          <w:lang w:val="sq-AL"/>
        </w:rPr>
        <w:t>eventuale</w:t>
      </w:r>
      <w:r w:rsidR="00A40EC7" w:rsidRPr="008A27A7">
        <w:rPr>
          <w:rFonts w:asciiTheme="minorHAnsi" w:hAnsiTheme="minorHAnsi" w:cstheme="minorHAnsi"/>
          <w:i/>
          <w:sz w:val="22"/>
          <w:lang w:val="sq-AL"/>
        </w:rPr>
        <w:t xml:space="preserve"> për financim </w:t>
      </w:r>
      <w:r>
        <w:rPr>
          <w:rFonts w:asciiTheme="minorHAnsi" w:hAnsiTheme="minorHAnsi" w:cstheme="minorHAnsi"/>
          <w:i/>
          <w:sz w:val="22"/>
          <w:lang w:val="sq-AL"/>
        </w:rPr>
        <w:t>p</w:t>
      </w:r>
      <w:r w:rsidR="00E5712C">
        <w:rPr>
          <w:rFonts w:asciiTheme="minorHAnsi" w:hAnsiTheme="minorHAnsi" w:cstheme="minorHAnsi"/>
          <w:i/>
          <w:sz w:val="22"/>
          <w:lang w:val="sq-AL"/>
        </w:rPr>
        <w:t>ë</w:t>
      </w:r>
      <w:r>
        <w:rPr>
          <w:rFonts w:asciiTheme="minorHAnsi" w:hAnsiTheme="minorHAnsi" w:cstheme="minorHAnsi"/>
          <w:i/>
          <w:sz w:val="22"/>
          <w:lang w:val="sq-AL"/>
        </w:rPr>
        <w:t>r k</w:t>
      </w:r>
      <w:r w:rsidR="00E5712C">
        <w:rPr>
          <w:rFonts w:asciiTheme="minorHAnsi" w:hAnsiTheme="minorHAnsi" w:cstheme="minorHAnsi"/>
          <w:i/>
          <w:sz w:val="22"/>
          <w:lang w:val="sq-AL"/>
        </w:rPr>
        <w:t>ë</w:t>
      </w:r>
      <w:r>
        <w:rPr>
          <w:rFonts w:asciiTheme="minorHAnsi" w:hAnsiTheme="minorHAnsi" w:cstheme="minorHAnsi"/>
          <w:i/>
          <w:sz w:val="22"/>
          <w:lang w:val="sq-AL"/>
        </w:rPr>
        <w:t>t</w:t>
      </w:r>
      <w:r w:rsidR="00E5712C">
        <w:rPr>
          <w:rFonts w:asciiTheme="minorHAnsi" w:hAnsiTheme="minorHAnsi" w:cstheme="minorHAnsi"/>
          <w:i/>
          <w:sz w:val="22"/>
          <w:lang w:val="sq-AL"/>
        </w:rPr>
        <w:t>ë</w:t>
      </w:r>
      <w:r>
        <w:rPr>
          <w:rFonts w:asciiTheme="minorHAnsi" w:hAnsiTheme="minorHAnsi" w:cstheme="minorHAnsi"/>
          <w:i/>
          <w:sz w:val="22"/>
          <w:lang w:val="sq-AL"/>
        </w:rPr>
        <w:t xml:space="preserve"> q</w:t>
      </w:r>
      <w:r w:rsidR="00A40EC7" w:rsidRPr="008A27A7">
        <w:rPr>
          <w:rFonts w:asciiTheme="minorHAnsi" w:hAnsiTheme="minorHAnsi" w:cstheme="minorHAnsi"/>
          <w:i/>
          <w:sz w:val="22"/>
          <w:lang w:val="sq-AL"/>
        </w:rPr>
        <w:t>ëllim.</w:t>
      </w:r>
    </w:p>
    <w:p w:rsidR="0078470D" w:rsidRPr="00A42657" w:rsidRDefault="0078470D" w:rsidP="00E5712C">
      <w:pPr>
        <w:spacing w:before="120"/>
        <w:jc w:val="both"/>
        <w:rPr>
          <w:rFonts w:asciiTheme="minorHAnsi" w:hAnsiTheme="minorHAnsi"/>
          <w:noProof/>
          <w:lang w:val="sq-AL"/>
        </w:rPr>
      </w:pPr>
      <w:r w:rsidRPr="00A42657">
        <w:rPr>
          <w:rFonts w:asciiTheme="minorHAnsi" w:hAnsiTheme="minorHAnsi"/>
          <w:noProof/>
          <w:lang w:val="sq-AL"/>
        </w:rPr>
        <w:t xml:space="preserve">Në përfundim, nën dritën e analizës së mësipërme mbi ecurinë </w:t>
      </w:r>
      <w:r w:rsidR="00A40EC7" w:rsidRPr="00A42657">
        <w:rPr>
          <w:rFonts w:asciiTheme="minorHAnsi" w:hAnsiTheme="minorHAnsi"/>
          <w:noProof/>
          <w:lang w:val="sq-AL"/>
        </w:rPr>
        <w:t>thuajse 6</w:t>
      </w:r>
      <w:r w:rsidRPr="00A42657">
        <w:rPr>
          <w:rFonts w:asciiTheme="minorHAnsi" w:hAnsiTheme="minorHAnsi"/>
          <w:noProof/>
          <w:lang w:val="sq-AL"/>
        </w:rPr>
        <w:t>-mujore dhe pritshmëritë deri n</w:t>
      </w:r>
      <w:r w:rsidR="00CB2AA1" w:rsidRPr="00A42657">
        <w:rPr>
          <w:rFonts w:asciiTheme="minorHAnsi" w:hAnsiTheme="minorHAnsi"/>
          <w:noProof/>
          <w:lang w:val="sq-AL"/>
        </w:rPr>
        <w:t>ë</w:t>
      </w:r>
      <w:r w:rsidRPr="00A42657">
        <w:rPr>
          <w:rFonts w:asciiTheme="minorHAnsi" w:hAnsiTheme="minorHAnsi"/>
          <w:noProof/>
          <w:lang w:val="sq-AL"/>
        </w:rPr>
        <w:t xml:space="preserve"> fund t</w:t>
      </w:r>
      <w:r w:rsidR="00CB2AA1" w:rsidRPr="00A42657">
        <w:rPr>
          <w:rFonts w:asciiTheme="minorHAnsi" w:hAnsiTheme="minorHAnsi"/>
          <w:noProof/>
          <w:lang w:val="sq-AL"/>
        </w:rPr>
        <w:t>ë</w:t>
      </w:r>
      <w:r w:rsidRPr="00A42657">
        <w:rPr>
          <w:rFonts w:asciiTheme="minorHAnsi" w:hAnsiTheme="minorHAnsi"/>
          <w:noProof/>
          <w:lang w:val="sq-AL"/>
        </w:rPr>
        <w:t xml:space="preserve"> vitit fiskal 20</w:t>
      </w:r>
      <w:r w:rsidR="00FF4AD5" w:rsidRPr="00A42657">
        <w:rPr>
          <w:rFonts w:asciiTheme="minorHAnsi" w:hAnsiTheme="minorHAnsi"/>
          <w:noProof/>
          <w:lang w:val="sq-AL"/>
        </w:rPr>
        <w:t>2</w:t>
      </w:r>
      <w:r w:rsidR="00A42657">
        <w:rPr>
          <w:rFonts w:asciiTheme="minorHAnsi" w:hAnsiTheme="minorHAnsi"/>
          <w:noProof/>
          <w:lang w:val="sq-AL"/>
        </w:rPr>
        <w:t>2</w:t>
      </w:r>
      <w:r w:rsidRPr="00A42657">
        <w:rPr>
          <w:rFonts w:asciiTheme="minorHAnsi" w:hAnsiTheme="minorHAnsi"/>
          <w:noProof/>
          <w:lang w:val="sq-AL"/>
        </w:rPr>
        <w:t xml:space="preserve">, </w:t>
      </w:r>
      <w:r w:rsidR="00A40EC7" w:rsidRPr="00A42657">
        <w:rPr>
          <w:rFonts w:asciiTheme="minorHAnsi" w:hAnsiTheme="minorHAnsi"/>
          <w:noProof/>
          <w:lang w:val="sq-AL"/>
        </w:rPr>
        <w:t>si edhe n</w:t>
      </w:r>
      <w:r w:rsidR="00657BC2" w:rsidRPr="00A42657">
        <w:rPr>
          <w:rFonts w:asciiTheme="minorHAnsi" w:hAnsiTheme="minorHAnsi"/>
          <w:noProof/>
          <w:lang w:val="sq-AL"/>
        </w:rPr>
        <w:t>ë</w:t>
      </w:r>
      <w:r w:rsidR="00A40EC7" w:rsidRPr="00A42657">
        <w:rPr>
          <w:rFonts w:asciiTheme="minorHAnsi" w:hAnsiTheme="minorHAnsi"/>
          <w:noProof/>
          <w:lang w:val="sq-AL"/>
        </w:rPr>
        <w:t xml:space="preserve"> vijim t</w:t>
      </w:r>
      <w:r w:rsidR="00657BC2" w:rsidRPr="00A42657">
        <w:rPr>
          <w:rFonts w:asciiTheme="minorHAnsi" w:hAnsiTheme="minorHAnsi"/>
          <w:noProof/>
          <w:lang w:val="sq-AL"/>
        </w:rPr>
        <w:t>ë</w:t>
      </w:r>
      <w:r w:rsidR="00A40EC7" w:rsidRPr="00A42657">
        <w:rPr>
          <w:rFonts w:asciiTheme="minorHAnsi" w:hAnsiTheme="minorHAnsi"/>
          <w:noProof/>
          <w:lang w:val="sq-AL"/>
        </w:rPr>
        <w:t xml:space="preserve"> rishikimit t</w:t>
      </w:r>
      <w:r w:rsidR="00657BC2" w:rsidRPr="00A42657">
        <w:rPr>
          <w:rFonts w:asciiTheme="minorHAnsi" w:hAnsiTheme="minorHAnsi"/>
          <w:noProof/>
          <w:lang w:val="sq-AL"/>
        </w:rPr>
        <w:t>ë</w:t>
      </w:r>
      <w:r w:rsidR="00A40EC7" w:rsidRPr="00A42657">
        <w:rPr>
          <w:rFonts w:asciiTheme="minorHAnsi" w:hAnsiTheme="minorHAnsi"/>
          <w:noProof/>
          <w:lang w:val="sq-AL"/>
        </w:rPr>
        <w:t xml:space="preserve"> ligjit t</w:t>
      </w:r>
      <w:r w:rsidR="00657BC2" w:rsidRPr="00A42657">
        <w:rPr>
          <w:rFonts w:asciiTheme="minorHAnsi" w:hAnsiTheme="minorHAnsi"/>
          <w:noProof/>
          <w:lang w:val="sq-AL"/>
        </w:rPr>
        <w:t>ë</w:t>
      </w:r>
      <w:r w:rsidR="00A40EC7" w:rsidRPr="00A42657">
        <w:rPr>
          <w:rFonts w:asciiTheme="minorHAnsi" w:hAnsiTheme="minorHAnsi"/>
          <w:noProof/>
          <w:lang w:val="sq-AL"/>
        </w:rPr>
        <w:t xml:space="preserve"> buxhetit 202</w:t>
      </w:r>
      <w:r w:rsidR="00A42657">
        <w:rPr>
          <w:rFonts w:asciiTheme="minorHAnsi" w:hAnsiTheme="minorHAnsi"/>
          <w:noProof/>
          <w:lang w:val="sq-AL"/>
        </w:rPr>
        <w:t>2</w:t>
      </w:r>
      <w:r w:rsidR="00A40EC7" w:rsidRPr="00A42657">
        <w:rPr>
          <w:rFonts w:asciiTheme="minorHAnsi" w:hAnsiTheme="minorHAnsi"/>
          <w:noProof/>
          <w:lang w:val="sq-AL"/>
        </w:rPr>
        <w:t xml:space="preserve"> p</w:t>
      </w:r>
      <w:r w:rsidR="00657BC2" w:rsidRPr="00A42657">
        <w:rPr>
          <w:rFonts w:asciiTheme="minorHAnsi" w:hAnsiTheme="minorHAnsi"/>
          <w:noProof/>
          <w:lang w:val="sq-AL"/>
        </w:rPr>
        <w:t>ë</w:t>
      </w:r>
      <w:r w:rsidR="00A40EC7" w:rsidRPr="00A42657">
        <w:rPr>
          <w:rFonts w:asciiTheme="minorHAnsi" w:hAnsiTheme="minorHAnsi"/>
          <w:noProof/>
          <w:lang w:val="sq-AL"/>
        </w:rPr>
        <w:t xml:space="preserve">rmes </w:t>
      </w:r>
      <w:r w:rsidR="00277056">
        <w:rPr>
          <w:rFonts w:asciiTheme="minorHAnsi" w:hAnsiTheme="minorHAnsi"/>
          <w:noProof/>
          <w:lang w:val="sq-AL"/>
        </w:rPr>
        <w:t xml:space="preserve">                   </w:t>
      </w:r>
      <w:r w:rsidR="00A40EC7" w:rsidRPr="00A42657">
        <w:rPr>
          <w:rFonts w:asciiTheme="minorHAnsi" w:hAnsiTheme="minorHAnsi"/>
          <w:noProof/>
          <w:lang w:val="sq-AL"/>
        </w:rPr>
        <w:t>AN nr.</w:t>
      </w:r>
      <w:r w:rsidR="00A42657">
        <w:rPr>
          <w:rFonts w:asciiTheme="minorHAnsi" w:hAnsiTheme="minorHAnsi"/>
          <w:noProof/>
          <w:lang w:val="sq-AL"/>
        </w:rPr>
        <w:t>3</w:t>
      </w:r>
      <w:r w:rsidR="00A40EC7" w:rsidRPr="00A42657">
        <w:rPr>
          <w:rFonts w:asciiTheme="minorHAnsi" w:hAnsiTheme="minorHAnsi"/>
          <w:noProof/>
          <w:lang w:val="sq-AL"/>
        </w:rPr>
        <w:t xml:space="preserve"> dat</w:t>
      </w:r>
      <w:r w:rsidR="00657BC2" w:rsidRPr="00A42657">
        <w:rPr>
          <w:rFonts w:asciiTheme="minorHAnsi" w:hAnsiTheme="minorHAnsi"/>
          <w:noProof/>
          <w:lang w:val="sq-AL"/>
        </w:rPr>
        <w:t>ë</w:t>
      </w:r>
      <w:r w:rsidR="00A40EC7" w:rsidRPr="00A42657">
        <w:rPr>
          <w:rFonts w:asciiTheme="minorHAnsi" w:hAnsiTheme="minorHAnsi"/>
          <w:noProof/>
          <w:lang w:val="sq-AL"/>
        </w:rPr>
        <w:t xml:space="preserve"> </w:t>
      </w:r>
      <w:r w:rsidR="00A42657">
        <w:rPr>
          <w:rFonts w:asciiTheme="minorHAnsi" w:hAnsiTheme="minorHAnsi"/>
          <w:noProof/>
          <w:lang w:val="sq-AL"/>
        </w:rPr>
        <w:t>12</w:t>
      </w:r>
      <w:r w:rsidR="00A40EC7" w:rsidRPr="00A42657">
        <w:rPr>
          <w:rFonts w:asciiTheme="minorHAnsi" w:hAnsiTheme="minorHAnsi"/>
          <w:noProof/>
          <w:lang w:val="sq-AL"/>
        </w:rPr>
        <w:t>.0</w:t>
      </w:r>
      <w:r w:rsidR="00A42657">
        <w:rPr>
          <w:rFonts w:asciiTheme="minorHAnsi" w:hAnsiTheme="minorHAnsi"/>
          <w:noProof/>
          <w:lang w:val="sq-AL"/>
        </w:rPr>
        <w:t>3</w:t>
      </w:r>
      <w:r w:rsidR="00A40EC7" w:rsidRPr="00A42657">
        <w:rPr>
          <w:rFonts w:asciiTheme="minorHAnsi" w:hAnsiTheme="minorHAnsi"/>
          <w:noProof/>
          <w:lang w:val="sq-AL"/>
        </w:rPr>
        <w:t>.202</w:t>
      </w:r>
      <w:r w:rsidR="00A42657">
        <w:rPr>
          <w:rFonts w:asciiTheme="minorHAnsi" w:hAnsiTheme="minorHAnsi"/>
          <w:noProof/>
          <w:lang w:val="sq-AL"/>
        </w:rPr>
        <w:t>2</w:t>
      </w:r>
      <w:r w:rsidR="00A40EC7" w:rsidRPr="00A42657">
        <w:rPr>
          <w:rFonts w:asciiTheme="minorHAnsi" w:hAnsiTheme="minorHAnsi"/>
          <w:noProof/>
          <w:lang w:val="sq-AL"/>
        </w:rPr>
        <w:t xml:space="preserve">, </w:t>
      </w:r>
      <w:r w:rsidRPr="00A42657">
        <w:rPr>
          <w:rFonts w:asciiTheme="minorHAnsi" w:hAnsiTheme="minorHAnsi"/>
          <w:noProof/>
          <w:lang w:val="sq-AL"/>
        </w:rPr>
        <w:t xml:space="preserve">Ministria e Financave dhe Ekonomisë gjykon se vlerësimi i performancës </w:t>
      </w:r>
      <w:r w:rsidR="00A40EC7" w:rsidRPr="00A42657">
        <w:rPr>
          <w:rFonts w:asciiTheme="minorHAnsi" w:hAnsiTheme="minorHAnsi"/>
          <w:noProof/>
          <w:lang w:val="sq-AL"/>
        </w:rPr>
        <w:t>s</w:t>
      </w:r>
      <w:r w:rsidRPr="00A42657">
        <w:rPr>
          <w:rFonts w:asciiTheme="minorHAnsi" w:hAnsiTheme="minorHAnsi"/>
          <w:noProof/>
          <w:lang w:val="sq-AL"/>
        </w:rPr>
        <w:t>ë ecurisë së treguesve të konsoliduar makro-fiskal dhe buxhetorë, si të të ardhurave ashtu edhe të shp</w:t>
      </w:r>
      <w:r w:rsidR="00A40EC7" w:rsidRPr="00A42657">
        <w:rPr>
          <w:rFonts w:asciiTheme="minorHAnsi" w:hAnsiTheme="minorHAnsi"/>
          <w:noProof/>
          <w:lang w:val="sq-AL"/>
        </w:rPr>
        <w:t xml:space="preserve">enzimeve </w:t>
      </w:r>
      <w:r w:rsidR="00A42657" w:rsidRPr="00A42657">
        <w:rPr>
          <w:rFonts w:asciiTheme="minorHAnsi" w:hAnsiTheme="minorHAnsi"/>
          <w:noProof/>
          <w:lang w:val="sq-AL"/>
        </w:rPr>
        <w:t xml:space="preserve">të paktën </w:t>
      </w:r>
      <w:r w:rsidR="00A40EC7" w:rsidRPr="00A42657">
        <w:rPr>
          <w:rFonts w:asciiTheme="minorHAnsi" w:hAnsiTheme="minorHAnsi"/>
          <w:noProof/>
          <w:lang w:val="sq-AL"/>
        </w:rPr>
        <w:t>n</w:t>
      </w:r>
      <w:r w:rsidR="00657BC2" w:rsidRPr="00A42657">
        <w:rPr>
          <w:rFonts w:asciiTheme="minorHAnsi" w:hAnsiTheme="minorHAnsi"/>
          <w:noProof/>
          <w:lang w:val="sq-AL"/>
        </w:rPr>
        <w:t>ë</w:t>
      </w:r>
      <w:r w:rsidR="00A40EC7" w:rsidRPr="00A42657">
        <w:rPr>
          <w:rFonts w:asciiTheme="minorHAnsi" w:hAnsiTheme="minorHAnsi"/>
          <w:noProof/>
          <w:lang w:val="sq-AL"/>
        </w:rPr>
        <w:t xml:space="preserve"> nivel 9-mujor, </w:t>
      </w:r>
      <w:r w:rsidRPr="00A42657">
        <w:rPr>
          <w:rFonts w:asciiTheme="minorHAnsi" w:hAnsiTheme="minorHAnsi"/>
          <w:noProof/>
          <w:lang w:val="sq-AL"/>
        </w:rPr>
        <w:t xml:space="preserve">do të jetë vendimtar në drejtim të </w:t>
      </w:r>
      <w:r w:rsidR="00417DCB" w:rsidRPr="00A42657">
        <w:rPr>
          <w:rFonts w:asciiTheme="minorHAnsi" w:hAnsiTheme="minorHAnsi"/>
          <w:noProof/>
          <w:lang w:val="sq-AL"/>
        </w:rPr>
        <w:t>angazhimit</w:t>
      </w:r>
      <w:r w:rsidRPr="00A42657">
        <w:rPr>
          <w:rFonts w:asciiTheme="minorHAnsi" w:hAnsiTheme="minorHAnsi"/>
          <w:noProof/>
          <w:lang w:val="sq-AL"/>
        </w:rPr>
        <w:t xml:space="preserve"> për një rishikim </w:t>
      </w:r>
      <w:r w:rsidR="00A40EC7" w:rsidRPr="00A42657">
        <w:rPr>
          <w:rFonts w:asciiTheme="minorHAnsi" w:hAnsiTheme="minorHAnsi"/>
          <w:noProof/>
          <w:lang w:val="sq-AL"/>
        </w:rPr>
        <w:t>tjet</w:t>
      </w:r>
      <w:r w:rsidR="00657BC2" w:rsidRPr="00A42657">
        <w:rPr>
          <w:rFonts w:asciiTheme="minorHAnsi" w:hAnsiTheme="minorHAnsi"/>
          <w:noProof/>
          <w:lang w:val="sq-AL"/>
        </w:rPr>
        <w:t>ë</w:t>
      </w:r>
      <w:r w:rsidR="00A40EC7" w:rsidRPr="00A42657">
        <w:rPr>
          <w:rFonts w:asciiTheme="minorHAnsi" w:hAnsiTheme="minorHAnsi"/>
          <w:noProof/>
          <w:lang w:val="sq-AL"/>
        </w:rPr>
        <w:t xml:space="preserve">r </w:t>
      </w:r>
      <w:r w:rsidRPr="00A42657">
        <w:rPr>
          <w:rFonts w:asciiTheme="minorHAnsi" w:hAnsiTheme="minorHAnsi"/>
          <w:noProof/>
          <w:lang w:val="sq-AL"/>
        </w:rPr>
        <w:t xml:space="preserve">eventual të </w:t>
      </w:r>
      <w:r w:rsidR="00417DCB" w:rsidRPr="00A42657">
        <w:rPr>
          <w:rFonts w:asciiTheme="minorHAnsi" w:hAnsiTheme="minorHAnsi"/>
          <w:noProof/>
          <w:lang w:val="sq-AL"/>
        </w:rPr>
        <w:t>ligjit t</w:t>
      </w:r>
      <w:r w:rsidR="000D1394" w:rsidRPr="00A42657">
        <w:rPr>
          <w:rFonts w:asciiTheme="minorHAnsi" w:hAnsiTheme="minorHAnsi"/>
          <w:noProof/>
          <w:lang w:val="sq-AL"/>
        </w:rPr>
        <w:t>ë</w:t>
      </w:r>
      <w:r w:rsidR="00417DCB" w:rsidRPr="00A42657">
        <w:rPr>
          <w:rFonts w:asciiTheme="minorHAnsi" w:hAnsiTheme="minorHAnsi"/>
          <w:noProof/>
          <w:lang w:val="sq-AL"/>
        </w:rPr>
        <w:t xml:space="preserve"> </w:t>
      </w:r>
      <w:r w:rsidRPr="00A42657">
        <w:rPr>
          <w:rFonts w:asciiTheme="minorHAnsi" w:hAnsiTheme="minorHAnsi"/>
          <w:noProof/>
          <w:lang w:val="sq-AL"/>
        </w:rPr>
        <w:t xml:space="preserve">buxhetit të </w:t>
      </w:r>
      <w:r w:rsidR="00417DCB" w:rsidRPr="00A42657">
        <w:rPr>
          <w:rFonts w:asciiTheme="minorHAnsi" w:hAnsiTheme="minorHAnsi"/>
          <w:noProof/>
          <w:lang w:val="sq-AL"/>
        </w:rPr>
        <w:t>vitit</w:t>
      </w:r>
      <w:r w:rsidRPr="00A42657">
        <w:rPr>
          <w:rFonts w:asciiTheme="minorHAnsi" w:hAnsiTheme="minorHAnsi"/>
          <w:noProof/>
          <w:lang w:val="sq-AL"/>
        </w:rPr>
        <w:t xml:space="preserve"> 20</w:t>
      </w:r>
      <w:r w:rsidR="00FF4AD5" w:rsidRPr="00A42657">
        <w:rPr>
          <w:rFonts w:asciiTheme="minorHAnsi" w:hAnsiTheme="minorHAnsi"/>
          <w:noProof/>
          <w:lang w:val="sq-AL"/>
        </w:rPr>
        <w:t>2</w:t>
      </w:r>
      <w:r w:rsidR="00A42657">
        <w:rPr>
          <w:rFonts w:asciiTheme="minorHAnsi" w:hAnsiTheme="minorHAnsi"/>
          <w:noProof/>
          <w:lang w:val="sq-AL"/>
        </w:rPr>
        <w:t>2</w:t>
      </w:r>
      <w:r w:rsidRPr="00A42657">
        <w:rPr>
          <w:rFonts w:asciiTheme="minorHAnsi" w:hAnsiTheme="minorHAnsi"/>
          <w:noProof/>
          <w:lang w:val="sq-AL"/>
        </w:rPr>
        <w:t>.</w:t>
      </w:r>
    </w:p>
    <w:p w:rsidR="00E5712C" w:rsidRPr="00E5712C" w:rsidRDefault="00E5712C" w:rsidP="00E5712C">
      <w:pPr>
        <w:spacing w:line="276" w:lineRule="auto"/>
        <w:ind w:left="3060"/>
        <w:jc w:val="both"/>
        <w:rPr>
          <w:rFonts w:asciiTheme="minorHAnsi" w:hAnsiTheme="minorHAnsi"/>
          <w:b/>
          <w:sz w:val="16"/>
          <w:lang w:val="sq-AL"/>
        </w:rPr>
      </w:pPr>
      <w:r w:rsidRPr="00E5712C">
        <w:rPr>
          <w:rFonts w:asciiTheme="minorHAnsi" w:hAnsiTheme="minorHAnsi"/>
          <w:b/>
          <w:sz w:val="20"/>
          <w:lang w:val="sq-AL"/>
        </w:rPr>
        <w:tab/>
      </w:r>
    </w:p>
    <w:p w:rsidR="00E5712C" w:rsidRPr="00E5712C" w:rsidRDefault="00E5712C" w:rsidP="00E5712C">
      <w:pPr>
        <w:spacing w:line="276" w:lineRule="auto"/>
        <w:ind w:left="3060"/>
        <w:jc w:val="both"/>
        <w:rPr>
          <w:rFonts w:asciiTheme="minorHAnsi" w:hAnsiTheme="minorHAnsi"/>
          <w:b/>
          <w:sz w:val="10"/>
          <w:lang w:val="sq-AL"/>
        </w:rPr>
      </w:pPr>
    </w:p>
    <w:p w:rsidR="00E5712C" w:rsidRDefault="00E5712C" w:rsidP="00E5712C">
      <w:pPr>
        <w:spacing w:line="276" w:lineRule="auto"/>
        <w:ind w:left="3780" w:firstLine="540"/>
        <w:jc w:val="both"/>
        <w:rPr>
          <w:rFonts w:asciiTheme="minorHAnsi" w:hAnsiTheme="minorHAnsi"/>
          <w:b/>
          <w:bCs/>
          <w:lang w:val="sq-AL"/>
        </w:rPr>
      </w:pPr>
      <w:r w:rsidRPr="00E5712C">
        <w:rPr>
          <w:rFonts w:asciiTheme="minorHAnsi" w:hAnsiTheme="minorHAnsi"/>
          <w:b/>
          <w:bCs/>
          <w:lang w:val="sq-AL"/>
        </w:rPr>
        <w:t>MINISTRI I FINANCAVE DHE EKONOMISË</w:t>
      </w:r>
    </w:p>
    <w:p w:rsidR="00E5712C" w:rsidRPr="00E5712C" w:rsidRDefault="00E5712C" w:rsidP="00E5712C">
      <w:pPr>
        <w:spacing w:line="276" w:lineRule="auto"/>
        <w:ind w:left="3780" w:firstLine="540"/>
        <w:jc w:val="both"/>
        <w:rPr>
          <w:rFonts w:asciiTheme="minorHAnsi" w:hAnsiTheme="minorHAnsi"/>
          <w:b/>
          <w:bCs/>
          <w:sz w:val="12"/>
          <w:lang w:val="sq-AL"/>
        </w:rPr>
      </w:pPr>
    </w:p>
    <w:p w:rsidR="00E5712C" w:rsidRPr="00E5712C" w:rsidRDefault="00E5712C" w:rsidP="00E5712C">
      <w:pPr>
        <w:spacing w:line="276" w:lineRule="auto"/>
        <w:ind w:left="3600" w:firstLine="180"/>
        <w:jc w:val="both"/>
        <w:rPr>
          <w:rFonts w:asciiTheme="minorHAnsi" w:hAnsiTheme="minorHAnsi"/>
          <w:sz w:val="20"/>
          <w:lang w:val="sq-AL"/>
        </w:rPr>
      </w:pPr>
      <w:r>
        <w:rPr>
          <w:rFonts w:asciiTheme="minorHAnsi" w:hAnsiTheme="minorHAnsi"/>
          <w:sz w:val="20"/>
          <w:lang w:val="sq-AL"/>
        </w:rPr>
        <w:t xml:space="preserve">    </w:t>
      </w:r>
      <w:r w:rsidRPr="00E5712C">
        <w:rPr>
          <w:rFonts w:asciiTheme="minorHAnsi" w:hAnsiTheme="minorHAnsi"/>
          <w:sz w:val="20"/>
          <w:lang w:val="sq-AL"/>
        </w:rPr>
        <w:t>______________________________________________</w:t>
      </w:r>
    </w:p>
    <w:p w:rsidR="00E5712C" w:rsidRPr="00E5712C" w:rsidRDefault="00E5712C" w:rsidP="00E5712C">
      <w:pPr>
        <w:spacing w:line="276" w:lineRule="auto"/>
        <w:ind w:left="4320" w:firstLine="720"/>
        <w:jc w:val="both"/>
        <w:rPr>
          <w:rFonts w:asciiTheme="minorHAnsi" w:hAnsiTheme="minorHAnsi"/>
          <w:b/>
          <w:lang w:val="sq-AL"/>
        </w:rPr>
      </w:pPr>
      <w:r>
        <w:rPr>
          <w:rFonts w:asciiTheme="minorHAnsi" w:hAnsiTheme="minorHAnsi"/>
          <w:b/>
          <w:lang w:val="sq-AL"/>
        </w:rPr>
        <w:t xml:space="preserve">     </w:t>
      </w:r>
      <w:r w:rsidRPr="00E5712C">
        <w:rPr>
          <w:rFonts w:asciiTheme="minorHAnsi" w:hAnsiTheme="minorHAnsi"/>
          <w:b/>
          <w:lang w:val="sq-AL"/>
        </w:rPr>
        <w:t>DELINA IBRAHIMAJ</w:t>
      </w:r>
    </w:p>
    <w:p w:rsidR="00E5712C" w:rsidRDefault="00E5712C" w:rsidP="00E5712C">
      <w:pPr>
        <w:pStyle w:val="NoSpacing"/>
        <w:rPr>
          <w:rFonts w:ascii="Times New Roman" w:hAnsi="Times New Roman"/>
          <w:i/>
          <w:sz w:val="8"/>
          <w:szCs w:val="8"/>
          <w:lang w:val="sq-AL"/>
        </w:rPr>
      </w:pPr>
    </w:p>
    <w:p w:rsidR="000A1A4D" w:rsidRPr="0065598A" w:rsidRDefault="00D3619E" w:rsidP="00B95810">
      <w:pPr>
        <w:pStyle w:val="Heading1"/>
        <w:numPr>
          <w:ilvl w:val="0"/>
          <w:numId w:val="1"/>
        </w:numPr>
        <w:spacing w:line="276" w:lineRule="auto"/>
        <w:ind w:left="720"/>
        <w:jc w:val="both"/>
        <w:rPr>
          <w:sz w:val="32"/>
          <w:u w:val="none"/>
        </w:rPr>
      </w:pPr>
      <w:bookmarkStart w:id="164" w:name="_Toc107497007"/>
      <w:bookmarkStart w:id="165" w:name="_GoBack"/>
      <w:bookmarkEnd w:id="165"/>
      <w:r w:rsidRPr="0065598A">
        <w:rPr>
          <w:sz w:val="32"/>
          <w:u w:val="none"/>
        </w:rPr>
        <w:lastRenderedPageBreak/>
        <w:t>SHTOJCAT</w:t>
      </w:r>
      <w:bookmarkEnd w:id="164"/>
    </w:p>
    <w:p w:rsidR="000A1A4D" w:rsidRPr="00FA4974" w:rsidRDefault="000A1A4D" w:rsidP="00FA4974">
      <w:pPr>
        <w:pStyle w:val="Heading2"/>
        <w:numPr>
          <w:ilvl w:val="0"/>
          <w:numId w:val="56"/>
        </w:numPr>
        <w:ind w:left="360"/>
        <w:rPr>
          <w:sz w:val="26"/>
          <w:szCs w:val="26"/>
        </w:rPr>
      </w:pPr>
      <w:bookmarkStart w:id="166" w:name="_Toc107497008"/>
      <w:r w:rsidRPr="00FA4974">
        <w:rPr>
          <w:sz w:val="26"/>
          <w:szCs w:val="26"/>
        </w:rPr>
        <w:t xml:space="preserve">Ecuria e </w:t>
      </w:r>
      <w:r w:rsidR="003D082B" w:rsidRPr="00FA4974">
        <w:rPr>
          <w:sz w:val="26"/>
          <w:szCs w:val="26"/>
        </w:rPr>
        <w:t xml:space="preserve">detajuar e </w:t>
      </w:r>
      <w:r w:rsidRPr="00FA4974">
        <w:rPr>
          <w:sz w:val="26"/>
          <w:szCs w:val="26"/>
        </w:rPr>
        <w:t>treguesve makroekonomik</w:t>
      </w:r>
      <w:r w:rsidR="00CB4E18" w:rsidRPr="00FA4974">
        <w:rPr>
          <w:sz w:val="26"/>
          <w:szCs w:val="26"/>
        </w:rPr>
        <w:t>ë</w:t>
      </w:r>
      <w:r w:rsidRPr="00FA4974">
        <w:rPr>
          <w:sz w:val="26"/>
          <w:szCs w:val="26"/>
        </w:rPr>
        <w:t xml:space="preserve"> gjat</w:t>
      </w:r>
      <w:r w:rsidR="00CB4E18" w:rsidRPr="00FA4974">
        <w:rPr>
          <w:sz w:val="26"/>
          <w:szCs w:val="26"/>
        </w:rPr>
        <w:t>ë</w:t>
      </w:r>
      <w:r w:rsidRPr="00FA4974">
        <w:rPr>
          <w:sz w:val="26"/>
          <w:szCs w:val="26"/>
        </w:rPr>
        <w:t xml:space="preserve"> </w:t>
      </w:r>
      <w:r w:rsidR="00545CF4" w:rsidRPr="00FA4974">
        <w:rPr>
          <w:sz w:val="26"/>
          <w:szCs w:val="26"/>
        </w:rPr>
        <w:t>J</w:t>
      </w:r>
      <w:r w:rsidRPr="00FA4974">
        <w:rPr>
          <w:sz w:val="26"/>
          <w:szCs w:val="26"/>
        </w:rPr>
        <w:t>anar-</w:t>
      </w:r>
      <w:r w:rsidR="00545CF4" w:rsidRPr="00FA4974">
        <w:rPr>
          <w:sz w:val="26"/>
          <w:szCs w:val="26"/>
        </w:rPr>
        <w:t>M</w:t>
      </w:r>
      <w:r w:rsidRPr="00FA4974">
        <w:rPr>
          <w:sz w:val="26"/>
          <w:szCs w:val="26"/>
        </w:rPr>
        <w:t>aj 20</w:t>
      </w:r>
      <w:r w:rsidR="001F417D" w:rsidRPr="00FA4974">
        <w:rPr>
          <w:sz w:val="26"/>
          <w:szCs w:val="26"/>
        </w:rPr>
        <w:t>2</w:t>
      </w:r>
      <w:r w:rsidR="00565BEB" w:rsidRPr="00FA4974">
        <w:rPr>
          <w:sz w:val="26"/>
          <w:szCs w:val="26"/>
        </w:rPr>
        <w:t>2</w:t>
      </w:r>
      <w:r w:rsidR="00302A6A" w:rsidRPr="00FA4974">
        <w:rPr>
          <w:sz w:val="26"/>
          <w:szCs w:val="26"/>
          <w:vertAlign w:val="superscript"/>
        </w:rPr>
        <w:footnoteReference w:id="6"/>
      </w:r>
      <w:bookmarkEnd w:id="166"/>
      <w:r w:rsidR="00365407" w:rsidRPr="00FA4974">
        <w:rPr>
          <w:sz w:val="26"/>
          <w:szCs w:val="26"/>
        </w:rPr>
        <w:t xml:space="preserve"> </w:t>
      </w:r>
    </w:p>
    <w:p w:rsidR="000A1A4D" w:rsidRPr="0065598A"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rsidR="00B31CF7" w:rsidRPr="005C5B2F" w:rsidRDefault="00B31CF7" w:rsidP="00B31CF7">
      <w:pPr>
        <w:autoSpaceDE w:val="0"/>
        <w:autoSpaceDN w:val="0"/>
        <w:adjustRightInd w:val="0"/>
        <w:spacing w:after="120" w:line="276" w:lineRule="auto"/>
        <w:jc w:val="both"/>
        <w:rPr>
          <w:rFonts w:ascii="Calibri" w:hAnsi="Calibri"/>
          <w:i/>
          <w:noProof/>
          <w:u w:val="single"/>
          <w:lang w:val="sq-AL"/>
        </w:rPr>
      </w:pPr>
      <w:r w:rsidRPr="005C5B2F">
        <w:rPr>
          <w:rFonts w:ascii="Calibri" w:hAnsi="Calibri"/>
          <w:i/>
          <w:noProof/>
          <w:u w:val="single"/>
          <w:lang w:val="sq-AL"/>
        </w:rPr>
        <w:t xml:space="preserve">Sektori real  </w:t>
      </w:r>
    </w:p>
    <w:p w:rsidR="00E239E4" w:rsidRPr="00F60B38" w:rsidRDefault="00E239E4" w:rsidP="00E239E4">
      <w:pPr>
        <w:spacing w:after="120" w:line="276" w:lineRule="auto"/>
        <w:jc w:val="both"/>
        <w:rPr>
          <w:rFonts w:asciiTheme="minorHAnsi" w:hAnsiTheme="minorHAnsi" w:cstheme="minorHAnsi"/>
          <w:noProof/>
          <w:lang w:val="sq-AL"/>
        </w:rPr>
      </w:pPr>
      <w:r w:rsidRPr="00F60B38">
        <w:rPr>
          <w:rFonts w:asciiTheme="minorHAnsi" w:hAnsiTheme="minorHAnsi" w:cstheme="minorHAnsi"/>
          <w:lang w:val="sq-AL"/>
        </w:rPr>
        <w:t>Mbështetur në informacionet më të fundit të disponueshme, INSTAT jep një vlerësim paraprak të PBB-së për vitin 2021, i cili bazuar në vlerësimet tremujore, shënoi një rritje prej 8.54%, krahasuar me vitin 202</w:t>
      </w:r>
      <w:r>
        <w:rPr>
          <w:rFonts w:asciiTheme="minorHAnsi" w:hAnsiTheme="minorHAnsi" w:cstheme="minorHAnsi"/>
          <w:lang w:val="sq-AL"/>
        </w:rPr>
        <w:t>0</w:t>
      </w:r>
      <w:r w:rsidRPr="00F60B38">
        <w:rPr>
          <w:rFonts w:asciiTheme="minorHAnsi" w:hAnsiTheme="minorHAnsi" w:cstheme="minorHAnsi"/>
          <w:lang w:val="sq-AL"/>
        </w:rPr>
        <w:t xml:space="preserve">. </w:t>
      </w:r>
      <w:r w:rsidRPr="00F60B38">
        <w:rPr>
          <w:rFonts w:asciiTheme="minorHAnsi" w:hAnsiTheme="minorHAnsi" w:cstheme="minorHAnsi"/>
          <w:noProof/>
          <w:lang w:val="sq-AL"/>
        </w:rPr>
        <w:t>Zgjerimi i kërkesës për mallra e shërbime solli rritjen e prodhimit, të pagave e të punësimit, si dhe përmirësimin e situat</w:t>
      </w:r>
      <w:r>
        <w:rPr>
          <w:rFonts w:asciiTheme="minorHAnsi" w:hAnsiTheme="minorHAnsi" w:cstheme="minorHAnsi"/>
          <w:noProof/>
          <w:lang w:val="sq-AL"/>
        </w:rPr>
        <w:t>ë</w:t>
      </w:r>
      <w:r w:rsidRPr="00F60B38">
        <w:rPr>
          <w:rFonts w:asciiTheme="minorHAnsi" w:hAnsiTheme="minorHAnsi" w:cstheme="minorHAnsi"/>
          <w:noProof/>
          <w:lang w:val="sq-AL"/>
        </w:rPr>
        <w:t xml:space="preserve">s financiare të bizneseve dhe familjeve. </w:t>
      </w:r>
    </w:p>
    <w:p w:rsidR="00E239E4" w:rsidRPr="00F60B38" w:rsidRDefault="00E239E4" w:rsidP="00E239E4">
      <w:pPr>
        <w:spacing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Të gjitha kategoritë e shpenzimeve vijuan rritjen gjatë periudhës, duke tejkaluar ndjeshëm bazën e ulët të vitit 2020, si efekt i pandemisë. Kërkesa e brendshme kontribuoi me 7.33 pikë përqindje në rritjen ekonomike, 2.57 pikë përqindje e së cilës ishte kontribut i konsumit privat, i cili u rimëkëmbë si rezultat i përmirësimit të besimit të konsumatorit, uljes së pasigurisë në lidhje me pandeminë dhe rritjes së të ardhurave të disponueshme</w:t>
      </w:r>
      <w:r>
        <w:rPr>
          <w:rFonts w:asciiTheme="minorHAnsi" w:hAnsiTheme="minorHAnsi" w:cstheme="minorHAnsi"/>
          <w:noProof/>
          <w:lang w:val="sq-AL"/>
        </w:rPr>
        <w:t>.</w:t>
      </w:r>
      <w:r w:rsidRPr="00F60B38">
        <w:rPr>
          <w:rFonts w:asciiTheme="minorHAnsi" w:hAnsiTheme="minorHAnsi" w:cstheme="minorHAnsi"/>
          <w:noProof/>
          <w:lang w:val="sq-AL"/>
        </w:rPr>
        <w:t xml:space="preserve"> </w:t>
      </w:r>
      <w:r>
        <w:rPr>
          <w:rFonts w:asciiTheme="minorHAnsi" w:hAnsiTheme="minorHAnsi" w:cstheme="minorHAnsi"/>
          <w:noProof/>
          <w:lang w:val="sq-AL"/>
        </w:rPr>
        <w:t xml:space="preserve">Formimi bruto i kapitalit fiks kontribuoi me </w:t>
      </w:r>
      <w:r w:rsidRPr="00F60B38">
        <w:rPr>
          <w:rFonts w:asciiTheme="minorHAnsi" w:hAnsiTheme="minorHAnsi" w:cstheme="minorHAnsi"/>
          <w:noProof/>
          <w:lang w:val="sq-AL"/>
        </w:rPr>
        <w:t>4.59 pikë përqindjeje, nëpërmjet investimeve më të larta publike dhe private. Eksportet u zgjeruan me 46.51 për qind në vitin 2021, ndërkohë kontributi i eksporteve neto ishte negativ për shkak të përmbajtjes së lartë të rritjes së importeve.</w:t>
      </w:r>
    </w:p>
    <w:p w:rsidR="00E239E4" w:rsidRPr="00F60B38" w:rsidRDefault="00E239E4" w:rsidP="00E239E4">
      <w:pPr>
        <w:spacing w:after="120" w:line="276" w:lineRule="auto"/>
        <w:jc w:val="both"/>
        <w:rPr>
          <w:rFonts w:asciiTheme="minorHAnsi" w:hAnsiTheme="minorHAnsi" w:cstheme="minorHAnsi"/>
          <w:lang w:val="sq-AL"/>
        </w:rPr>
      </w:pPr>
      <w:r w:rsidRPr="00F60B38">
        <w:rPr>
          <w:rFonts w:asciiTheme="minorHAnsi" w:hAnsiTheme="minorHAnsi" w:cstheme="minorHAnsi"/>
          <w:lang w:val="sq-AL"/>
        </w:rPr>
        <w:t xml:space="preserve">Nga optika e ofertës, aktiviteti ekonomik në vitin 2021 ishte me bazë të gjerë. Faktorët kryesorë që përcaktuan përbërjen sektoriale të rritjes ishin ri-ndërtimi, rimëkëmbja e turizmit dhe prodhimi i energjisë elektrike. Ndërtimi kontribuoi me 1.83 pikë përqindje në rritje, mbështetur nga rindërtimi dhe shpenzimet publike për infrastrukturën. Nga të gjithë sektorët, bujqësia ka pasur kontributin më të vogël, për shkak të rritjes së kostove të prodhimit. </w:t>
      </w:r>
      <w:r w:rsidRPr="00F60B38">
        <w:rPr>
          <w:rFonts w:asciiTheme="minorHAnsi" w:hAnsiTheme="minorHAnsi" w:cstheme="minorHAnsi"/>
          <w:noProof/>
          <w:lang w:val="sq-AL"/>
        </w:rPr>
        <w:t>Në tërësi, fillimi i vitit 2022 e gjeti ekonominë shqiptare në një moment pozitiv zhvillimi.</w:t>
      </w:r>
    </w:p>
    <w:p w:rsidR="00E239E4" w:rsidRPr="00F60B38" w:rsidRDefault="00E239E4" w:rsidP="00E239E4">
      <w:pPr>
        <w:spacing w:before="24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Shifrat e punësimit kanë mbështetur vijimin e ecurisë së aktivitetit ekonomik ku për tremujorin e parë të vitit 2022 papunësia ka vijuar të shënojë rënie dhe papunësia për grup moshën mbi 15 vjeç ka shënuar nivelin prej 11.3%, duke u ulur me 0.6 pikë përqindje në terma vjetorë, dhe duke rënë me 0.1 pikë përqindje, krahasuar me tremujorin e katërt të vitit 2021.</w:t>
      </w:r>
      <w:r>
        <w:rPr>
          <w:rFonts w:asciiTheme="minorHAnsi" w:hAnsiTheme="minorHAnsi" w:cstheme="minorHAnsi"/>
          <w:noProof/>
          <w:lang w:val="sq-AL"/>
        </w:rPr>
        <w:t xml:space="preserve"> </w:t>
      </w:r>
      <w:r w:rsidRPr="00F60B38">
        <w:rPr>
          <w:rFonts w:asciiTheme="minorHAnsi" w:hAnsiTheme="minorHAnsi" w:cstheme="minorHAnsi"/>
          <w:noProof/>
          <w:lang w:val="sq-AL"/>
        </w:rPr>
        <w:t>Ndërkohë që edhe shkalla e punësimit ka vijuar të shënojë rritje duke rezultuar në 54.2% për popullsinë mbi 15 vjeç. Ritmi vjetor i ndryshimit të punësimit për popullsinë 15 vjeç e lart, nga tremujori i parë i vitit 2021 në tre</w:t>
      </w:r>
      <w:r>
        <w:rPr>
          <w:rFonts w:asciiTheme="minorHAnsi" w:hAnsiTheme="minorHAnsi" w:cstheme="minorHAnsi"/>
          <w:noProof/>
          <w:lang w:val="sq-AL"/>
        </w:rPr>
        <w:t>mujorin e parë 2022, është +3.4</w:t>
      </w:r>
      <w:r w:rsidRPr="00F60B38">
        <w:rPr>
          <w:rFonts w:asciiTheme="minorHAnsi" w:hAnsiTheme="minorHAnsi" w:cstheme="minorHAnsi"/>
          <w:noProof/>
          <w:lang w:val="sq-AL"/>
        </w:rPr>
        <w:t>%. Në terma vjetorë, punësimi është rritur me 8% në sektorin e industrisë, me 1.7% në sektorin e shërbimeve, dhe me 2.8% në sektorin e bujqësisë.</w:t>
      </w:r>
      <w:r>
        <w:rPr>
          <w:rFonts w:asciiTheme="minorHAnsi" w:hAnsiTheme="minorHAnsi" w:cstheme="minorHAnsi"/>
          <w:noProof/>
          <w:lang w:val="sq-AL"/>
        </w:rPr>
        <w:t xml:space="preserve"> </w:t>
      </w:r>
      <w:r w:rsidRPr="00F60B38">
        <w:rPr>
          <w:rFonts w:asciiTheme="minorHAnsi" w:hAnsiTheme="minorHAnsi" w:cstheme="minorHAnsi"/>
          <w:noProof/>
          <w:lang w:val="sq-AL"/>
        </w:rPr>
        <w:t>Gjithashtu, edhe paga mesatare mujore bruto për një të punësuar me pagë ka ndjekur të njëjtin trend gjatë tremujorit të parë 2022, duke u rritur në terma vjetorë me 5.8%, në 59,242 lekë.</w:t>
      </w:r>
      <w:r>
        <w:rPr>
          <w:rFonts w:asciiTheme="minorHAnsi" w:hAnsiTheme="minorHAnsi" w:cstheme="minorHAnsi"/>
          <w:noProof/>
          <w:lang w:val="sq-AL"/>
        </w:rPr>
        <w:t xml:space="preserve"> </w:t>
      </w:r>
      <w:r w:rsidRPr="00F60B38">
        <w:rPr>
          <w:rFonts w:asciiTheme="minorHAnsi" w:hAnsiTheme="minorHAnsi" w:cstheme="minorHAnsi"/>
          <w:noProof/>
          <w:lang w:val="sq-AL"/>
        </w:rPr>
        <w:t xml:space="preserve">Pra, tendencat e punësimit dhe papunësisë, sipas vlerësimeve të INSTAT për tremujorin e parë 2022, tregojnë vlera të qëndrueshme pranë mesatareve pozitive të viteve të fundit, ku efektet nga pandemia tashmë janë pasqyruar dhe vërehet se pasojat nuk janë aq të rënda sa parashikohej në fillim të pandemisë. </w:t>
      </w:r>
    </w:p>
    <w:p w:rsidR="00B31CF7" w:rsidRDefault="00E239E4" w:rsidP="00E239E4">
      <w:pPr>
        <w:tabs>
          <w:tab w:val="left" w:pos="2730"/>
        </w:tabs>
        <w:spacing w:after="120" w:line="276" w:lineRule="auto"/>
        <w:jc w:val="both"/>
        <w:rPr>
          <w:rFonts w:ascii="Calibri" w:hAnsi="Calibri"/>
          <w:noProof/>
          <w:lang w:val="sq-AL"/>
        </w:rPr>
      </w:pPr>
      <w:r w:rsidRPr="00F60B38">
        <w:rPr>
          <w:rFonts w:asciiTheme="minorHAnsi" w:hAnsiTheme="minorHAnsi" w:cstheme="minorHAnsi"/>
          <w:noProof/>
          <w:lang w:val="sq-AL"/>
        </w:rPr>
        <w:t xml:space="preserve">Një tjetër tregues i rëndësishëm që jep sinjale mbi rritjen ekonomike është treguesi i ndjesisë ekonomike (TNE) që në muajin maj të vitit 2022 shënoi nivelin 107.2 duke pësuar një rritje prej 4.6 pikësh nga muaji i kaluar dhe një rritje me 3.5 pikë përqindje në krahasim me maj 2021. Niveli aktual </w:t>
      </w:r>
      <w:r w:rsidRPr="00F60B38">
        <w:rPr>
          <w:rFonts w:asciiTheme="minorHAnsi" w:hAnsiTheme="minorHAnsi" w:cstheme="minorHAnsi"/>
          <w:noProof/>
          <w:lang w:val="sq-AL"/>
        </w:rPr>
        <w:lastRenderedPageBreak/>
        <w:t>i TNE-së qëndron 7.2 pikë mbi mesataren afatgjatë  (në nivelin 100), dhe rreth 7.2 pikë përqindje mbi mesataren e 5 viteve të fundit (maj_2017 – maj_2022). Rritja e TNE u përcaktua nga përmirësimi i besimit në pothuaj të gjithë sektorët e ekonomisë, me kontribute më të theksuara nga sektori i shërbimeve dhe i tregtisë. Treguesi i besimit në sektorin e industrisë (TBI) shënoi nivelin -1.4 në maj 2022 (7.3 pikë përqindje më shumë krahasuar me maj 2021), dhe një rritje mujore prej 4.3 pikë përqindje. Treguesi i besimit në sektorin e ndërtimit (TBN) shënoi nivelin -17.3 në maj 2022 (1.4 pikë përqindje më pak krahasuar me maj 2021), dhe duke pësuar një rënie mujore prej 0.6 pikë përqindje. Treguesi i besimit në shërbime (TBSH) shënoi nivelin 26.7 në maj 2022 (17.7 pikë përqindje më shumë krahasuar me maj 2021), dhe duke pësuar një rritje mujore me rreth 7.2 pikë përqindje. Treguesi i besimit të tregtisë shënoi nivelin 9.18, duke pësuar një rënie vjetore prej 0.3 pikë përqindje dhe një rritje mujore me 6.8 pikë përqindje. Treguesi i besimit të konsumatorëve (TBK) shënoi nivelin -34.13 në maj 2022 (7.3 pikë përqindje më pak krahasuar me një vit më parë), dhe duke u rritur me 2.0 pikë përqindje në ndryshim me një muaj më parë</w:t>
      </w:r>
      <w:r w:rsidR="00B31CF7" w:rsidRPr="005C5B2F">
        <w:rPr>
          <w:rFonts w:ascii="Calibri" w:hAnsi="Calibri"/>
          <w:noProof/>
          <w:lang w:val="sq-AL"/>
        </w:rPr>
        <w:t xml:space="preserve">. </w:t>
      </w:r>
    </w:p>
    <w:p w:rsidR="00E239E4" w:rsidRPr="00E239E4" w:rsidRDefault="00E239E4" w:rsidP="00E239E4">
      <w:pPr>
        <w:tabs>
          <w:tab w:val="left" w:pos="2730"/>
        </w:tabs>
        <w:spacing w:after="120" w:line="276" w:lineRule="auto"/>
        <w:jc w:val="both"/>
        <w:rPr>
          <w:rFonts w:asciiTheme="minorHAnsi" w:hAnsiTheme="minorHAnsi" w:cstheme="minorHAnsi"/>
          <w:noProof/>
          <w:sz w:val="8"/>
          <w:lang w:val="sq-AL"/>
        </w:rPr>
      </w:pPr>
    </w:p>
    <w:p w:rsidR="00B31CF7" w:rsidRPr="005C5B2F" w:rsidRDefault="00B31CF7" w:rsidP="00B31CF7">
      <w:pPr>
        <w:autoSpaceDE w:val="0"/>
        <w:autoSpaceDN w:val="0"/>
        <w:adjustRightInd w:val="0"/>
        <w:spacing w:after="120" w:line="276" w:lineRule="auto"/>
        <w:jc w:val="both"/>
        <w:rPr>
          <w:rFonts w:ascii="Calibri" w:hAnsi="Calibri"/>
          <w:i/>
          <w:noProof/>
          <w:u w:val="single"/>
          <w:lang w:val="sq-AL"/>
        </w:rPr>
      </w:pPr>
      <w:r w:rsidRPr="005C5B2F">
        <w:rPr>
          <w:rFonts w:ascii="Calibri" w:hAnsi="Calibri"/>
          <w:i/>
          <w:noProof/>
          <w:u w:val="single"/>
          <w:lang w:val="sq-AL"/>
        </w:rPr>
        <w:t xml:space="preserve">Sektori i jashtëm  </w:t>
      </w:r>
    </w:p>
    <w:p w:rsidR="00B31CF7" w:rsidRPr="00D927AA" w:rsidRDefault="00E239E4" w:rsidP="00067F05">
      <w:pPr>
        <w:autoSpaceDE w:val="0"/>
        <w:autoSpaceDN w:val="0"/>
        <w:adjustRightInd w:val="0"/>
        <w:spacing w:after="120" w:line="276" w:lineRule="auto"/>
        <w:jc w:val="both"/>
        <w:rPr>
          <w:rFonts w:asciiTheme="minorHAnsi" w:hAnsiTheme="minorHAnsi" w:cstheme="minorHAnsi"/>
          <w:noProof/>
          <w:lang w:val="sq-AL"/>
        </w:rPr>
      </w:pPr>
      <w:r w:rsidRPr="00F60B38">
        <w:rPr>
          <w:rFonts w:asciiTheme="minorHAnsi" w:hAnsiTheme="minorHAnsi" w:cstheme="minorHAnsi"/>
          <w:i/>
          <w:noProof/>
          <w:lang w:val="sq-AL"/>
        </w:rPr>
        <w:t>Eksportet e mallrave</w:t>
      </w:r>
      <w:r w:rsidRPr="00F60B38">
        <w:rPr>
          <w:rFonts w:asciiTheme="minorHAnsi" w:hAnsiTheme="minorHAnsi" w:cstheme="minorHAnsi"/>
          <w:noProof/>
          <w:lang w:val="sq-AL"/>
        </w:rPr>
        <w:t xml:space="preserve"> për periudhёn janar - maj 2022 shënuan rritje prej 46% krahasuar me një vit më parë. Gjithashtu vetëm pёr maj 2022, eksportet shёnuan rritje prej 36.8% nё krahasim </w:t>
      </w:r>
      <w:r w:rsidR="00067F05">
        <w:rPr>
          <w:rFonts w:asciiTheme="minorHAnsi" w:hAnsiTheme="minorHAnsi" w:cstheme="minorHAnsi"/>
          <w:noProof/>
          <w:lang w:val="sq-AL"/>
        </w:rPr>
        <w:t>me</w:t>
      </w:r>
      <w:r w:rsidRPr="00F60B38">
        <w:rPr>
          <w:rFonts w:asciiTheme="minorHAnsi" w:hAnsiTheme="minorHAnsi" w:cstheme="minorHAnsi"/>
          <w:noProof/>
          <w:lang w:val="sq-AL"/>
        </w:rPr>
        <w:t xml:space="preserve"> maj 2021. Në maj 2022 eksportet e mallrave arritën vlerën 44.93 miliardë lekë, duke u rritur me 38.6%, krahasuar me një vit më parë. </w:t>
      </w:r>
      <w:r w:rsidRPr="00F60B38">
        <w:rPr>
          <w:rFonts w:asciiTheme="minorHAnsi" w:hAnsiTheme="minorHAnsi" w:cstheme="minorHAnsi"/>
          <w:lang w:val="sq-AL"/>
        </w:rPr>
        <w:t>Rritja vjetore e eksporteve prej 36.8% është ndikuar nga grupet: “Materiale ndërtimi dhe metale” me kontribut +9.1 pikë përqindje “Tekstile dhe këpucë” me +6.7 pikë përqindje, “Minerale, lëndë djegëse, energji elektrike” me +13.1 pikë përqindje</w:t>
      </w:r>
      <w:r w:rsidR="00B31CF7" w:rsidRPr="00D927AA">
        <w:rPr>
          <w:rFonts w:asciiTheme="minorHAnsi" w:hAnsiTheme="minorHAnsi" w:cstheme="minorHAnsi"/>
          <w:lang w:val="sq-AL"/>
        </w:rPr>
        <w:t>.</w:t>
      </w:r>
    </w:p>
    <w:p w:rsidR="00B31CF7" w:rsidRPr="002C40CB" w:rsidRDefault="00B31CF7" w:rsidP="00067F05">
      <w:pPr>
        <w:keepNext/>
        <w:jc w:val="both"/>
        <w:rPr>
          <w:rFonts w:asciiTheme="minorHAnsi" w:hAnsiTheme="minorHAnsi"/>
          <w:i/>
          <w:noProof/>
          <w:sz w:val="22"/>
        </w:rPr>
      </w:pPr>
      <w:bookmarkStart w:id="167" w:name="_Toc107496766"/>
      <w:r w:rsidRPr="002C40CB">
        <w:rPr>
          <w:rFonts w:asciiTheme="minorHAnsi" w:hAnsiTheme="minorHAnsi"/>
          <w:i/>
          <w:noProof/>
          <w:sz w:val="22"/>
        </w:rPr>
        <w:t xml:space="preserve">Tabela </w:t>
      </w:r>
      <w:r w:rsidRPr="002C40CB">
        <w:rPr>
          <w:rFonts w:asciiTheme="minorHAnsi" w:hAnsiTheme="minorHAnsi"/>
          <w:i/>
          <w:noProof/>
          <w:sz w:val="22"/>
        </w:rPr>
        <w:fldChar w:fldCharType="begin"/>
      </w:r>
      <w:r w:rsidRPr="002C40CB">
        <w:rPr>
          <w:rFonts w:asciiTheme="minorHAnsi" w:hAnsiTheme="minorHAnsi"/>
          <w:i/>
          <w:noProof/>
          <w:sz w:val="22"/>
        </w:rPr>
        <w:instrText xml:space="preserve"> SEQ Tabela \* ARABIC </w:instrText>
      </w:r>
      <w:r w:rsidRPr="002C40CB">
        <w:rPr>
          <w:rFonts w:asciiTheme="minorHAnsi" w:hAnsiTheme="minorHAnsi"/>
          <w:i/>
          <w:noProof/>
          <w:sz w:val="22"/>
        </w:rPr>
        <w:fldChar w:fldCharType="separate"/>
      </w:r>
      <w:r w:rsidR="003B2B9B">
        <w:rPr>
          <w:rFonts w:asciiTheme="minorHAnsi" w:hAnsiTheme="minorHAnsi"/>
          <w:i/>
          <w:noProof/>
          <w:sz w:val="22"/>
        </w:rPr>
        <w:t>30</w:t>
      </w:r>
      <w:r w:rsidRPr="002C40CB">
        <w:rPr>
          <w:rFonts w:asciiTheme="minorHAnsi" w:hAnsiTheme="minorHAnsi"/>
          <w:i/>
          <w:noProof/>
          <w:sz w:val="22"/>
        </w:rPr>
        <w:fldChar w:fldCharType="end"/>
      </w:r>
      <w:r w:rsidRPr="002C40CB">
        <w:rPr>
          <w:rFonts w:asciiTheme="minorHAnsi" w:hAnsiTheme="minorHAnsi"/>
          <w:i/>
          <w:noProof/>
          <w:sz w:val="22"/>
        </w:rPr>
        <w:t>: Rritja e eksportit të mallrave, sipas kategorive kryesore</w:t>
      </w:r>
      <w:bookmarkEnd w:id="167"/>
    </w:p>
    <w:p w:rsidR="00B31CF7" w:rsidRDefault="00067F05" w:rsidP="00B31CF7">
      <w:pPr>
        <w:spacing w:before="120" w:after="120" w:line="276" w:lineRule="auto"/>
        <w:contextualSpacing/>
        <w:jc w:val="center"/>
        <w:rPr>
          <w:rFonts w:ascii="Calibri" w:hAnsi="Calibri"/>
          <w:noProof/>
          <w:lang w:val="sq-AL"/>
        </w:rPr>
      </w:pPr>
      <w:r w:rsidRPr="00F60B38">
        <w:rPr>
          <w:rFonts w:asciiTheme="minorHAnsi" w:hAnsiTheme="minorHAnsi" w:cstheme="minorHAnsi"/>
          <w:noProof/>
        </w:rPr>
        <w:drawing>
          <wp:inline distT="0" distB="0" distL="0" distR="0" wp14:anchorId="46838BBA" wp14:editId="3F943D48">
            <wp:extent cx="6096635" cy="1485133"/>
            <wp:effectExtent l="0" t="0" r="0"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09570" cy="1488284"/>
                    </a:xfrm>
                    <a:prstGeom prst="rect">
                      <a:avLst/>
                    </a:prstGeom>
                    <a:noFill/>
                    <a:ln>
                      <a:no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67F05">
        <w:rPr>
          <w:rFonts w:ascii="Calibri" w:hAnsi="Calibri"/>
          <w:i/>
          <w:noProof/>
          <w:sz w:val="20"/>
          <w:szCs w:val="22"/>
          <w:lang w:val="sq-AL"/>
        </w:rPr>
        <w:t>2</w:t>
      </w:r>
    </w:p>
    <w:p w:rsidR="00B31CF7" w:rsidRPr="0065598A" w:rsidRDefault="00B31CF7" w:rsidP="00B31CF7">
      <w:pPr>
        <w:spacing w:before="240" w:line="276" w:lineRule="auto"/>
        <w:rPr>
          <w:rFonts w:ascii="Calibri" w:hAnsi="Calibri"/>
          <w:noProof/>
          <w:lang w:val="sq-AL"/>
        </w:rPr>
      </w:pPr>
      <w:r w:rsidRPr="0065598A">
        <w:rPr>
          <w:rFonts w:ascii="Calibri" w:hAnsi="Calibri"/>
          <w:noProof/>
          <w:lang w:val="sq-AL"/>
        </w:rPr>
        <w:t xml:space="preserve">Në grafikun e mëposhtëm paraqitet rritja mujore e totalit të eksporteve në përqindje, kundrejt të njëjtit muaj të një viti më parë. </w:t>
      </w:r>
    </w:p>
    <w:p w:rsidR="00B31CF7" w:rsidRPr="002C40CB" w:rsidRDefault="00B31CF7" w:rsidP="00067F05">
      <w:pPr>
        <w:rPr>
          <w:rFonts w:asciiTheme="minorHAnsi" w:hAnsiTheme="minorHAnsi"/>
          <w:i/>
          <w:noProof/>
          <w:sz w:val="22"/>
        </w:rPr>
      </w:pPr>
      <w:bookmarkStart w:id="168" w:name="_Toc107498141"/>
      <w:r w:rsidRPr="002C40CB">
        <w:rPr>
          <w:rFonts w:asciiTheme="minorHAnsi" w:hAnsiTheme="minorHAnsi"/>
          <w:i/>
          <w:noProof/>
          <w:sz w:val="22"/>
        </w:rPr>
        <w:t xml:space="preserve">Grafiku </w:t>
      </w:r>
      <w:r w:rsidRPr="002C40CB">
        <w:rPr>
          <w:rFonts w:asciiTheme="minorHAnsi" w:hAnsiTheme="minorHAnsi"/>
          <w:i/>
          <w:noProof/>
          <w:sz w:val="22"/>
        </w:rPr>
        <w:fldChar w:fldCharType="begin"/>
      </w:r>
      <w:r w:rsidRPr="002C40CB">
        <w:rPr>
          <w:rFonts w:asciiTheme="minorHAnsi" w:hAnsiTheme="minorHAnsi"/>
          <w:i/>
          <w:noProof/>
          <w:sz w:val="22"/>
        </w:rPr>
        <w:instrText xml:space="preserve"> SEQ Grafiku \* ARABIC </w:instrText>
      </w:r>
      <w:r w:rsidRPr="002C40CB">
        <w:rPr>
          <w:rFonts w:asciiTheme="minorHAnsi" w:hAnsiTheme="minorHAnsi"/>
          <w:i/>
          <w:noProof/>
          <w:sz w:val="22"/>
        </w:rPr>
        <w:fldChar w:fldCharType="separate"/>
      </w:r>
      <w:r w:rsidR="003B2B9B">
        <w:rPr>
          <w:rFonts w:asciiTheme="minorHAnsi" w:hAnsiTheme="minorHAnsi"/>
          <w:i/>
          <w:noProof/>
          <w:sz w:val="22"/>
        </w:rPr>
        <w:t>50</w:t>
      </w:r>
      <w:r w:rsidRPr="002C40CB">
        <w:rPr>
          <w:rFonts w:asciiTheme="minorHAnsi" w:hAnsiTheme="minorHAnsi"/>
          <w:i/>
          <w:noProof/>
          <w:sz w:val="22"/>
        </w:rPr>
        <w:fldChar w:fldCharType="end"/>
      </w:r>
      <w:r w:rsidRPr="002C40CB">
        <w:rPr>
          <w:rFonts w:asciiTheme="minorHAnsi" w:hAnsiTheme="minorHAnsi"/>
          <w:i/>
          <w:noProof/>
          <w:sz w:val="22"/>
        </w:rPr>
        <w:t>: Rritja mujore e totalit të eksporteve, në përqindje</w:t>
      </w:r>
      <w:bookmarkEnd w:id="168"/>
    </w:p>
    <w:p w:rsidR="00B31CF7" w:rsidRPr="0065598A" w:rsidRDefault="00067F05" w:rsidP="00B31CF7">
      <w:pPr>
        <w:keepNext/>
        <w:jc w:val="center"/>
        <w:rPr>
          <w:rFonts w:ascii="Calibri" w:hAnsi="Calibri"/>
          <w:i/>
          <w:lang w:val="sq-AL"/>
        </w:rPr>
      </w:pPr>
      <w:r w:rsidRPr="00F60B38">
        <w:rPr>
          <w:rFonts w:asciiTheme="minorHAnsi" w:hAnsiTheme="minorHAnsi" w:cstheme="minorHAnsi"/>
          <w:noProof/>
        </w:rPr>
        <w:drawing>
          <wp:inline distT="0" distB="0" distL="0" distR="0" wp14:anchorId="34FFBD69" wp14:editId="52123F35">
            <wp:extent cx="6041390" cy="1749020"/>
            <wp:effectExtent l="0" t="0" r="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45504" cy="1750211"/>
                    </a:xfrm>
                    <a:prstGeom prst="rect">
                      <a:avLst/>
                    </a:prstGeom>
                    <a:noFill/>
                    <a:ln>
                      <a:noFill/>
                    </a:ln>
                  </pic:spPr>
                </pic:pic>
              </a:graphicData>
            </a:graphic>
          </wp:inline>
        </w:drawing>
      </w:r>
    </w:p>
    <w:p w:rsidR="00B31CF7" w:rsidRPr="00CD3BAD" w:rsidRDefault="00B31CF7" w:rsidP="00067F05">
      <w:pPr>
        <w:spacing w:before="120" w:after="120" w:line="276" w:lineRule="auto"/>
        <w:ind w:firstLine="720"/>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67F05">
        <w:rPr>
          <w:rFonts w:ascii="Calibri" w:hAnsi="Calibri"/>
          <w:i/>
          <w:noProof/>
          <w:sz w:val="20"/>
          <w:szCs w:val="22"/>
          <w:lang w:val="sq-AL"/>
        </w:rPr>
        <w:t>2</w:t>
      </w:r>
    </w:p>
    <w:p w:rsidR="00B31CF7" w:rsidRPr="00717846" w:rsidRDefault="00717846" w:rsidP="00717846">
      <w:pPr>
        <w:spacing w:after="120" w:line="276" w:lineRule="auto"/>
        <w:jc w:val="both"/>
        <w:rPr>
          <w:rFonts w:asciiTheme="minorHAnsi" w:hAnsiTheme="minorHAnsi" w:cstheme="minorHAnsi"/>
          <w:bCs/>
          <w:noProof/>
          <w:lang w:val="sq-AL"/>
        </w:rPr>
      </w:pPr>
      <w:r w:rsidRPr="00F60B38">
        <w:rPr>
          <w:rFonts w:asciiTheme="minorHAnsi" w:hAnsiTheme="minorHAnsi" w:cstheme="minorHAnsi"/>
          <w:bCs/>
          <w:i/>
          <w:noProof/>
          <w:lang w:val="sq-AL"/>
        </w:rPr>
        <w:lastRenderedPageBreak/>
        <w:t>Importet e mallrave</w:t>
      </w:r>
      <w:r w:rsidRPr="00F60B38">
        <w:rPr>
          <w:rFonts w:asciiTheme="minorHAnsi" w:hAnsiTheme="minorHAnsi" w:cstheme="minorHAnsi"/>
          <w:bCs/>
          <w:noProof/>
          <w:lang w:val="sq-AL"/>
        </w:rPr>
        <w:t xml:space="preserve"> për periudhёn janar – maj 2022 shënuan rritje prej 27.1% krahasuar me një vit më parё, ndërsa vetëm për maj 2022 importet shënuan rritje vjetore prej 28.6% në krahasim me maj 2021. Në maj 2022 importet e mallrave arritën vlerën 79.4 miliardë lekë duke u rritur me 28.6%, krahasuar me një vit më parë. </w:t>
      </w:r>
      <w:r w:rsidRPr="00F60B38">
        <w:rPr>
          <w:rFonts w:asciiTheme="minorHAnsi" w:hAnsiTheme="minorHAnsi" w:cstheme="minorHAnsi"/>
          <w:lang w:val="sq-AL"/>
        </w:rPr>
        <w:t>Rritja vjetore e importeve prej 27.1% është ndikuar kryesisht nga grupet: “Minerale, lëndë djegëse, energji elektrike” me kontribut +8.9 pikë përqindje, “Makineri, pajisje dhe pjesë këmbimi” me kontribut +5 pikë përqindje, “Ushqime, pije, duhan” me kontribut +4.5 pikë përqindje, “Materiale ndërtimi dhe metale” me kontribut +3.1 pikë përqindje, “Tekstile dhe këpucë” me kontribut 2.4 pikë përqindje.</w:t>
      </w:r>
      <w:r>
        <w:rPr>
          <w:rFonts w:asciiTheme="minorHAnsi" w:hAnsiTheme="minorHAnsi" w:cstheme="minorHAnsi"/>
          <w:lang w:val="sq-AL"/>
        </w:rPr>
        <w:t xml:space="preserve"> </w:t>
      </w:r>
      <w:r w:rsidRPr="00F60B38">
        <w:rPr>
          <w:rFonts w:asciiTheme="minorHAnsi" w:hAnsiTheme="minorHAnsi" w:cstheme="minorHAnsi"/>
          <w:bCs/>
          <w:noProof/>
          <w:lang w:val="sq-AL"/>
        </w:rPr>
        <w:t>Zhvillimet sipas kategorive kryesore të mallrave të importit, si dhe kontributi i tyre në totalin e importeve, paraqiten në tabelën e mëposhtme</w:t>
      </w:r>
    </w:p>
    <w:p w:rsidR="00B31CF7" w:rsidRPr="002C40CB" w:rsidRDefault="00B31CF7" w:rsidP="00B31CF7">
      <w:pPr>
        <w:contextualSpacing/>
        <w:rPr>
          <w:rFonts w:ascii="Calibri" w:hAnsi="Calibri"/>
          <w:i/>
          <w:sz w:val="22"/>
          <w:lang w:val="sq-AL"/>
        </w:rPr>
      </w:pPr>
      <w:bookmarkStart w:id="169" w:name="_Toc107496767"/>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31</w:t>
      </w:r>
      <w:r w:rsidRPr="002C40CB">
        <w:rPr>
          <w:rFonts w:ascii="Calibri" w:hAnsi="Calibri"/>
          <w:i/>
          <w:sz w:val="22"/>
          <w:lang w:val="sq-AL"/>
        </w:rPr>
        <w:fldChar w:fldCharType="end"/>
      </w:r>
      <w:r w:rsidRPr="002C40CB">
        <w:rPr>
          <w:rFonts w:ascii="Calibri" w:hAnsi="Calibri"/>
          <w:i/>
          <w:sz w:val="22"/>
          <w:lang w:val="sq-AL"/>
        </w:rPr>
        <w:t>: Rritja e importit të mallrave, sipas kategorive kryesore</w:t>
      </w:r>
      <w:bookmarkEnd w:id="169"/>
    </w:p>
    <w:p w:rsidR="00B31CF7" w:rsidRPr="0065598A" w:rsidRDefault="00717846" w:rsidP="00717846">
      <w:pPr>
        <w:contextualSpacing/>
        <w:jc w:val="center"/>
        <w:rPr>
          <w:rFonts w:ascii="Calibri" w:hAnsi="Calibri"/>
          <w:noProof/>
          <w:lang w:val="sq-AL"/>
        </w:rPr>
      </w:pPr>
      <w:r w:rsidRPr="00F60B38">
        <w:rPr>
          <w:rFonts w:asciiTheme="minorHAnsi" w:hAnsiTheme="minorHAnsi" w:cstheme="minorHAnsi"/>
          <w:noProof/>
        </w:rPr>
        <w:drawing>
          <wp:inline distT="0" distB="0" distL="0" distR="0" wp14:anchorId="210FBAD5" wp14:editId="737F4A67">
            <wp:extent cx="6114440" cy="17526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5225" cy="1752825"/>
                    </a:xfrm>
                    <a:prstGeom prst="rect">
                      <a:avLst/>
                    </a:prstGeom>
                    <a:noFill/>
                    <a:ln>
                      <a:no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717846">
        <w:rPr>
          <w:rFonts w:ascii="Calibri" w:hAnsi="Calibri"/>
          <w:i/>
          <w:noProof/>
          <w:sz w:val="20"/>
          <w:szCs w:val="22"/>
          <w:lang w:val="sq-AL"/>
        </w:rPr>
        <w:t>2</w:t>
      </w:r>
    </w:p>
    <w:p w:rsidR="00B31CF7" w:rsidRPr="00717846" w:rsidRDefault="00B31CF7" w:rsidP="00B31CF7">
      <w:pPr>
        <w:spacing w:line="276" w:lineRule="auto"/>
        <w:jc w:val="both"/>
        <w:rPr>
          <w:rFonts w:ascii="Calibri" w:hAnsi="Calibri"/>
          <w:noProof/>
          <w:sz w:val="12"/>
          <w:lang w:val="sq-AL"/>
        </w:rPr>
      </w:pPr>
    </w:p>
    <w:p w:rsidR="00B31CF7" w:rsidRDefault="00B31CF7" w:rsidP="00B31CF7">
      <w:pPr>
        <w:spacing w:line="276" w:lineRule="auto"/>
        <w:jc w:val="both"/>
        <w:rPr>
          <w:rFonts w:ascii="Calibri" w:hAnsi="Calibri"/>
          <w:noProof/>
          <w:lang w:val="sq-AL"/>
        </w:rPr>
      </w:pPr>
      <w:r w:rsidRPr="0065598A">
        <w:rPr>
          <w:rFonts w:ascii="Calibri" w:hAnsi="Calibri"/>
          <w:noProof/>
          <w:lang w:val="sq-AL"/>
        </w:rPr>
        <w:t xml:space="preserve">Në grafikun e mëposhtëm paraqitet rritja mujore e totalit të importeve në përqindje, kundrejt të njëjtit muaj të një viti më parë. </w:t>
      </w:r>
    </w:p>
    <w:p w:rsidR="00B31CF7" w:rsidRPr="002257B4" w:rsidRDefault="00B31CF7" w:rsidP="00B31CF7">
      <w:pPr>
        <w:spacing w:line="276" w:lineRule="auto"/>
        <w:jc w:val="both"/>
        <w:rPr>
          <w:rFonts w:ascii="Calibri" w:hAnsi="Calibri"/>
          <w:noProof/>
          <w:sz w:val="8"/>
          <w:lang w:val="sq-AL"/>
        </w:rPr>
      </w:pPr>
    </w:p>
    <w:p w:rsidR="00B31CF7" w:rsidRPr="002C40CB" w:rsidRDefault="00B31CF7" w:rsidP="00717846">
      <w:pPr>
        <w:contextualSpacing/>
        <w:jc w:val="both"/>
        <w:rPr>
          <w:rFonts w:ascii="Calibri" w:hAnsi="Calibri"/>
          <w:i/>
          <w:noProof/>
          <w:sz w:val="22"/>
          <w:lang w:val="sq-AL"/>
        </w:rPr>
      </w:pPr>
      <w:bookmarkStart w:id="170" w:name="_Toc107498142"/>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3B2B9B">
        <w:rPr>
          <w:rFonts w:ascii="Calibri" w:hAnsi="Calibri"/>
          <w:i/>
          <w:noProof/>
          <w:sz w:val="22"/>
          <w:lang w:val="sq-AL"/>
        </w:rPr>
        <w:t>51</w:t>
      </w:r>
      <w:r w:rsidRPr="002C40CB">
        <w:rPr>
          <w:rFonts w:ascii="Calibri" w:hAnsi="Calibri"/>
          <w:i/>
          <w:sz w:val="22"/>
          <w:lang w:val="sq-AL"/>
        </w:rPr>
        <w:fldChar w:fldCharType="end"/>
      </w:r>
      <w:r w:rsidRPr="002C40CB">
        <w:rPr>
          <w:rFonts w:ascii="Calibri" w:hAnsi="Calibri"/>
          <w:i/>
          <w:sz w:val="22"/>
          <w:lang w:val="sq-AL"/>
        </w:rPr>
        <w:t>: Rritja mujore e totalit të importeve, në përqindje</w:t>
      </w:r>
      <w:bookmarkEnd w:id="170"/>
    </w:p>
    <w:p w:rsidR="00B31CF7" w:rsidRDefault="00717846" w:rsidP="00B31CF7">
      <w:pPr>
        <w:spacing w:before="120" w:after="120" w:line="276" w:lineRule="auto"/>
        <w:contextualSpacing/>
        <w:jc w:val="center"/>
        <w:rPr>
          <w:rFonts w:ascii="Calibri" w:hAnsi="Calibri"/>
          <w:noProof/>
          <w:lang w:val="sq-AL"/>
        </w:rPr>
      </w:pPr>
      <w:r w:rsidRPr="00F60B38">
        <w:rPr>
          <w:rFonts w:asciiTheme="minorHAnsi" w:hAnsiTheme="minorHAnsi" w:cstheme="minorHAnsi"/>
          <w:noProof/>
        </w:rPr>
        <w:drawing>
          <wp:inline distT="0" distB="0" distL="0" distR="0" wp14:anchorId="75564721" wp14:editId="09F3A49E">
            <wp:extent cx="6121400" cy="19050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1400" cy="1905000"/>
                    </a:xfrm>
                    <a:prstGeom prst="rect">
                      <a:avLst/>
                    </a:prstGeom>
                    <a:noFill/>
                    <a:ln>
                      <a:no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717846">
        <w:rPr>
          <w:rFonts w:ascii="Calibri" w:hAnsi="Calibri"/>
          <w:i/>
          <w:noProof/>
          <w:sz w:val="20"/>
          <w:szCs w:val="22"/>
          <w:lang w:val="sq-AL"/>
        </w:rPr>
        <w:t>2</w:t>
      </w:r>
    </w:p>
    <w:p w:rsidR="00B31CF7" w:rsidRDefault="00B31CF7" w:rsidP="00B31CF7">
      <w:pPr>
        <w:spacing w:before="240" w:line="276" w:lineRule="auto"/>
        <w:contextualSpacing/>
        <w:jc w:val="both"/>
        <w:rPr>
          <w:rFonts w:ascii="Calibri" w:hAnsi="Calibri"/>
          <w:noProof/>
          <w:lang w:val="sq-AL"/>
        </w:rPr>
      </w:pPr>
    </w:p>
    <w:p w:rsidR="00717846" w:rsidRPr="00F60B38" w:rsidRDefault="00717846" w:rsidP="00717846">
      <w:pPr>
        <w:spacing w:before="240" w:line="276" w:lineRule="auto"/>
        <w:contextualSpacing/>
        <w:jc w:val="both"/>
        <w:rPr>
          <w:rFonts w:asciiTheme="minorHAnsi" w:hAnsiTheme="minorHAnsi" w:cstheme="minorHAnsi"/>
          <w:noProof/>
          <w:lang w:val="sq-AL"/>
        </w:rPr>
      </w:pPr>
      <w:r w:rsidRPr="00F60B38">
        <w:rPr>
          <w:rFonts w:asciiTheme="minorHAnsi" w:hAnsiTheme="minorHAnsi" w:cstheme="minorHAnsi"/>
          <w:noProof/>
          <w:lang w:val="sq-AL"/>
        </w:rPr>
        <w:t>Këto zhvillime në tregtinë e jashtme janë reflektuar dhe tek deficiti tregtar. Gjatë periudhës janar-maj 2022, bilanci tregtar u rrit  me rreth 8.7% krahasuar me të njëjtën periudhë të vitit 2021, ndërsa vetёm pёr muajin maj 2022 bilanci tregtar u rrit me 19.4% krahasuar me muajin maj 2021</w:t>
      </w:r>
      <w:r>
        <w:rPr>
          <w:rFonts w:asciiTheme="minorHAnsi" w:hAnsiTheme="minorHAnsi" w:cstheme="minorHAnsi"/>
          <w:noProof/>
          <w:lang w:val="sq-AL"/>
        </w:rPr>
        <w:t>.</w:t>
      </w:r>
    </w:p>
    <w:p w:rsidR="00B31CF7" w:rsidRPr="0065598A" w:rsidRDefault="00717846" w:rsidP="00717846">
      <w:pPr>
        <w:spacing w:before="240" w:after="120" w:line="276" w:lineRule="auto"/>
        <w:jc w:val="both"/>
        <w:rPr>
          <w:rFonts w:ascii="Calibri" w:hAnsi="Calibri"/>
          <w:noProof/>
          <w:lang w:val="sq-AL"/>
        </w:rPr>
      </w:pPr>
      <w:r w:rsidRPr="00F60B38">
        <w:rPr>
          <w:rFonts w:asciiTheme="minorHAnsi" w:hAnsiTheme="minorHAnsi" w:cstheme="minorHAnsi"/>
          <w:noProof/>
          <w:lang w:val="sq-AL"/>
        </w:rPr>
        <w:t>Deficiti tregtar i këtij muaji është 34.74 miliardë lekë, duke u rritur me 19.4%, krahasuar me muajin maj të vitit 2021 dhe duke u përmirësuar lehtë  me 3%, në krahasim me muajin prillin të vitit 2022. Në pesëmujorin e 2022, deficiti tregtar arriti vlerën 157.88 miliardë lekë, duke u rritur 8.7% krahasuar me të njëjtën periudhë të 2021</w:t>
      </w:r>
      <w:r w:rsidR="00B31CF7" w:rsidRPr="00F440DE">
        <w:rPr>
          <w:rFonts w:ascii="Calibri" w:hAnsi="Calibri"/>
          <w:noProof/>
          <w:lang w:val="sq-AL"/>
        </w:rPr>
        <w:t>.</w:t>
      </w:r>
    </w:p>
    <w:p w:rsidR="00B31CF7" w:rsidRPr="002C40CB" w:rsidRDefault="00B31CF7" w:rsidP="00717846">
      <w:pPr>
        <w:keepNext/>
        <w:tabs>
          <w:tab w:val="left" w:pos="5025"/>
        </w:tabs>
        <w:jc w:val="both"/>
        <w:rPr>
          <w:rFonts w:ascii="Calibri" w:hAnsi="Calibri"/>
          <w:i/>
          <w:sz w:val="22"/>
          <w:lang w:val="sq-AL"/>
        </w:rPr>
      </w:pPr>
      <w:bookmarkStart w:id="171" w:name="_Toc107496768"/>
      <w:r w:rsidRPr="002C40CB">
        <w:rPr>
          <w:rFonts w:ascii="Calibri" w:hAnsi="Calibri"/>
          <w:i/>
          <w:sz w:val="22"/>
          <w:lang w:val="sq-AL"/>
        </w:rPr>
        <w:lastRenderedPageBreak/>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32</w:t>
      </w:r>
      <w:r w:rsidRPr="002C40CB">
        <w:rPr>
          <w:rFonts w:ascii="Calibri" w:hAnsi="Calibri"/>
          <w:i/>
          <w:sz w:val="22"/>
          <w:lang w:val="sq-AL"/>
        </w:rPr>
        <w:fldChar w:fldCharType="end"/>
      </w:r>
      <w:r w:rsidRPr="002C40CB">
        <w:rPr>
          <w:rFonts w:ascii="Calibri" w:hAnsi="Calibri"/>
          <w:i/>
          <w:sz w:val="22"/>
          <w:lang w:val="sq-AL"/>
        </w:rPr>
        <w:t>: Bilanci tregtar, sipas kategorive kryesore</w:t>
      </w:r>
      <w:bookmarkEnd w:id="171"/>
      <w:r w:rsidRPr="002C40CB">
        <w:rPr>
          <w:rFonts w:ascii="Calibri" w:hAnsi="Calibri"/>
          <w:i/>
          <w:sz w:val="22"/>
          <w:lang w:val="sq-AL"/>
        </w:rPr>
        <w:tab/>
      </w:r>
    </w:p>
    <w:p w:rsidR="00B31CF7" w:rsidRPr="0065598A" w:rsidRDefault="00717846" w:rsidP="00717846">
      <w:pPr>
        <w:contextualSpacing/>
        <w:jc w:val="center"/>
        <w:rPr>
          <w:rFonts w:ascii="Calibri" w:hAnsi="Calibri"/>
          <w:noProof/>
          <w:lang w:val="sq-AL"/>
        </w:rPr>
      </w:pPr>
      <w:r w:rsidRPr="00F60B38">
        <w:rPr>
          <w:rFonts w:asciiTheme="minorHAnsi" w:hAnsiTheme="minorHAnsi" w:cstheme="minorHAnsi"/>
          <w:noProof/>
        </w:rPr>
        <w:drawing>
          <wp:inline distT="0" distB="0" distL="0" distR="0" wp14:anchorId="62FEFCF7" wp14:editId="6B3B7914">
            <wp:extent cx="6115050" cy="1478280"/>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1478280"/>
                    </a:xfrm>
                    <a:prstGeom prst="rect">
                      <a:avLst/>
                    </a:prstGeom>
                    <a:noFill/>
                    <a:ln>
                      <a:noFill/>
                    </a:ln>
                  </pic:spPr>
                </pic:pic>
              </a:graphicData>
            </a:graphic>
          </wp:inline>
        </w:drawing>
      </w:r>
    </w:p>
    <w:p w:rsidR="00B31CF7" w:rsidRDefault="00B31CF7" w:rsidP="00B31CF7">
      <w:pPr>
        <w:spacing w:before="120" w:after="120" w:line="276" w:lineRule="auto"/>
        <w:contextualSpacing/>
        <w:rPr>
          <w:rFonts w:ascii="Calibri" w:hAnsi="Calibri"/>
          <w:i/>
          <w:noProof/>
          <w:sz w:val="20"/>
          <w:szCs w:val="22"/>
          <w:lang w:val="sq-AL"/>
        </w:rPr>
      </w:pPr>
      <w:r w:rsidRPr="00FE7976">
        <w:rPr>
          <w:rFonts w:ascii="Calibri" w:hAnsi="Calibri"/>
          <w:i/>
          <w:noProof/>
          <w:sz w:val="20"/>
          <w:szCs w:val="22"/>
          <w:lang w:val="sq-AL"/>
        </w:rPr>
        <w:t>Burimi: INSTAT, Qershor 202</w:t>
      </w:r>
      <w:r w:rsidR="00717846">
        <w:rPr>
          <w:rFonts w:ascii="Calibri" w:hAnsi="Calibri"/>
          <w:i/>
          <w:noProof/>
          <w:sz w:val="20"/>
          <w:szCs w:val="22"/>
          <w:lang w:val="sq-AL"/>
        </w:rPr>
        <w:t>2</w:t>
      </w:r>
    </w:p>
    <w:p w:rsidR="00717846" w:rsidRPr="00FE7976" w:rsidRDefault="00717846" w:rsidP="00B31CF7">
      <w:pPr>
        <w:spacing w:before="120" w:after="120" w:line="276" w:lineRule="auto"/>
        <w:contextualSpacing/>
        <w:rPr>
          <w:rFonts w:ascii="Calibri" w:hAnsi="Calibri"/>
          <w:i/>
          <w:noProof/>
          <w:sz w:val="20"/>
          <w:szCs w:val="22"/>
          <w:lang w:val="sq-AL"/>
        </w:rPr>
      </w:pPr>
    </w:p>
    <w:p w:rsidR="00B31CF7" w:rsidRPr="00FE7976" w:rsidRDefault="00B31CF7" w:rsidP="00B31CF7">
      <w:pPr>
        <w:spacing w:before="120" w:after="120" w:line="276" w:lineRule="auto"/>
        <w:contextualSpacing/>
        <w:rPr>
          <w:rFonts w:ascii="Calibri" w:hAnsi="Calibri"/>
          <w:i/>
          <w:noProof/>
          <w:sz w:val="8"/>
          <w:szCs w:val="22"/>
          <w:lang w:val="sq-AL"/>
        </w:rPr>
      </w:pPr>
    </w:p>
    <w:p w:rsidR="00B31CF7" w:rsidRPr="004872EF" w:rsidRDefault="00B31CF7" w:rsidP="00B31CF7">
      <w:pPr>
        <w:spacing w:before="120" w:after="120" w:line="276" w:lineRule="auto"/>
        <w:jc w:val="both"/>
        <w:rPr>
          <w:rFonts w:asciiTheme="minorHAnsi" w:hAnsiTheme="minorHAnsi"/>
          <w:i/>
          <w:noProof/>
          <w:u w:val="single"/>
          <w:lang w:val="sq-AL"/>
        </w:rPr>
      </w:pPr>
      <w:r w:rsidRPr="004872EF">
        <w:rPr>
          <w:rFonts w:asciiTheme="minorHAnsi" w:hAnsiTheme="minorHAnsi"/>
          <w:i/>
          <w:noProof/>
          <w:u w:val="single"/>
          <w:lang w:val="sq-AL"/>
        </w:rPr>
        <w:t xml:space="preserve">Sektori monetar  </w:t>
      </w:r>
    </w:p>
    <w:p w:rsidR="00B31CF7" w:rsidRPr="0065598A" w:rsidRDefault="00717846" w:rsidP="00B31CF7">
      <w:pPr>
        <w:spacing w:before="120" w:after="120" w:line="276" w:lineRule="auto"/>
        <w:jc w:val="both"/>
        <w:rPr>
          <w:rFonts w:asciiTheme="minorHAnsi" w:hAnsiTheme="minorHAnsi"/>
          <w:lang w:val="sq-AL"/>
        </w:rPr>
      </w:pPr>
      <w:r w:rsidRPr="00F60B38">
        <w:rPr>
          <w:rFonts w:asciiTheme="minorHAnsi" w:hAnsiTheme="minorHAnsi" w:cstheme="minorHAnsi"/>
          <w:lang w:val="da-DK"/>
        </w:rPr>
        <w:t xml:space="preserve">Në muajin Maj 2022 ndryshimi vjetor i indeksit të çmimeve të konsumit është +6.7%, një vit më parë ky ndryshim ishte +1.8%. Ndryshimi mujor i indeksit të çmimeve të konsumit në muajin Maj 2022, krahasuar me Prill 2022, është -0.5%. Inflacioni mesatar pёr periudhёn Janar – Maj 2022 është +5.2%. </w:t>
      </w:r>
      <w:r w:rsidRPr="00F60B38">
        <w:rPr>
          <w:rFonts w:asciiTheme="minorHAnsi" w:hAnsiTheme="minorHAnsi" w:cstheme="minorHAnsi"/>
          <w:noProof/>
          <w:lang w:val="sq-AL"/>
        </w:rPr>
        <w:t>Nё grafikun më poshtë paraqitet ecuria mujore e çmimeve të konsumit për tre vitet e fundit</w:t>
      </w:r>
      <w:r w:rsidR="00B31CF7" w:rsidRPr="0065598A">
        <w:rPr>
          <w:rFonts w:asciiTheme="minorHAnsi" w:hAnsiTheme="minorHAnsi"/>
          <w:noProof/>
          <w:lang w:val="sq-AL"/>
        </w:rPr>
        <w:t>:</w:t>
      </w:r>
    </w:p>
    <w:p w:rsidR="00B31CF7" w:rsidRPr="002C40CB" w:rsidRDefault="00B31CF7" w:rsidP="00B31CF7">
      <w:pPr>
        <w:keepNext/>
        <w:jc w:val="both"/>
        <w:rPr>
          <w:rFonts w:asciiTheme="minorHAnsi" w:hAnsiTheme="minorHAnsi"/>
          <w:i/>
          <w:sz w:val="22"/>
          <w:lang w:val="sq-AL"/>
        </w:rPr>
      </w:pPr>
      <w:bookmarkStart w:id="172" w:name="_Toc107498143"/>
      <w:r w:rsidRPr="002C40CB">
        <w:rPr>
          <w:rFonts w:asciiTheme="minorHAnsi" w:hAnsiTheme="minorHAnsi"/>
          <w:i/>
          <w:sz w:val="22"/>
          <w:lang w:val="sq-AL"/>
        </w:rPr>
        <w:t xml:space="preserve">Grafiku </w:t>
      </w:r>
      <w:r w:rsidRPr="002C40CB">
        <w:rPr>
          <w:rFonts w:asciiTheme="minorHAnsi" w:hAnsiTheme="minorHAnsi"/>
          <w:i/>
          <w:sz w:val="22"/>
          <w:lang w:val="sq-AL"/>
        </w:rPr>
        <w:fldChar w:fldCharType="begin"/>
      </w:r>
      <w:r w:rsidRPr="002C40CB">
        <w:rPr>
          <w:rFonts w:asciiTheme="minorHAnsi" w:hAnsiTheme="minorHAnsi"/>
          <w:i/>
          <w:sz w:val="22"/>
          <w:lang w:val="sq-AL"/>
        </w:rPr>
        <w:instrText xml:space="preserve"> SEQ Grafiku \* ARABIC </w:instrText>
      </w:r>
      <w:r w:rsidRPr="002C40CB">
        <w:rPr>
          <w:rFonts w:asciiTheme="minorHAnsi" w:hAnsiTheme="minorHAnsi"/>
          <w:i/>
          <w:sz w:val="22"/>
          <w:lang w:val="sq-AL"/>
        </w:rPr>
        <w:fldChar w:fldCharType="separate"/>
      </w:r>
      <w:r w:rsidR="003B2B9B">
        <w:rPr>
          <w:rFonts w:asciiTheme="minorHAnsi" w:hAnsiTheme="minorHAnsi"/>
          <w:i/>
          <w:noProof/>
          <w:sz w:val="22"/>
          <w:lang w:val="sq-AL"/>
        </w:rPr>
        <w:t>52</w:t>
      </w:r>
      <w:r w:rsidRPr="002C40CB">
        <w:rPr>
          <w:rFonts w:asciiTheme="minorHAnsi" w:hAnsiTheme="minorHAnsi"/>
          <w:i/>
          <w:sz w:val="22"/>
          <w:lang w:val="sq-AL"/>
        </w:rPr>
        <w:fldChar w:fldCharType="end"/>
      </w:r>
      <w:r w:rsidRPr="002C40CB">
        <w:rPr>
          <w:rFonts w:asciiTheme="minorHAnsi" w:hAnsiTheme="minorHAnsi"/>
          <w:i/>
          <w:sz w:val="22"/>
          <w:lang w:val="sq-AL"/>
        </w:rPr>
        <w:t>: Ndryshimi vjetor i Inflacionit, në përqindje</w:t>
      </w:r>
      <w:bookmarkEnd w:id="172"/>
    </w:p>
    <w:p w:rsidR="00B31CF7" w:rsidRPr="0065598A" w:rsidRDefault="00717846" w:rsidP="00717846">
      <w:pPr>
        <w:jc w:val="center"/>
        <w:rPr>
          <w:rFonts w:ascii="Calibri" w:hAnsi="Calibri"/>
          <w:noProof/>
          <w:lang w:val="sq-AL"/>
        </w:rPr>
      </w:pPr>
      <w:r w:rsidRPr="00F60B38">
        <w:rPr>
          <w:rFonts w:asciiTheme="minorHAnsi" w:hAnsiTheme="minorHAnsi" w:cstheme="minorHAnsi"/>
          <w:noProof/>
        </w:rPr>
        <w:drawing>
          <wp:inline distT="0" distB="0" distL="0" distR="0" wp14:anchorId="63A0DCF0" wp14:editId="2D48D9F3">
            <wp:extent cx="6164580" cy="1592580"/>
            <wp:effectExtent l="0" t="0" r="7620" b="762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4580" cy="1592580"/>
                    </a:xfrm>
                    <a:prstGeom prst="rect">
                      <a:avLst/>
                    </a:prstGeom>
                    <a:noFill/>
                    <a:ln>
                      <a:noFill/>
                    </a:ln>
                  </pic:spPr>
                </pic:pic>
              </a:graphicData>
            </a:graphic>
          </wp:inline>
        </w:drawing>
      </w:r>
    </w:p>
    <w:p w:rsidR="00B31CF7" w:rsidRPr="00FE7976" w:rsidRDefault="00B31CF7" w:rsidP="00B31CF7">
      <w:pPr>
        <w:spacing w:line="276" w:lineRule="auto"/>
        <w:jc w:val="both"/>
        <w:rPr>
          <w:rFonts w:ascii="Calibri" w:hAnsi="Calibri"/>
          <w:i/>
          <w:noProof/>
          <w:sz w:val="20"/>
          <w:szCs w:val="22"/>
          <w:lang w:val="sq-AL"/>
        </w:rPr>
      </w:pPr>
      <w:r w:rsidRPr="00FE7976">
        <w:rPr>
          <w:rFonts w:ascii="Calibri" w:hAnsi="Calibri"/>
          <w:i/>
          <w:noProof/>
          <w:sz w:val="20"/>
          <w:szCs w:val="22"/>
          <w:lang w:val="sq-AL"/>
        </w:rPr>
        <w:t>Burimi: INSTAT, Qershor 2021</w:t>
      </w:r>
    </w:p>
    <w:p w:rsidR="00B31CF7" w:rsidRPr="00717846" w:rsidRDefault="00B31CF7" w:rsidP="00B31CF7">
      <w:pPr>
        <w:spacing w:line="276" w:lineRule="auto"/>
        <w:jc w:val="both"/>
        <w:rPr>
          <w:rFonts w:ascii="Calibri" w:hAnsi="Calibri"/>
          <w:noProof/>
          <w:sz w:val="16"/>
          <w:lang w:val="sq-AL"/>
        </w:rPr>
      </w:pPr>
    </w:p>
    <w:p w:rsidR="00B31CF7" w:rsidRDefault="00717846" w:rsidP="00B31CF7">
      <w:pPr>
        <w:spacing w:line="276" w:lineRule="auto"/>
        <w:jc w:val="both"/>
        <w:rPr>
          <w:rFonts w:ascii="Calibri" w:hAnsi="Calibri"/>
          <w:noProof/>
          <w:lang w:val="sq-AL"/>
        </w:rPr>
      </w:pPr>
      <w:r w:rsidRPr="00F60B38">
        <w:rPr>
          <w:rFonts w:asciiTheme="minorHAnsi" w:hAnsiTheme="minorHAnsi" w:cstheme="minorHAnsi"/>
          <w:noProof/>
          <w:lang w:val="sq-AL"/>
        </w:rPr>
        <w:t>Pёrgjatё kёsaj periudhe, nga tërësia e mallrave dhe shërbimeve që përbëjnë shportën e konsumit, kontributin mё tё lartё nё inflacionin e pёrgjithshёm e ka pasur zёri i ushqimeve dhe pije jo alkoolike. Në tabelën e mëposhtme mund të vihen re kontributet dhe rritjet respektive në çmime për çdo grup mallrash pёr muajin maj 2022</w:t>
      </w:r>
      <w:r w:rsidR="00B31CF7" w:rsidRPr="0065598A">
        <w:rPr>
          <w:rFonts w:ascii="Calibri" w:hAnsi="Calibri"/>
          <w:noProof/>
          <w:lang w:val="sq-AL"/>
        </w:rPr>
        <w:t>.</w:t>
      </w:r>
    </w:p>
    <w:p w:rsidR="00B31CF7" w:rsidRPr="002257B4" w:rsidRDefault="00B31CF7" w:rsidP="00B31CF7">
      <w:pPr>
        <w:spacing w:line="276" w:lineRule="auto"/>
        <w:jc w:val="both"/>
        <w:rPr>
          <w:rFonts w:ascii="Calibri" w:hAnsi="Calibri"/>
          <w:noProof/>
          <w:sz w:val="8"/>
          <w:szCs w:val="8"/>
          <w:lang w:val="sq-AL"/>
        </w:rPr>
      </w:pPr>
    </w:p>
    <w:p w:rsidR="00B31CF7" w:rsidRPr="002C40CB" w:rsidRDefault="00B31CF7" w:rsidP="00B31CF7">
      <w:pPr>
        <w:keepNext/>
        <w:jc w:val="both"/>
        <w:rPr>
          <w:rFonts w:ascii="Calibri" w:hAnsi="Calibri"/>
          <w:i/>
          <w:sz w:val="22"/>
          <w:lang w:val="sq-AL"/>
        </w:rPr>
      </w:pPr>
      <w:bookmarkStart w:id="173" w:name="_Toc107496769"/>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33</w:t>
      </w:r>
      <w:r w:rsidRPr="002C40CB">
        <w:rPr>
          <w:rFonts w:ascii="Calibri" w:hAnsi="Calibri"/>
          <w:i/>
          <w:sz w:val="22"/>
          <w:lang w:val="sq-AL"/>
        </w:rPr>
        <w:fldChar w:fldCharType="end"/>
      </w:r>
      <w:r w:rsidRPr="002C40CB">
        <w:rPr>
          <w:rFonts w:ascii="Calibri" w:hAnsi="Calibri"/>
          <w:i/>
          <w:sz w:val="22"/>
          <w:lang w:val="sq-AL"/>
        </w:rPr>
        <w:t>: Rritja vjetore e çmimeve, në përqindje</w:t>
      </w:r>
      <w:bookmarkEnd w:id="173"/>
    </w:p>
    <w:p w:rsidR="00B31CF7" w:rsidRPr="00C0650B" w:rsidRDefault="002454B1" w:rsidP="002454B1">
      <w:pPr>
        <w:spacing w:line="276" w:lineRule="auto"/>
        <w:jc w:val="both"/>
        <w:rPr>
          <w:rFonts w:asciiTheme="minorHAnsi" w:hAnsiTheme="minorHAnsi"/>
          <w:noProof/>
          <w:lang w:val="sq-AL"/>
        </w:rPr>
      </w:pPr>
      <w:r w:rsidRPr="00F60B38">
        <w:rPr>
          <w:rFonts w:asciiTheme="minorHAnsi" w:hAnsiTheme="minorHAnsi" w:cstheme="minorHAnsi"/>
          <w:noProof/>
        </w:rPr>
        <w:drawing>
          <wp:anchor distT="0" distB="0" distL="114300" distR="114300" simplePos="0" relativeHeight="251670016" behindDoc="0" locked="0" layoutInCell="1" allowOverlap="1" wp14:anchorId="5EDE154B" wp14:editId="08E3CC2B">
            <wp:simplePos x="0" y="0"/>
            <wp:positionH relativeFrom="column">
              <wp:posOffset>41910</wp:posOffset>
            </wp:positionH>
            <wp:positionV relativeFrom="paragraph">
              <wp:posOffset>52705</wp:posOffset>
            </wp:positionV>
            <wp:extent cx="3101340" cy="1584960"/>
            <wp:effectExtent l="0" t="0" r="381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134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846" w:rsidRPr="00F60B38">
        <w:rPr>
          <w:rFonts w:asciiTheme="minorHAnsi" w:hAnsiTheme="minorHAnsi" w:cstheme="minorHAnsi"/>
          <w:noProof/>
          <w:lang w:val="sq-AL"/>
        </w:rPr>
        <w:t xml:space="preserve">Rezultatet e Vrojtimit të Aktivitetit Kreditues për tremujorin e parë të vitit 2022 tregojnë se standardet e kreditimit për bizneset u shtrënguan </w:t>
      </w:r>
      <w:r w:rsidR="00717846" w:rsidRPr="00F60B38">
        <w:rPr>
          <w:rFonts w:asciiTheme="minorHAnsi" w:hAnsiTheme="minorHAnsi" w:cstheme="minorHAnsi"/>
          <w:lang w:val="sq-AL"/>
        </w:rPr>
        <w:t>vetëm në segmentin e biznesit të vogël e të mesëm</w:t>
      </w:r>
      <w:r w:rsidR="00717846" w:rsidRPr="00F60B38">
        <w:rPr>
          <w:rFonts w:asciiTheme="minorHAnsi" w:hAnsiTheme="minorHAnsi" w:cstheme="minorHAnsi"/>
          <w:noProof/>
          <w:lang w:val="sq-AL"/>
        </w:rPr>
        <w:t xml:space="preserve"> në tremujorin e parë të vitit 2022,</w:t>
      </w:r>
      <w:r w:rsidR="00717846" w:rsidRPr="00F60B38">
        <w:rPr>
          <w:rFonts w:asciiTheme="minorHAnsi" w:hAnsiTheme="minorHAnsi" w:cstheme="minorHAnsi"/>
          <w:lang w:val="sq-AL"/>
        </w:rPr>
        <w:t xml:space="preserve"> si pasojë e ecurisë së çmimeve në tregjet ndërkombëtare e ato vendase, ka nxitur bankat të jenë disi më konservatore n</w:t>
      </w:r>
      <w:r>
        <w:rPr>
          <w:rFonts w:asciiTheme="minorHAnsi" w:hAnsiTheme="minorHAnsi" w:cstheme="minorHAnsi"/>
          <w:lang w:val="sq-AL"/>
        </w:rPr>
        <w:t xml:space="preserve">daj këtij segmenti të biznesit. </w:t>
      </w:r>
      <w:r w:rsidR="00717846" w:rsidRPr="00F60B38">
        <w:rPr>
          <w:rFonts w:asciiTheme="minorHAnsi" w:hAnsiTheme="minorHAnsi" w:cstheme="minorHAnsi"/>
          <w:lang w:val="sq-AL"/>
        </w:rPr>
        <w:t>Nga ana tjetër, standardet e kreditimit nuk ndryshuan për segmentin e biznesit të madh. Standardet e kreditimit për individët u lehtësuan në tremujorin e parë. Njëkohësisht, bankat lehtësuan edhe kushtet e termat për kreditë e reja akorduar individëve.</w:t>
      </w:r>
      <w:r w:rsidR="00717846">
        <w:rPr>
          <w:rFonts w:asciiTheme="minorHAnsi" w:hAnsiTheme="minorHAnsi" w:cstheme="minorHAnsi"/>
          <w:lang w:val="sq-AL"/>
        </w:rPr>
        <w:t xml:space="preserve"> </w:t>
      </w:r>
      <w:r w:rsidR="00717846" w:rsidRPr="00F60B38">
        <w:rPr>
          <w:rFonts w:asciiTheme="minorHAnsi" w:hAnsiTheme="minorHAnsi" w:cstheme="minorHAnsi"/>
          <w:noProof/>
          <w:lang w:val="sq-AL"/>
        </w:rPr>
        <w:t>Bankat raportuan për një shtrëngim të standardeve për kredinë dhënë bizneseve gjatë tremujorit të parë të 2022 në niveli 5.7% për</w:t>
      </w:r>
      <w:r w:rsidR="00717846" w:rsidRPr="00F60B38">
        <w:rPr>
          <w:rFonts w:asciiTheme="minorHAnsi" w:hAnsiTheme="minorHAnsi" w:cstheme="minorHAnsi"/>
          <w:lang w:val="sq-AL"/>
        </w:rPr>
        <w:t xml:space="preserve"> biznesin e vogël dhe të mesëm për biznesin e madh nuk pati ndryshim, për kredinë </w:t>
      </w:r>
      <w:r w:rsidR="00717846" w:rsidRPr="00F60B38">
        <w:rPr>
          <w:rFonts w:asciiTheme="minorHAnsi" w:hAnsiTheme="minorHAnsi" w:cstheme="minorHAnsi"/>
          <w:lang w:val="sq-AL"/>
        </w:rPr>
        <w:lastRenderedPageBreak/>
        <w:t xml:space="preserve">dhënë me qëllim investimi u shtrëngua në nivelin -8.1%, dhe për likuiditete nuk pati ndryshim. Gjithashtu, edhe </w:t>
      </w:r>
      <w:r w:rsidR="00717846" w:rsidRPr="00F60B38">
        <w:rPr>
          <w:rFonts w:asciiTheme="minorHAnsi" w:hAnsiTheme="minorHAnsi" w:cstheme="minorHAnsi"/>
          <w:lang w:val="sq-AL" w:eastAsia="sq-AL"/>
        </w:rPr>
        <w:t xml:space="preserve">kërkesa e individëve për kredi u perceptua e lartë në tremujorin e parë të vitit, nxitur kryesisht nga kredia për blerjen e banesave. </w:t>
      </w:r>
      <w:r w:rsidR="00717846" w:rsidRPr="00F60B38">
        <w:rPr>
          <w:rFonts w:asciiTheme="minorHAnsi" w:hAnsiTheme="minorHAnsi" w:cstheme="minorHAnsi"/>
          <w:noProof/>
          <w:lang w:val="sq-AL"/>
        </w:rPr>
        <w:t>Për individët, bankat raportuan se përgjatë tremujorit të parë kërkesa për kredi për shtëpi shënoi një rritje prej +22.6%, nga një rënie e lehtë prej -0.5% të shënuar në tremujorin e katërt të vitit 2021. Ndërkohë, për kredinë e individëve për konsum u raportua një rënie prej -3.5%, nga niveli prej 0.9% që u shënua në tremujorin e mëparshëm.</w:t>
      </w:r>
      <w:r w:rsidR="00391209">
        <w:rPr>
          <w:rFonts w:asciiTheme="minorHAnsi" w:hAnsiTheme="minorHAnsi" w:cstheme="minorHAnsi"/>
          <w:noProof/>
          <w:lang w:val="sq-AL"/>
        </w:rPr>
        <w:t xml:space="preserve"> </w:t>
      </w:r>
      <w:r w:rsidR="00717846" w:rsidRPr="00F60B38">
        <w:rPr>
          <w:rFonts w:asciiTheme="minorHAnsi" w:hAnsiTheme="minorHAnsi" w:cstheme="minorHAnsi"/>
          <w:noProof/>
          <w:lang w:val="sq-AL"/>
        </w:rPr>
        <w:t xml:space="preserve">Referuar tё dhёnave tё deritanishme, gjatë muajit prill të vitit 2022  stoku total i depozitave bankare ka shënuar rritje me 8.9% krahasuar me prillin e vitit 2021. Stoku total i depozitave në Lekë pësoi rritje me 2.8%, ndërsa ai në valutë është rritur me 14.1% krahasuar me të njëjtin muaj të vitit 2021. Në muajin prill 2022 rezulton se rreth 43.8% e totalit të stokut të depozitave përbëhet nga depozitat në Lekë, ndërsa pjesa tjetër prej 56.2% përbëhet nga depozitimet në valutë të huaj. Stoku total i depozitave vetëm për muajin Prill 2022 shënoi rritje me 0.9 miliardë Lekë kundrejt muajit paraardhës (Mars 2022). Stoku total i depozitave të bizneseve në muajin Prill të vitit 2022 shënoi rritje prej 20.4% krahasuar me Prillin e vitit 2021, ndërsa stoku total i depozitave të individëve ka shënuar rritje prej 6.0% krahasuar me </w:t>
      </w:r>
      <w:r>
        <w:rPr>
          <w:rFonts w:asciiTheme="minorHAnsi" w:hAnsiTheme="minorHAnsi" w:cstheme="minorHAnsi"/>
          <w:noProof/>
          <w:lang w:val="sq-AL"/>
        </w:rPr>
        <w:t>Prill 2021</w:t>
      </w:r>
      <w:r w:rsidR="00B31CF7" w:rsidRPr="00C0650B">
        <w:rPr>
          <w:rFonts w:asciiTheme="minorHAnsi" w:hAnsiTheme="minorHAnsi"/>
          <w:noProof/>
          <w:lang w:val="sq-AL"/>
        </w:rPr>
        <w:t>.</w:t>
      </w:r>
    </w:p>
    <w:p w:rsidR="00B31CF7" w:rsidRPr="002257B4" w:rsidRDefault="00B31CF7" w:rsidP="002454B1">
      <w:pPr>
        <w:keepNext/>
        <w:spacing w:line="276" w:lineRule="auto"/>
        <w:jc w:val="both"/>
        <w:rPr>
          <w:rFonts w:ascii="Calibri" w:hAnsi="Calibri"/>
          <w:i/>
          <w:sz w:val="8"/>
          <w:szCs w:val="8"/>
          <w:lang w:val="sq-AL"/>
        </w:rPr>
      </w:pPr>
    </w:p>
    <w:p w:rsidR="00B31CF7" w:rsidRPr="002C40CB" w:rsidRDefault="00B31CF7" w:rsidP="00B31CF7">
      <w:pPr>
        <w:keepNext/>
        <w:jc w:val="both"/>
        <w:rPr>
          <w:rFonts w:ascii="Calibri" w:hAnsi="Calibri"/>
          <w:i/>
          <w:sz w:val="22"/>
          <w:lang w:val="sq-AL"/>
        </w:rPr>
      </w:pPr>
      <w:bookmarkStart w:id="174" w:name="_Toc107498144"/>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3B2B9B">
        <w:rPr>
          <w:rFonts w:ascii="Calibri" w:hAnsi="Calibri"/>
          <w:i/>
          <w:noProof/>
          <w:sz w:val="22"/>
          <w:lang w:val="sq-AL"/>
        </w:rPr>
        <w:t>53</w:t>
      </w:r>
      <w:r w:rsidRPr="002C40CB">
        <w:rPr>
          <w:rFonts w:ascii="Calibri" w:hAnsi="Calibri"/>
          <w:i/>
          <w:sz w:val="22"/>
          <w:lang w:val="sq-AL"/>
        </w:rPr>
        <w:fldChar w:fldCharType="end"/>
      </w:r>
      <w:r w:rsidRPr="002C40CB">
        <w:rPr>
          <w:rFonts w:ascii="Calibri" w:hAnsi="Calibri"/>
          <w:i/>
          <w:sz w:val="22"/>
          <w:lang w:val="sq-AL"/>
        </w:rPr>
        <w:t>: Ecuria e stokut të depozitave 202</w:t>
      </w:r>
      <w:r w:rsidR="00717846">
        <w:rPr>
          <w:rFonts w:ascii="Calibri" w:hAnsi="Calibri"/>
          <w:i/>
          <w:sz w:val="22"/>
          <w:lang w:val="sq-AL"/>
        </w:rPr>
        <w:t>1</w:t>
      </w:r>
      <w:r w:rsidRPr="002C40CB">
        <w:rPr>
          <w:rFonts w:ascii="Calibri" w:hAnsi="Calibri"/>
          <w:i/>
          <w:sz w:val="22"/>
          <w:lang w:val="sq-AL"/>
        </w:rPr>
        <w:t>-202</w:t>
      </w:r>
      <w:r w:rsidR="00717846">
        <w:rPr>
          <w:rFonts w:ascii="Calibri" w:hAnsi="Calibri"/>
          <w:i/>
          <w:sz w:val="22"/>
          <w:lang w:val="sq-AL"/>
        </w:rPr>
        <w:t>2</w:t>
      </w:r>
      <w:r w:rsidRPr="002C40CB">
        <w:rPr>
          <w:rFonts w:ascii="Calibri" w:hAnsi="Calibri"/>
          <w:i/>
          <w:sz w:val="22"/>
          <w:lang w:val="sq-AL"/>
        </w:rPr>
        <w:t>, në përqindje</w:t>
      </w:r>
      <w:bookmarkEnd w:id="174"/>
      <w:r w:rsidRPr="002C40CB">
        <w:rPr>
          <w:rFonts w:ascii="Calibri" w:hAnsi="Calibri"/>
          <w:i/>
          <w:sz w:val="22"/>
          <w:lang w:val="sq-AL"/>
        </w:rPr>
        <w:t xml:space="preserve"> </w:t>
      </w:r>
    </w:p>
    <w:p w:rsidR="00B31CF7" w:rsidRDefault="002454B1" w:rsidP="002454B1">
      <w:pPr>
        <w:jc w:val="both"/>
        <w:rPr>
          <w:rFonts w:asciiTheme="minorHAnsi" w:hAnsiTheme="minorHAnsi"/>
          <w:noProof/>
          <w:lang w:val="sq-AL"/>
        </w:rPr>
      </w:pPr>
      <w:r w:rsidRPr="00F60B38">
        <w:rPr>
          <w:rFonts w:asciiTheme="minorHAnsi" w:hAnsiTheme="minorHAnsi" w:cstheme="minorHAnsi"/>
          <w:noProof/>
        </w:rPr>
        <w:drawing>
          <wp:anchor distT="0" distB="0" distL="114300" distR="114300" simplePos="0" relativeHeight="251668992" behindDoc="0" locked="0" layoutInCell="1" allowOverlap="1" wp14:anchorId="007E7353" wp14:editId="0E1AD580">
            <wp:simplePos x="0" y="0"/>
            <wp:positionH relativeFrom="column">
              <wp:posOffset>57150</wp:posOffset>
            </wp:positionH>
            <wp:positionV relativeFrom="paragraph">
              <wp:posOffset>62865</wp:posOffset>
            </wp:positionV>
            <wp:extent cx="3291840" cy="1866900"/>
            <wp:effectExtent l="0" t="0" r="381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9184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7846" w:rsidRPr="00F60B38">
        <w:rPr>
          <w:rFonts w:asciiTheme="minorHAnsi" w:hAnsiTheme="minorHAnsi" w:cstheme="minorHAnsi"/>
          <w:noProof/>
          <w:lang w:val="sq-AL"/>
        </w:rPr>
        <w:t>Referuar të dhënave të deritanishme, gjatë muajit prill të vitit 2022, stoku total i kredive bankare pati një rritje me 12.1%, krahasuar me muajin prill të vitit 2021. Stoku i kredive në lekë shënoi një rritje prej 8.8%, ndërsa ai në valutë rritje prej 15.9%, krahasuar me muajin prill të vitit të kaluar. Stoku i kredive akorduar bizneseve jo-financiare (private dhe publike) për muajin prill 2022 shënoi një rritje me 11.5%. Kredia vetëm për bizneset private jo-financiare u rrit me 9.2%, duke kontribuar pozitivisht me 5.6 pikë përqindje në ndryshimin e stokut total të kredisë. Ndërsa, stoku i kredive akorduar bizneseve publike jo-financiare për muajin Prill të vitit 2022 ka shënuar rritje me 76.1%, krahasuar me prillin e vitit 2021, duke kontribuar pozitivisht prej 1.6 pikë përqindje. Në prill 2022 rezulton se rreth 51.5% e totalit të stokut të kredive përbëhet nga kreditë në Lekë, ndërsa pjesa tjetër prej 48.5% përbëhet nga kreditë në valutë</w:t>
      </w:r>
      <w:r w:rsidR="00B31CF7" w:rsidRPr="00CA71C5">
        <w:rPr>
          <w:rFonts w:asciiTheme="minorHAnsi" w:hAnsiTheme="minorHAnsi"/>
          <w:noProof/>
          <w:lang w:val="sq-AL"/>
        </w:rPr>
        <w:t xml:space="preserve">. </w:t>
      </w:r>
    </w:p>
    <w:p w:rsidR="002454B1" w:rsidRPr="002454B1" w:rsidRDefault="002454B1" w:rsidP="002454B1">
      <w:pPr>
        <w:jc w:val="both"/>
        <w:rPr>
          <w:rFonts w:asciiTheme="minorHAnsi" w:hAnsiTheme="minorHAnsi"/>
          <w:noProof/>
          <w:sz w:val="12"/>
          <w:lang w:val="sq-AL"/>
        </w:rPr>
      </w:pPr>
    </w:p>
    <w:p w:rsidR="00B31CF7" w:rsidRPr="002C40CB" w:rsidRDefault="00B31CF7" w:rsidP="00B31CF7">
      <w:pPr>
        <w:keepNext/>
        <w:jc w:val="both"/>
        <w:rPr>
          <w:rFonts w:ascii="Calibri" w:hAnsi="Calibri"/>
          <w:i/>
          <w:sz w:val="22"/>
          <w:lang w:val="sq-AL"/>
        </w:rPr>
      </w:pPr>
      <w:bookmarkStart w:id="175" w:name="_Toc107496770"/>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34</w:t>
      </w:r>
      <w:r w:rsidRPr="002C40CB">
        <w:rPr>
          <w:rFonts w:ascii="Calibri" w:hAnsi="Calibri"/>
          <w:i/>
          <w:sz w:val="22"/>
          <w:lang w:val="sq-AL"/>
        </w:rPr>
        <w:fldChar w:fldCharType="end"/>
      </w:r>
      <w:r w:rsidRPr="002C40CB">
        <w:rPr>
          <w:rFonts w:ascii="Calibri" w:hAnsi="Calibri"/>
          <w:i/>
          <w:sz w:val="22"/>
          <w:lang w:val="sq-AL"/>
        </w:rPr>
        <w:t>: Ecuria e kredisë për bizneset dhe individët, në përqindje</w:t>
      </w:r>
      <w:bookmarkEnd w:id="175"/>
    </w:p>
    <w:p w:rsidR="00B31CF7" w:rsidRDefault="00301600" w:rsidP="00F256DB">
      <w:pPr>
        <w:jc w:val="center"/>
        <w:rPr>
          <w:rFonts w:ascii="Calibri" w:hAnsi="Calibri"/>
          <w:noProof/>
          <w:lang w:val="sq-AL"/>
        </w:rPr>
      </w:pPr>
      <w:r w:rsidRPr="00F60B38">
        <w:rPr>
          <w:rFonts w:asciiTheme="minorHAnsi" w:hAnsiTheme="minorHAnsi" w:cstheme="minorHAnsi"/>
          <w:i/>
          <w:noProof/>
          <w:sz w:val="22"/>
        </w:rPr>
        <w:drawing>
          <wp:inline distT="0" distB="0" distL="0" distR="0" wp14:anchorId="367D58A2" wp14:editId="01BE089F">
            <wp:extent cx="6082665" cy="118872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2665" cy="1188720"/>
                    </a:xfrm>
                    <a:prstGeom prst="rect">
                      <a:avLst/>
                    </a:prstGeom>
                    <a:noFill/>
                  </pic:spPr>
                </pic:pic>
              </a:graphicData>
            </a:graphic>
          </wp:inline>
        </w:drawing>
      </w:r>
    </w:p>
    <w:p w:rsidR="00301600" w:rsidRPr="00301600" w:rsidRDefault="00301600"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 xml:space="preserve">Burimi: Banka e Shqipërisë, Maj 2022 </w:t>
      </w:r>
    </w:p>
    <w:p w:rsidR="00B31CF7" w:rsidRPr="00301600" w:rsidRDefault="00B31CF7" w:rsidP="00B31CF7">
      <w:pPr>
        <w:spacing w:line="276" w:lineRule="auto"/>
        <w:jc w:val="both"/>
        <w:rPr>
          <w:rFonts w:ascii="Calibri" w:hAnsi="Calibri"/>
          <w:noProof/>
          <w:sz w:val="8"/>
          <w:lang w:val="sq-AL"/>
        </w:rPr>
      </w:pPr>
    </w:p>
    <w:p w:rsidR="00B31CF7" w:rsidRPr="007F0065" w:rsidRDefault="00301600" w:rsidP="00B31CF7">
      <w:pPr>
        <w:spacing w:line="276" w:lineRule="auto"/>
        <w:jc w:val="both"/>
        <w:rPr>
          <w:rFonts w:asciiTheme="minorHAnsi" w:hAnsiTheme="minorHAnsi" w:cstheme="minorHAnsi"/>
          <w:noProof/>
          <w:lang w:val="sq-AL"/>
        </w:rPr>
      </w:pPr>
      <w:r w:rsidRPr="00F60B38">
        <w:rPr>
          <w:rFonts w:asciiTheme="minorHAnsi" w:hAnsiTheme="minorHAnsi" w:cstheme="minorHAnsi"/>
          <w:noProof/>
          <w:lang w:val="sq-AL"/>
        </w:rPr>
        <w:t>Gjatë muajit Prill të vitit 2022, sasia e re e kredisë së dhënë nga sistemi bankar në Lek shënoi rënie me 28.7% kundrejt muajit paraardhës (mars 2022) dhe një rritje me 20.0% kundrejt të njëjtit muaj të një viti më parë (prill 2021). Ndërkohë, sasia e re e kredisë së dhënë në Euro u zvogëlua me 1% krahasuar me mars 2022, dhe u rrit me 54.7%, krahasuar me prill 2021. Niveli i kredive me probleme ndaj totalit të kredive në fund të muajit prill 2021 arriti në 5.24%</w:t>
      </w:r>
      <w:r w:rsidR="00B31CF7" w:rsidRPr="007F0065">
        <w:rPr>
          <w:rFonts w:asciiTheme="minorHAnsi" w:hAnsiTheme="minorHAnsi" w:cstheme="minorHAnsi"/>
          <w:noProof/>
          <w:lang w:val="sq-AL"/>
        </w:rPr>
        <w:t>.</w:t>
      </w:r>
    </w:p>
    <w:p w:rsidR="00B31CF7" w:rsidRPr="002C40CB" w:rsidRDefault="00B31CF7" w:rsidP="00B31CF7">
      <w:pPr>
        <w:spacing w:line="276" w:lineRule="auto"/>
        <w:jc w:val="both"/>
        <w:rPr>
          <w:rFonts w:ascii="Calibri" w:hAnsi="Calibri"/>
          <w:noProof/>
          <w:sz w:val="8"/>
          <w:lang w:val="sq-AL"/>
        </w:rPr>
      </w:pPr>
    </w:p>
    <w:p w:rsidR="00B31CF7" w:rsidRPr="002C40CB" w:rsidRDefault="00B31CF7" w:rsidP="00B31CF7">
      <w:pPr>
        <w:spacing w:line="276" w:lineRule="auto"/>
        <w:jc w:val="both"/>
        <w:rPr>
          <w:rFonts w:ascii="Calibri" w:hAnsi="Calibri"/>
          <w:i/>
          <w:noProof/>
          <w:sz w:val="22"/>
          <w:lang w:val="sq-AL"/>
        </w:rPr>
      </w:pPr>
      <w:bookmarkStart w:id="176" w:name="_Toc107496771"/>
      <w:r w:rsidRPr="002C40CB">
        <w:rPr>
          <w:rFonts w:ascii="Calibri" w:hAnsi="Calibri"/>
          <w:i/>
          <w:sz w:val="22"/>
          <w:lang w:val="sq-AL"/>
        </w:rPr>
        <w:lastRenderedPageBreak/>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35</w:t>
      </w:r>
      <w:r w:rsidRPr="002C40CB">
        <w:rPr>
          <w:rFonts w:ascii="Calibri" w:hAnsi="Calibri"/>
          <w:i/>
          <w:sz w:val="22"/>
          <w:lang w:val="sq-AL"/>
        </w:rPr>
        <w:fldChar w:fldCharType="end"/>
      </w:r>
      <w:r w:rsidRPr="002C40CB">
        <w:rPr>
          <w:rFonts w:ascii="Calibri" w:hAnsi="Calibri"/>
          <w:i/>
          <w:sz w:val="22"/>
          <w:lang w:val="sq-AL"/>
        </w:rPr>
        <w:t>: Ecuria e kredive të këqija, në përqindje</w:t>
      </w:r>
      <w:bookmarkEnd w:id="176"/>
    </w:p>
    <w:p w:rsidR="00B31CF7" w:rsidRPr="0065598A" w:rsidRDefault="00F256DB" w:rsidP="00F256DB">
      <w:pPr>
        <w:jc w:val="center"/>
        <w:rPr>
          <w:rFonts w:ascii="Calibri" w:hAnsi="Calibri"/>
          <w:noProof/>
          <w:lang w:val="sq-AL"/>
        </w:rPr>
      </w:pPr>
      <w:r w:rsidRPr="00F60B38">
        <w:rPr>
          <w:rFonts w:asciiTheme="minorHAnsi" w:hAnsiTheme="minorHAnsi" w:cstheme="minorHAnsi"/>
          <w:i/>
          <w:noProof/>
          <w:sz w:val="22"/>
        </w:rPr>
        <w:drawing>
          <wp:inline distT="0" distB="0" distL="0" distR="0" wp14:anchorId="725D7BBF" wp14:editId="0761533E">
            <wp:extent cx="5937885" cy="810895"/>
            <wp:effectExtent l="0" t="0" r="5715"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810895"/>
                    </a:xfrm>
                    <a:prstGeom prst="rect">
                      <a:avLst/>
                    </a:prstGeom>
                    <a:noFill/>
                  </pic:spPr>
                </pic:pic>
              </a:graphicData>
            </a:graphic>
          </wp:inline>
        </w:drawing>
      </w:r>
    </w:p>
    <w:p w:rsidR="00F256DB" w:rsidRPr="00301600" w:rsidRDefault="00F256DB"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 xml:space="preserve">Burimi: Banka e Shqipërisë, Maj 2022 </w:t>
      </w:r>
    </w:p>
    <w:p w:rsidR="00F256DB" w:rsidRPr="00F256DB" w:rsidRDefault="00F256DB" w:rsidP="00B31CF7">
      <w:pPr>
        <w:spacing w:before="120" w:line="276" w:lineRule="auto"/>
        <w:jc w:val="both"/>
        <w:rPr>
          <w:rFonts w:asciiTheme="minorHAnsi" w:hAnsiTheme="minorHAnsi"/>
          <w:noProof/>
          <w:sz w:val="8"/>
          <w:szCs w:val="8"/>
          <w:lang w:val="sq-AL"/>
        </w:rPr>
      </w:pPr>
    </w:p>
    <w:p w:rsidR="00F256DB" w:rsidRPr="00F60B38" w:rsidRDefault="00F256DB" w:rsidP="00F256DB">
      <w:pPr>
        <w:spacing w:line="276" w:lineRule="auto"/>
        <w:jc w:val="both"/>
        <w:rPr>
          <w:rFonts w:asciiTheme="minorHAnsi" w:hAnsiTheme="minorHAnsi" w:cstheme="minorHAnsi"/>
          <w:i/>
          <w:sz w:val="22"/>
          <w:lang w:val="sq-AL"/>
        </w:rPr>
      </w:pPr>
      <w:r w:rsidRPr="00F60B38">
        <w:rPr>
          <w:rFonts w:asciiTheme="minorHAnsi" w:hAnsiTheme="minorHAnsi" w:cstheme="minorHAnsi"/>
          <w:noProof/>
          <w:lang w:val="sq-AL"/>
        </w:rPr>
        <w:t xml:space="preserve">Referuar të dhënave të deritanishme, sa i takon ecurisë së normave të interesit vihet re: </w:t>
      </w:r>
    </w:p>
    <w:p w:rsidR="00F256DB" w:rsidRPr="00935F98" w:rsidRDefault="00F256DB" w:rsidP="003F6B21">
      <w:pPr>
        <w:pStyle w:val="ListParagraph"/>
        <w:numPr>
          <w:ilvl w:val="0"/>
          <w:numId w:val="20"/>
        </w:numPr>
        <w:spacing w:line="276" w:lineRule="auto"/>
        <w:ind w:left="360"/>
        <w:jc w:val="both"/>
        <w:rPr>
          <w:rFonts w:asciiTheme="minorHAnsi" w:hAnsiTheme="minorHAnsi" w:cstheme="minorHAnsi"/>
          <w:i/>
          <w:noProof/>
          <w:lang w:val="sq-AL"/>
        </w:rPr>
      </w:pPr>
      <w:r w:rsidRPr="00935F98">
        <w:rPr>
          <w:rFonts w:asciiTheme="minorHAnsi" w:hAnsiTheme="minorHAnsi" w:cstheme="minorHAnsi"/>
          <w:b/>
          <w:bCs/>
          <w:i/>
          <w:iCs/>
          <w:noProof/>
          <w:lang w:val="sq-AL"/>
        </w:rPr>
        <w:t xml:space="preserve">Për depozitat në Lekë </w:t>
      </w:r>
      <w:r w:rsidRPr="00935F98">
        <w:rPr>
          <w:rFonts w:asciiTheme="minorHAnsi" w:hAnsiTheme="minorHAnsi" w:cstheme="minorHAnsi"/>
          <w:i/>
          <w:noProof/>
          <w:lang w:val="sq-AL"/>
        </w:rPr>
        <w:t>- Norma mesatare e interesit për totalin e depozitave (duke përfshirë të gjitha maturimet) për muajin prill 2022 shënoi vlerën 0.89%, duke u rritur me 0.19 pikë përqindje krahasuar me të njëjtën periudhë të vitit të kaluar dhe gjithashtu krahasuar me muajin paraardhës. Ndërkohë, norma e interesit për depozitën 12-mujore u rrit me 0.33 muaj më parë.</w:t>
      </w:r>
    </w:p>
    <w:p w:rsidR="00F256DB" w:rsidRPr="00935F98" w:rsidRDefault="00F256DB" w:rsidP="003F6B21">
      <w:pPr>
        <w:pStyle w:val="ListParagraph"/>
        <w:numPr>
          <w:ilvl w:val="0"/>
          <w:numId w:val="20"/>
        </w:numPr>
        <w:spacing w:line="276" w:lineRule="auto"/>
        <w:ind w:left="360"/>
        <w:jc w:val="both"/>
        <w:rPr>
          <w:rFonts w:asciiTheme="minorHAnsi" w:hAnsiTheme="minorHAnsi" w:cstheme="minorHAnsi"/>
          <w:i/>
          <w:noProof/>
          <w:lang w:val="sq-AL"/>
        </w:rPr>
      </w:pPr>
      <w:r w:rsidRPr="00935F98">
        <w:rPr>
          <w:rFonts w:asciiTheme="minorHAnsi" w:hAnsiTheme="minorHAnsi" w:cstheme="minorHAnsi"/>
          <w:b/>
          <w:bCs/>
          <w:i/>
          <w:iCs/>
          <w:noProof/>
          <w:lang w:val="sq-AL"/>
        </w:rPr>
        <w:t xml:space="preserve">Për depozitat në US ($) </w:t>
      </w:r>
      <w:r w:rsidRPr="00935F98">
        <w:rPr>
          <w:rFonts w:asciiTheme="minorHAnsi" w:hAnsiTheme="minorHAnsi" w:cstheme="minorHAnsi"/>
          <w:i/>
          <w:noProof/>
          <w:lang w:val="sq-AL"/>
        </w:rPr>
        <w:t>– Norma mesatare e interesit për totalin e depozitave shënoi vlerën 0.46%, ose 0.18 pikë përqindje më shumë krahasuar me një vit më parë dhe nuk pati ndryshim me një muaj më parë. Ndërkohë, norma e interesit për depozitën 12 mujore u rrit me 0.07 p.p krahasuar me një vit më parë dhe u zvogëlua me 0.2 p.p, në krahasim me një muaj më parë.</w:t>
      </w:r>
    </w:p>
    <w:p w:rsidR="00F256DB" w:rsidRPr="00935F98" w:rsidRDefault="00F256DB" w:rsidP="003F6B21">
      <w:pPr>
        <w:pStyle w:val="ListParagraph"/>
        <w:numPr>
          <w:ilvl w:val="0"/>
          <w:numId w:val="20"/>
        </w:numPr>
        <w:spacing w:line="276" w:lineRule="auto"/>
        <w:ind w:left="360"/>
        <w:jc w:val="both"/>
        <w:rPr>
          <w:rFonts w:asciiTheme="minorHAnsi" w:hAnsiTheme="minorHAnsi" w:cstheme="minorHAnsi"/>
          <w:i/>
          <w:noProof/>
          <w:lang w:val="sq-AL"/>
        </w:rPr>
      </w:pPr>
      <w:r w:rsidRPr="00935F98">
        <w:rPr>
          <w:rFonts w:asciiTheme="minorHAnsi" w:hAnsiTheme="minorHAnsi" w:cstheme="minorHAnsi"/>
          <w:b/>
          <w:bCs/>
          <w:i/>
          <w:iCs/>
          <w:noProof/>
          <w:lang w:val="sq-AL"/>
        </w:rPr>
        <w:t>Për depozitat në EUR (€)</w:t>
      </w:r>
      <w:r w:rsidRPr="00935F98">
        <w:rPr>
          <w:rFonts w:asciiTheme="minorHAnsi" w:hAnsiTheme="minorHAnsi" w:cstheme="minorHAnsi"/>
          <w:i/>
          <w:noProof/>
          <w:lang w:val="sq-AL"/>
        </w:rPr>
        <w:t xml:space="preserve"> -</w:t>
      </w:r>
      <w:r w:rsidRPr="00935F98">
        <w:rPr>
          <w:rFonts w:asciiTheme="minorHAnsi" w:hAnsiTheme="minorHAnsi" w:cstheme="minorHAnsi"/>
          <w:b/>
          <w:i/>
          <w:noProof/>
          <w:lang w:val="sq-AL"/>
        </w:rPr>
        <w:t xml:space="preserve"> </w:t>
      </w:r>
      <w:r w:rsidRPr="00935F98">
        <w:rPr>
          <w:rFonts w:asciiTheme="minorHAnsi" w:hAnsiTheme="minorHAnsi" w:cstheme="minorHAnsi"/>
          <w:i/>
          <w:noProof/>
          <w:lang w:val="sq-AL"/>
        </w:rPr>
        <w:t>Norma mesatare e interesit për totalin e depozitave shënoi vlerën 0.44%, duke u rritur me 0.22 p.p krahasuar me një vit më parë dhe duke u rritur me 0.22 p.p krahasuar me një muaj më parë. Ndërkohë, norma e interesit për depozitën 12 mujore u rrit me 0.39 p.p në krahasim me muajin paraardhës dhe u rrit me 0.36 p.p krahasuar me një vit më parë.</w:t>
      </w:r>
    </w:p>
    <w:p w:rsidR="00F256DB" w:rsidRPr="00935F98" w:rsidRDefault="00F256DB" w:rsidP="003F6B21">
      <w:pPr>
        <w:pStyle w:val="ListParagraph"/>
        <w:numPr>
          <w:ilvl w:val="0"/>
          <w:numId w:val="42"/>
        </w:numPr>
        <w:spacing w:before="120" w:after="120" w:line="276" w:lineRule="auto"/>
        <w:ind w:left="360"/>
        <w:jc w:val="both"/>
        <w:rPr>
          <w:rFonts w:asciiTheme="minorHAnsi" w:hAnsiTheme="minorHAnsi" w:cstheme="minorHAnsi"/>
          <w:i/>
          <w:noProof/>
          <w:lang w:val="sq-AL"/>
        </w:rPr>
      </w:pPr>
      <w:r w:rsidRPr="00935F98">
        <w:rPr>
          <w:rFonts w:asciiTheme="minorHAnsi" w:hAnsiTheme="minorHAnsi" w:cstheme="minorHAnsi"/>
          <w:b/>
          <w:bCs/>
          <w:i/>
          <w:iCs/>
          <w:noProof/>
          <w:lang w:val="sq-AL"/>
        </w:rPr>
        <w:t>Për kreditë në Lekë</w:t>
      </w:r>
      <w:r w:rsidRPr="00935F98">
        <w:rPr>
          <w:rFonts w:asciiTheme="minorHAnsi" w:hAnsiTheme="minorHAnsi" w:cstheme="minorHAnsi"/>
          <w:i/>
          <w:noProof/>
          <w:lang w:val="sq-AL"/>
        </w:rPr>
        <w:t xml:space="preserve"> - Norma mesatare e interesit për totalin e kredive (duke përfshirë të gjitha maturimet) për prill 2022 shënoi vlerën 6.68%, ose 0.68 p.p. më shumë se e njëjta periudhë e vitit të kaluar dhe 1.21 p.p. më shumë se muaji paraardhës. Ndërkohë, norma e interesit për kreditimin mbi 5 vjeçarë ka shënuar rritje prej 0.57 p.p. krahasuar me një vit më parë dhe rritje me 1.11 p.p krahasuar me muajin mars 2022. </w:t>
      </w:r>
    </w:p>
    <w:p w:rsidR="00F256DB" w:rsidRPr="00935F98" w:rsidRDefault="00F256DB" w:rsidP="003F6B21">
      <w:pPr>
        <w:pStyle w:val="ListParagraph"/>
        <w:numPr>
          <w:ilvl w:val="0"/>
          <w:numId w:val="42"/>
        </w:numPr>
        <w:spacing w:before="120" w:after="120" w:line="276" w:lineRule="auto"/>
        <w:ind w:left="360"/>
        <w:jc w:val="both"/>
        <w:rPr>
          <w:rFonts w:asciiTheme="minorHAnsi" w:hAnsiTheme="minorHAnsi" w:cstheme="minorHAnsi"/>
          <w:i/>
          <w:noProof/>
          <w:lang w:val="sq-AL"/>
        </w:rPr>
      </w:pPr>
      <w:r w:rsidRPr="00935F98">
        <w:rPr>
          <w:rFonts w:asciiTheme="minorHAnsi" w:hAnsiTheme="minorHAnsi" w:cstheme="minorHAnsi"/>
          <w:b/>
          <w:bCs/>
          <w:i/>
          <w:iCs/>
          <w:noProof/>
          <w:lang w:val="sq-AL"/>
        </w:rPr>
        <w:t>Për kreditë në US($)</w:t>
      </w:r>
      <w:r w:rsidRPr="00935F98">
        <w:rPr>
          <w:rFonts w:asciiTheme="minorHAnsi" w:hAnsiTheme="minorHAnsi" w:cstheme="minorHAnsi"/>
          <w:i/>
          <w:noProof/>
          <w:lang w:val="sq-AL"/>
        </w:rPr>
        <w:t xml:space="preserve"> - Norma mesatare e interesit për totalin e kredive shënoi vlerën 5.4%, duke shënuar rritje me 1.04 p.p. krahasuar me një vit më parë dhe një rritje me 0.4 p.p krahasuar me muajin paraardhës.</w:t>
      </w:r>
    </w:p>
    <w:p w:rsidR="00B31CF7" w:rsidRPr="002454B1" w:rsidRDefault="00F256DB" w:rsidP="003F6B21">
      <w:pPr>
        <w:pStyle w:val="ListParagraph"/>
        <w:numPr>
          <w:ilvl w:val="0"/>
          <w:numId w:val="20"/>
        </w:numPr>
        <w:spacing w:before="120" w:line="276" w:lineRule="auto"/>
        <w:ind w:left="360"/>
        <w:jc w:val="both"/>
        <w:rPr>
          <w:rFonts w:asciiTheme="minorHAnsi" w:hAnsiTheme="minorHAnsi"/>
          <w:i/>
          <w:noProof/>
          <w:sz w:val="22"/>
          <w:lang w:val="sq-AL"/>
        </w:rPr>
      </w:pPr>
      <w:r w:rsidRPr="00935F98">
        <w:rPr>
          <w:rFonts w:asciiTheme="minorHAnsi" w:hAnsiTheme="minorHAnsi" w:cstheme="minorHAnsi"/>
          <w:b/>
          <w:bCs/>
          <w:i/>
          <w:noProof/>
          <w:lang w:val="sq-AL"/>
        </w:rPr>
        <w:t>Për kreditë në EUR (€)</w:t>
      </w:r>
      <w:r w:rsidRPr="00935F98">
        <w:rPr>
          <w:rFonts w:asciiTheme="minorHAnsi" w:hAnsiTheme="minorHAnsi" w:cstheme="minorHAnsi"/>
          <w:i/>
          <w:noProof/>
          <w:lang w:val="sq-AL"/>
        </w:rPr>
        <w:t xml:space="preserve"> - Norma mesatare e interesit për totalin e kredive për prill 2022 shënoi vlerën 4.41%, ose 0.44 p.p. më shumë se e njëjta periudhë e vitit të kaluar dhe 0.22 p.p.më shumë krahasuar me një muaj më parë. Norma e interesit për kreditimin mbi 5 vjeçar u rrit me 0.29 p.p krahasuar me një vit më parë, ndërkohë, u rrit me 0.27 p.p. krahasuar me muajin mars 2022</w:t>
      </w:r>
      <w:r w:rsidR="00B31CF7" w:rsidRPr="002454B1">
        <w:rPr>
          <w:rFonts w:asciiTheme="minorHAnsi" w:hAnsiTheme="minorHAnsi"/>
          <w:i/>
          <w:noProof/>
          <w:sz w:val="22"/>
          <w:lang w:val="sq-AL"/>
        </w:rPr>
        <w:t>.</w:t>
      </w:r>
    </w:p>
    <w:p w:rsidR="00B31CF7" w:rsidRPr="0065598A" w:rsidRDefault="002454B1" w:rsidP="00B31CF7">
      <w:pPr>
        <w:spacing w:before="240" w:line="276" w:lineRule="auto"/>
        <w:jc w:val="both"/>
        <w:rPr>
          <w:rFonts w:asciiTheme="minorHAnsi" w:hAnsiTheme="minorHAnsi"/>
          <w:noProof/>
          <w:lang w:val="sq-AL"/>
        </w:rPr>
      </w:pPr>
      <w:r w:rsidRPr="00F60B38">
        <w:rPr>
          <w:rFonts w:asciiTheme="minorHAnsi" w:hAnsiTheme="minorHAnsi" w:cstheme="minorHAnsi"/>
          <w:noProof/>
          <w:lang w:val="sq-AL"/>
        </w:rPr>
        <w:t>Gjatë muajit maj 2022, kursi mesatar i këmbimit të lekut kundrejt euros arriti 120.46 lekë/euro duke pësuar një rënie mujore në vlerë me 0.43% dhe një rënie me 2.07 % në terma vjetore. Kursi mesatar i këmbimit të lekut kundrejt dollarit amerikan në muajin maj arriti në 113.94 lekë/dollar amerikan duke shënuar një rritje mujore me 2.01% dhe një rritje vjetore me 12.55%</w:t>
      </w:r>
      <w:r w:rsidR="00B31CF7">
        <w:rPr>
          <w:rFonts w:asciiTheme="minorHAnsi" w:hAnsiTheme="minorHAnsi"/>
          <w:noProof/>
          <w:lang w:val="sq-AL"/>
        </w:rPr>
        <w:t>.</w:t>
      </w:r>
      <w:r w:rsidR="00B31CF7" w:rsidRPr="0065598A">
        <w:rPr>
          <w:rFonts w:asciiTheme="minorHAnsi" w:hAnsiTheme="minorHAnsi"/>
          <w:noProof/>
          <w:lang w:val="sq-AL"/>
        </w:rPr>
        <w:t xml:space="preserve"> </w:t>
      </w:r>
    </w:p>
    <w:p w:rsidR="00B31CF7" w:rsidRPr="0065598A" w:rsidRDefault="00B31CF7" w:rsidP="00B31CF7">
      <w:pPr>
        <w:jc w:val="both"/>
        <w:rPr>
          <w:rFonts w:ascii="Calibri" w:hAnsi="Calibri"/>
          <w:noProof/>
          <w:sz w:val="8"/>
          <w:lang w:val="sq-AL"/>
        </w:rPr>
      </w:pPr>
    </w:p>
    <w:p w:rsidR="00B31CF7" w:rsidRPr="002C40CB" w:rsidRDefault="00B31CF7" w:rsidP="00B31CF7">
      <w:pPr>
        <w:keepNext/>
        <w:jc w:val="both"/>
        <w:rPr>
          <w:rFonts w:ascii="Calibri" w:hAnsi="Calibri"/>
          <w:i/>
          <w:sz w:val="22"/>
          <w:lang w:val="sq-AL"/>
        </w:rPr>
      </w:pPr>
      <w:bookmarkStart w:id="177" w:name="_Toc107496772"/>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B2B9B">
        <w:rPr>
          <w:rFonts w:ascii="Calibri" w:hAnsi="Calibri"/>
          <w:i/>
          <w:noProof/>
          <w:sz w:val="22"/>
          <w:lang w:val="sq-AL"/>
        </w:rPr>
        <w:t>36</w:t>
      </w:r>
      <w:r w:rsidRPr="002C40CB">
        <w:rPr>
          <w:rFonts w:ascii="Calibri" w:hAnsi="Calibri"/>
          <w:i/>
          <w:sz w:val="22"/>
          <w:lang w:val="sq-AL"/>
        </w:rPr>
        <w:fldChar w:fldCharType="end"/>
      </w:r>
      <w:r w:rsidRPr="002C40CB">
        <w:rPr>
          <w:rFonts w:ascii="Calibri" w:hAnsi="Calibri"/>
          <w:i/>
          <w:sz w:val="22"/>
          <w:lang w:val="sq-AL"/>
        </w:rPr>
        <w:t>: Ecuria e kursit të këmbimit 2015-202</w:t>
      </w:r>
      <w:r w:rsidR="00935F98">
        <w:rPr>
          <w:rFonts w:ascii="Calibri" w:hAnsi="Calibri"/>
          <w:i/>
          <w:sz w:val="22"/>
          <w:lang w:val="sq-AL"/>
        </w:rPr>
        <w:t>2</w:t>
      </w:r>
      <w:bookmarkEnd w:id="177"/>
    </w:p>
    <w:p w:rsidR="00B31CF7" w:rsidRDefault="00935F98" w:rsidP="00935F98">
      <w:pPr>
        <w:jc w:val="center"/>
        <w:rPr>
          <w:rFonts w:ascii="Calibri" w:hAnsi="Calibri"/>
          <w:noProof/>
          <w:lang w:val="sq-AL"/>
        </w:rPr>
      </w:pPr>
      <w:r w:rsidRPr="00F60B38">
        <w:rPr>
          <w:rFonts w:asciiTheme="minorHAnsi" w:hAnsiTheme="minorHAnsi" w:cstheme="minorHAnsi"/>
          <w:noProof/>
        </w:rPr>
        <w:drawing>
          <wp:inline distT="0" distB="0" distL="0" distR="0" wp14:anchorId="3BC31783" wp14:editId="4669D9F3">
            <wp:extent cx="5943600" cy="944880"/>
            <wp:effectExtent l="0" t="0" r="0" b="762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944880"/>
                    </a:xfrm>
                    <a:prstGeom prst="rect">
                      <a:avLst/>
                    </a:prstGeom>
                    <a:noFill/>
                    <a:ln>
                      <a:noFill/>
                    </a:ln>
                  </pic:spPr>
                </pic:pic>
              </a:graphicData>
            </a:graphic>
          </wp:inline>
        </w:drawing>
      </w:r>
    </w:p>
    <w:p w:rsidR="00935F98" w:rsidRPr="00935F98" w:rsidRDefault="00935F98" w:rsidP="00935F98">
      <w:pPr>
        <w:keepNext/>
        <w:ind w:firstLine="720"/>
        <w:jc w:val="both"/>
        <w:rPr>
          <w:rFonts w:asciiTheme="minorHAnsi" w:hAnsiTheme="minorHAnsi" w:cstheme="minorHAnsi"/>
          <w:i/>
          <w:sz w:val="22"/>
          <w:lang w:val="sq-AL"/>
        </w:rPr>
      </w:pPr>
      <w:r w:rsidRPr="00935F98">
        <w:rPr>
          <w:rFonts w:asciiTheme="minorHAnsi" w:hAnsiTheme="minorHAnsi" w:cstheme="minorHAnsi"/>
          <w:i/>
          <w:sz w:val="22"/>
          <w:lang w:val="sq-AL"/>
        </w:rPr>
        <w:t>Burimi:Banka e Shqipërisë, Qershor 2022</w:t>
      </w:r>
    </w:p>
    <w:p w:rsidR="00AD66E2" w:rsidRDefault="00AD66E2" w:rsidP="001F417D">
      <w:pPr>
        <w:spacing w:before="120" w:after="120" w:line="276" w:lineRule="auto"/>
        <w:jc w:val="center"/>
        <w:rPr>
          <w:rFonts w:ascii="Calibri" w:hAnsi="Calibri"/>
          <w:noProof/>
          <w:lang w:val="sq-AL"/>
        </w:rPr>
      </w:pPr>
    </w:p>
    <w:p w:rsidR="00527686" w:rsidRPr="00FA4974" w:rsidRDefault="00527686" w:rsidP="00FA4974">
      <w:pPr>
        <w:pStyle w:val="Heading2"/>
        <w:numPr>
          <w:ilvl w:val="0"/>
          <w:numId w:val="57"/>
        </w:numPr>
        <w:ind w:left="360"/>
        <w:rPr>
          <w:sz w:val="26"/>
          <w:szCs w:val="26"/>
        </w:rPr>
      </w:pPr>
      <w:bookmarkStart w:id="178" w:name="_Toc11134224"/>
      <w:bookmarkStart w:id="179" w:name="_Toc107497009"/>
      <w:r w:rsidRPr="00FA4974">
        <w:rPr>
          <w:sz w:val="26"/>
          <w:szCs w:val="26"/>
        </w:rPr>
        <w:lastRenderedPageBreak/>
        <w:t>Treguesit kryesorë të performancës sipas ministrive të linjës</w:t>
      </w:r>
      <w:bookmarkEnd w:id="178"/>
      <w:r w:rsidRPr="00FA4974">
        <w:rPr>
          <w:sz w:val="26"/>
          <w:szCs w:val="26"/>
        </w:rPr>
        <w:t>, 4M I 20</w:t>
      </w:r>
      <w:r w:rsidR="00B345A4" w:rsidRPr="00FA4974">
        <w:rPr>
          <w:sz w:val="26"/>
          <w:szCs w:val="26"/>
        </w:rPr>
        <w:t>2</w:t>
      </w:r>
      <w:r w:rsidR="00565BEB" w:rsidRPr="00FA4974">
        <w:rPr>
          <w:sz w:val="26"/>
          <w:szCs w:val="26"/>
        </w:rPr>
        <w:t>2</w:t>
      </w:r>
      <w:bookmarkEnd w:id="179"/>
      <w:r w:rsidRPr="00FA4974">
        <w:rPr>
          <w:sz w:val="26"/>
          <w:szCs w:val="26"/>
        </w:rPr>
        <w:t xml:space="preserve"> </w:t>
      </w:r>
    </w:p>
    <w:p w:rsidR="00990CDF" w:rsidRPr="00BF005F" w:rsidRDefault="00346DCC" w:rsidP="00990CDF">
      <w:pPr>
        <w:spacing w:before="240" w:line="276" w:lineRule="auto"/>
        <w:jc w:val="both"/>
        <w:rPr>
          <w:rFonts w:asciiTheme="minorHAnsi" w:eastAsia="MS Mincho" w:hAnsiTheme="minorHAnsi"/>
          <w:lang w:val="sq-AL"/>
        </w:rPr>
      </w:pPr>
      <w:bookmarkStart w:id="180" w:name="_Toc11135126"/>
      <w:bookmarkStart w:id="181" w:name="_Toc10033295"/>
      <w:r w:rsidRPr="00C472AD">
        <w:rPr>
          <w:rFonts w:ascii="Calibri" w:hAnsi="Calibri"/>
          <w:lang w:val="sq-AL"/>
        </w:rPr>
        <w:t>Buxheti i vitit 2022, ka financuar 131 programe buxhetore si edhe buxhetin e 61 bashkive dhe 12 qarqeve. Realizimi i buxhetit për 5 mujorin e vitit 2022 për ministritë dhe disa nga institucionet qendrore kryesore, paraqitet në tabelën e mëposhtme</w:t>
      </w:r>
      <w:r w:rsidR="00990CDF" w:rsidRPr="00BF005F">
        <w:rPr>
          <w:rFonts w:asciiTheme="minorHAnsi" w:eastAsia="MS Mincho" w:hAnsiTheme="minorHAnsi"/>
          <w:lang w:val="sq-AL"/>
        </w:rPr>
        <w:t xml:space="preserve">: </w:t>
      </w:r>
      <w:bookmarkStart w:id="182" w:name="_Toc10033294"/>
      <w:bookmarkEnd w:id="182"/>
    </w:p>
    <w:p w:rsidR="00990CDF" w:rsidRPr="00346DCC" w:rsidRDefault="00990CDF" w:rsidP="00E34706">
      <w:pPr>
        <w:spacing w:before="240"/>
        <w:rPr>
          <w:rFonts w:asciiTheme="minorHAnsi" w:hAnsiTheme="minorHAnsi"/>
          <w:i/>
          <w:noProof/>
          <w:sz w:val="22"/>
        </w:rPr>
      </w:pPr>
      <w:bookmarkStart w:id="183" w:name="_Toc107496773"/>
      <w:r w:rsidRPr="00346DCC">
        <w:rPr>
          <w:rFonts w:asciiTheme="minorHAnsi" w:hAnsiTheme="minorHAnsi"/>
          <w:i/>
          <w:noProof/>
          <w:sz w:val="22"/>
        </w:rPr>
        <w:t xml:space="preserve">Tabela </w:t>
      </w:r>
      <w:r w:rsidRPr="00346DCC">
        <w:rPr>
          <w:rFonts w:asciiTheme="minorHAnsi" w:hAnsiTheme="minorHAnsi"/>
          <w:i/>
          <w:noProof/>
          <w:sz w:val="22"/>
        </w:rPr>
        <w:fldChar w:fldCharType="begin"/>
      </w:r>
      <w:r w:rsidRPr="00346DCC">
        <w:rPr>
          <w:rFonts w:asciiTheme="minorHAnsi" w:hAnsiTheme="minorHAnsi"/>
          <w:i/>
          <w:noProof/>
          <w:sz w:val="22"/>
        </w:rPr>
        <w:instrText xml:space="preserve"> SEQ Tabela \* ARABIC </w:instrText>
      </w:r>
      <w:r w:rsidRPr="00346DCC">
        <w:rPr>
          <w:rFonts w:asciiTheme="minorHAnsi" w:hAnsiTheme="minorHAnsi"/>
          <w:i/>
          <w:noProof/>
          <w:sz w:val="22"/>
        </w:rPr>
        <w:fldChar w:fldCharType="separate"/>
      </w:r>
      <w:r w:rsidR="003B2B9B">
        <w:rPr>
          <w:rFonts w:asciiTheme="minorHAnsi" w:hAnsiTheme="minorHAnsi"/>
          <w:i/>
          <w:noProof/>
          <w:sz w:val="22"/>
        </w:rPr>
        <w:t>37</w:t>
      </w:r>
      <w:r w:rsidRPr="00346DCC">
        <w:rPr>
          <w:rFonts w:asciiTheme="minorHAnsi" w:hAnsiTheme="minorHAnsi"/>
          <w:i/>
          <w:noProof/>
          <w:sz w:val="22"/>
        </w:rPr>
        <w:fldChar w:fldCharType="end"/>
      </w:r>
      <w:r w:rsidRPr="00346DCC">
        <w:rPr>
          <w:rFonts w:asciiTheme="minorHAnsi" w:hAnsiTheme="minorHAnsi"/>
          <w:i/>
          <w:noProof/>
          <w:sz w:val="22"/>
        </w:rPr>
        <w:t>: Treguesit kryesorë të performancës sipas ministrive të linjës, 5M I 202</w:t>
      </w:r>
      <w:r w:rsidR="00346DCC" w:rsidRPr="00346DCC">
        <w:rPr>
          <w:rFonts w:asciiTheme="minorHAnsi" w:hAnsiTheme="minorHAnsi"/>
          <w:i/>
          <w:noProof/>
          <w:sz w:val="22"/>
        </w:rPr>
        <w:t>2</w:t>
      </w:r>
      <w:bookmarkEnd w:id="183"/>
    </w:p>
    <w:p w:rsidR="00990CDF" w:rsidRPr="00BF005F" w:rsidRDefault="00990CDF" w:rsidP="00990CDF">
      <w:pPr>
        <w:rPr>
          <w:rFonts w:asciiTheme="minorHAnsi" w:hAnsiTheme="minorHAnsi"/>
          <w:i/>
          <w:noProof/>
        </w:rPr>
      </w:pP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t xml:space="preserve">në mijë lekë </w:t>
      </w:r>
    </w:p>
    <w:tbl>
      <w:tblPr>
        <w:tblW w:w="10427" w:type="dxa"/>
        <w:jc w:val="center"/>
        <w:tblLook w:val="04A0" w:firstRow="1" w:lastRow="0" w:firstColumn="1" w:lastColumn="0" w:noHBand="0" w:noVBand="1"/>
      </w:tblPr>
      <w:tblGrid>
        <w:gridCol w:w="3523"/>
        <w:gridCol w:w="1228"/>
        <w:gridCol w:w="1228"/>
        <w:gridCol w:w="1228"/>
        <w:gridCol w:w="1150"/>
        <w:gridCol w:w="1035"/>
        <w:gridCol w:w="1035"/>
      </w:tblGrid>
      <w:tr w:rsidR="00346DCC" w:rsidRPr="00C472AD" w:rsidTr="00C82070">
        <w:trPr>
          <w:trHeight w:val="743"/>
          <w:jc w:val="center"/>
        </w:trPr>
        <w:tc>
          <w:tcPr>
            <w:tcW w:w="3523" w:type="dxa"/>
            <w:tcBorders>
              <w:top w:val="single" w:sz="4" w:space="0" w:color="auto"/>
              <w:left w:val="single" w:sz="4" w:space="0" w:color="auto"/>
              <w:bottom w:val="nil"/>
              <w:right w:val="single" w:sz="4" w:space="0" w:color="4F81BD"/>
            </w:tcBorders>
            <w:shd w:val="clear" w:color="000000" w:fill="B7DEE8"/>
            <w:noWrap/>
            <w:vAlign w:val="center"/>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Institucionet</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 xml:space="preserve">      2022</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 xml:space="preserve">     2022</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 xml:space="preserve">      2022</w:t>
            </w:r>
          </w:p>
        </w:tc>
        <w:tc>
          <w:tcPr>
            <w:tcW w:w="1150" w:type="dxa"/>
            <w:tcBorders>
              <w:top w:val="single" w:sz="4" w:space="0" w:color="auto"/>
              <w:left w:val="single" w:sz="4" w:space="0" w:color="4F81BD"/>
              <w:bottom w:val="nil"/>
              <w:right w:val="single" w:sz="4" w:space="0" w:color="4F81BD"/>
            </w:tcBorders>
            <w:shd w:val="clear" w:color="000000" w:fill="B7DEE8"/>
            <w:noWrap/>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 xml:space="preserve">     Total</w:t>
            </w:r>
          </w:p>
        </w:tc>
        <w:tc>
          <w:tcPr>
            <w:tcW w:w="1035" w:type="dxa"/>
            <w:tcBorders>
              <w:top w:val="single" w:sz="4" w:space="0" w:color="auto"/>
              <w:left w:val="single" w:sz="4" w:space="0" w:color="4F81BD"/>
              <w:bottom w:val="nil"/>
              <w:right w:val="single" w:sz="4" w:space="0" w:color="4F81BD"/>
            </w:tcBorders>
            <w:shd w:val="clear" w:color="000000" w:fill="B7DEE8"/>
            <w:vAlign w:val="bottom"/>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Shpenzime korrente</w:t>
            </w:r>
          </w:p>
        </w:tc>
        <w:tc>
          <w:tcPr>
            <w:tcW w:w="1035" w:type="dxa"/>
            <w:tcBorders>
              <w:top w:val="single" w:sz="4" w:space="0" w:color="auto"/>
              <w:left w:val="single" w:sz="4" w:space="0" w:color="4F81BD"/>
              <w:bottom w:val="nil"/>
              <w:right w:val="single" w:sz="4" w:space="0" w:color="auto"/>
            </w:tcBorders>
            <w:shd w:val="clear" w:color="000000" w:fill="B7DEE8"/>
            <w:vAlign w:val="bottom"/>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Shpenzime kapitale</w:t>
            </w:r>
          </w:p>
        </w:tc>
      </w:tr>
      <w:tr w:rsidR="00346DCC" w:rsidRPr="00C472AD" w:rsidTr="00C82070">
        <w:trPr>
          <w:trHeight w:val="589"/>
          <w:jc w:val="center"/>
        </w:trPr>
        <w:tc>
          <w:tcPr>
            <w:tcW w:w="3523" w:type="dxa"/>
            <w:tcBorders>
              <w:top w:val="nil"/>
              <w:left w:val="single" w:sz="4" w:space="0" w:color="auto"/>
              <w:bottom w:val="single" w:sz="4" w:space="0" w:color="auto"/>
              <w:right w:val="single" w:sz="4" w:space="0" w:color="4F81BD"/>
            </w:tcBorders>
            <w:shd w:val="clear" w:color="000000" w:fill="B7DEE8"/>
            <w:noWrap/>
            <w:vAlign w:val="bottom"/>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 </w:t>
            </w:r>
          </w:p>
        </w:tc>
        <w:tc>
          <w:tcPr>
            <w:tcW w:w="1228" w:type="dxa"/>
            <w:tcBorders>
              <w:top w:val="nil"/>
              <w:left w:val="single" w:sz="4" w:space="0" w:color="4F81BD"/>
              <w:bottom w:val="single" w:sz="4" w:space="0" w:color="auto"/>
              <w:right w:val="single" w:sz="4" w:space="0" w:color="4F81BD"/>
            </w:tcBorders>
            <w:shd w:val="clear" w:color="000000" w:fill="B7DEE8"/>
            <w:noWrap/>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Plani Fillestar</w:t>
            </w:r>
          </w:p>
        </w:tc>
        <w:tc>
          <w:tcPr>
            <w:tcW w:w="1228" w:type="dxa"/>
            <w:tcBorders>
              <w:top w:val="nil"/>
              <w:left w:val="single" w:sz="4" w:space="0" w:color="4F81BD"/>
              <w:bottom w:val="single" w:sz="4" w:space="0" w:color="auto"/>
              <w:right w:val="single" w:sz="4" w:space="0" w:color="4F81BD"/>
            </w:tcBorders>
            <w:shd w:val="clear" w:color="000000" w:fill="B7DEE8"/>
            <w:noWrap/>
            <w:vAlign w:val="center"/>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Plani i       Rishikuar</w:t>
            </w:r>
          </w:p>
        </w:tc>
        <w:tc>
          <w:tcPr>
            <w:tcW w:w="1228" w:type="dxa"/>
            <w:tcBorders>
              <w:top w:val="nil"/>
              <w:left w:val="single" w:sz="4" w:space="0" w:color="4F81BD"/>
              <w:bottom w:val="single" w:sz="4" w:space="0" w:color="auto"/>
              <w:right w:val="single" w:sz="4" w:space="0" w:color="4F81BD"/>
            </w:tcBorders>
            <w:shd w:val="clear" w:color="000000" w:fill="B7DEE8"/>
            <w:vAlign w:val="center"/>
            <w:hideMark/>
          </w:tcPr>
          <w:p w:rsidR="00346DCC" w:rsidRPr="00C472AD" w:rsidRDefault="00346DCC" w:rsidP="00C82070">
            <w:pPr>
              <w:rPr>
                <w:rFonts w:ascii="Calibri" w:hAnsi="Calibri"/>
                <w:b/>
                <w:bCs/>
                <w:sz w:val="18"/>
                <w:lang w:val="sq-AL"/>
              </w:rPr>
            </w:pPr>
            <w:r w:rsidRPr="00C472AD">
              <w:rPr>
                <w:rFonts w:ascii="Calibri" w:hAnsi="Calibri"/>
                <w:b/>
                <w:bCs/>
                <w:sz w:val="18"/>
                <w:lang w:val="sq-AL"/>
              </w:rPr>
              <w:t>Fakti 5 Mujor</w:t>
            </w:r>
          </w:p>
        </w:tc>
        <w:tc>
          <w:tcPr>
            <w:tcW w:w="1150" w:type="dxa"/>
            <w:tcBorders>
              <w:top w:val="nil"/>
              <w:left w:val="single" w:sz="4" w:space="0" w:color="4F81BD"/>
              <w:bottom w:val="single" w:sz="4" w:space="0" w:color="auto"/>
              <w:right w:val="single" w:sz="4" w:space="0" w:color="4F81BD"/>
            </w:tcBorders>
            <w:shd w:val="clear" w:color="000000" w:fill="B7DEE8"/>
            <w:noWrap/>
            <w:vAlign w:val="center"/>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Fakt/Plan Vjetor 2022</w:t>
            </w:r>
          </w:p>
        </w:tc>
        <w:tc>
          <w:tcPr>
            <w:tcW w:w="1035" w:type="dxa"/>
            <w:tcBorders>
              <w:top w:val="nil"/>
              <w:left w:val="single" w:sz="4" w:space="0" w:color="4F81BD"/>
              <w:bottom w:val="single" w:sz="4" w:space="0" w:color="auto"/>
              <w:right w:val="single" w:sz="4" w:space="0" w:color="4F81BD"/>
            </w:tcBorders>
            <w:shd w:val="clear" w:color="000000" w:fill="B7DEE8"/>
            <w:noWrap/>
            <w:vAlign w:val="center"/>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Fakt/Plan 2022</w:t>
            </w:r>
          </w:p>
        </w:tc>
        <w:tc>
          <w:tcPr>
            <w:tcW w:w="1035" w:type="dxa"/>
            <w:tcBorders>
              <w:top w:val="nil"/>
              <w:left w:val="single" w:sz="4" w:space="0" w:color="4F81BD"/>
              <w:bottom w:val="single" w:sz="4" w:space="0" w:color="auto"/>
              <w:right w:val="single" w:sz="4" w:space="0" w:color="auto"/>
            </w:tcBorders>
            <w:shd w:val="clear" w:color="000000" w:fill="B7DEE8"/>
            <w:noWrap/>
            <w:vAlign w:val="center"/>
            <w:hideMark/>
          </w:tcPr>
          <w:p w:rsidR="00346DCC" w:rsidRPr="00C472AD" w:rsidRDefault="00346DCC" w:rsidP="00C82070">
            <w:pPr>
              <w:jc w:val="center"/>
              <w:rPr>
                <w:rFonts w:ascii="Calibri" w:hAnsi="Calibri"/>
                <w:b/>
                <w:bCs/>
                <w:sz w:val="18"/>
                <w:lang w:val="sq-AL"/>
              </w:rPr>
            </w:pPr>
            <w:r w:rsidRPr="00C472AD">
              <w:rPr>
                <w:rFonts w:ascii="Calibri" w:hAnsi="Calibri"/>
                <w:b/>
                <w:bCs/>
                <w:sz w:val="18"/>
                <w:lang w:val="sq-AL"/>
              </w:rPr>
              <w:t>Fakt/Plan 2022</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bottom"/>
            <w:hideMark/>
          </w:tcPr>
          <w:p w:rsidR="00346DCC" w:rsidRPr="00C472AD" w:rsidRDefault="00346DCC" w:rsidP="00C82070">
            <w:pPr>
              <w:rPr>
                <w:rFonts w:ascii="Calibri" w:hAnsi="Calibri"/>
                <w:sz w:val="18"/>
                <w:lang w:val="sq-AL"/>
              </w:rPr>
            </w:pPr>
            <w:r w:rsidRPr="00C472AD">
              <w:rPr>
                <w:rFonts w:ascii="Calibri" w:hAnsi="Calibri"/>
                <w:sz w:val="18"/>
                <w:lang w:val="sq-AL"/>
              </w:rPr>
              <w:t> </w:t>
            </w: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346DCC" w:rsidRPr="00C472AD" w:rsidRDefault="00346DCC" w:rsidP="00C82070">
            <w:pPr>
              <w:jc w:val="center"/>
              <w:rPr>
                <w:rFonts w:ascii="Calibri" w:hAnsi="Calibri"/>
                <w:sz w:val="18"/>
                <w:lang w:val="sq-AL"/>
              </w:rPr>
            </w:pP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346DCC" w:rsidRPr="00C472AD" w:rsidRDefault="00346DCC" w:rsidP="00C82070">
            <w:pPr>
              <w:jc w:val="center"/>
              <w:rPr>
                <w:rFonts w:ascii="Calibri" w:hAnsi="Calibri"/>
                <w:sz w:val="18"/>
                <w:lang w:val="sq-AL"/>
              </w:rPr>
            </w:pP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346DCC" w:rsidRPr="00C472AD" w:rsidRDefault="00346DCC" w:rsidP="00C82070">
            <w:pPr>
              <w:jc w:val="center"/>
              <w:rPr>
                <w:rFonts w:ascii="Calibri" w:hAnsi="Calibri"/>
                <w:sz w:val="18"/>
                <w:lang w:val="sq-AL"/>
              </w:rPr>
            </w:pPr>
          </w:p>
        </w:tc>
        <w:tc>
          <w:tcPr>
            <w:tcW w:w="1150" w:type="dxa"/>
            <w:tcBorders>
              <w:top w:val="nil"/>
              <w:left w:val="single" w:sz="4" w:space="0" w:color="4F81BD"/>
              <w:bottom w:val="single" w:sz="4" w:space="0" w:color="auto"/>
              <w:right w:val="single" w:sz="4" w:space="0" w:color="4F81BD"/>
            </w:tcBorders>
            <w:shd w:val="clear" w:color="auto" w:fill="auto"/>
            <w:noWrap/>
            <w:vAlign w:val="bottom"/>
            <w:hideMark/>
          </w:tcPr>
          <w:p w:rsidR="00346DCC" w:rsidRPr="00C472AD" w:rsidRDefault="00346DCC" w:rsidP="00C82070">
            <w:pPr>
              <w:jc w:val="center"/>
              <w:rPr>
                <w:rFonts w:ascii="Calibri" w:hAnsi="Calibri"/>
                <w:sz w:val="18"/>
                <w:lang w:val="sq-AL"/>
              </w:rPr>
            </w:pPr>
          </w:p>
        </w:tc>
        <w:tc>
          <w:tcPr>
            <w:tcW w:w="1035" w:type="dxa"/>
            <w:tcBorders>
              <w:top w:val="nil"/>
              <w:left w:val="single" w:sz="4" w:space="0" w:color="4F81BD"/>
              <w:bottom w:val="single" w:sz="4" w:space="0" w:color="auto"/>
              <w:right w:val="single" w:sz="4" w:space="0" w:color="4F81BD"/>
            </w:tcBorders>
            <w:shd w:val="clear" w:color="auto" w:fill="auto"/>
            <w:noWrap/>
            <w:vAlign w:val="bottom"/>
            <w:hideMark/>
          </w:tcPr>
          <w:p w:rsidR="00346DCC" w:rsidRPr="00C472AD" w:rsidRDefault="00346DCC" w:rsidP="00C82070">
            <w:pPr>
              <w:jc w:val="center"/>
              <w:rPr>
                <w:rFonts w:ascii="Calibri" w:hAnsi="Calibri"/>
                <w:sz w:val="18"/>
                <w:lang w:val="sq-AL"/>
              </w:rPr>
            </w:pPr>
          </w:p>
        </w:tc>
        <w:tc>
          <w:tcPr>
            <w:tcW w:w="1035" w:type="dxa"/>
            <w:tcBorders>
              <w:top w:val="nil"/>
              <w:left w:val="single" w:sz="4" w:space="0" w:color="4F81BD"/>
              <w:bottom w:val="single" w:sz="4" w:space="0" w:color="auto"/>
              <w:right w:val="single" w:sz="4" w:space="0" w:color="auto"/>
            </w:tcBorders>
            <w:shd w:val="clear" w:color="auto" w:fill="auto"/>
            <w:noWrap/>
            <w:vAlign w:val="bottom"/>
            <w:hideMark/>
          </w:tcPr>
          <w:p w:rsidR="00346DCC" w:rsidRPr="00C472AD" w:rsidRDefault="00346DCC" w:rsidP="00C82070">
            <w:pPr>
              <w:jc w:val="center"/>
              <w:rPr>
                <w:rFonts w:ascii="Calibri" w:hAnsi="Calibri"/>
                <w:sz w:val="18"/>
                <w:lang w:val="sq-AL"/>
              </w:rPr>
            </w:pP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Presidenca                                                                                       </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258,920</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244,078</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74,948</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31%</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33%</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0%</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Kuvendi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1,431,566</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1,354,516</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387,564</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29%</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36%</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000000" w:fill="DAEEF3"/>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Kryeministria</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428,000</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401,974</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188,779</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47%</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54%</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0%</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auto" w:fill="auto"/>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Ministria e Bujqesise dhe Zhvillimit Rural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12,736,369</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12,544,304</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3,451,598</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28%</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32%</w:t>
            </w:r>
          </w:p>
        </w:tc>
        <w:tc>
          <w:tcPr>
            <w:tcW w:w="1035" w:type="dxa"/>
            <w:tcBorders>
              <w:top w:val="nil"/>
              <w:left w:val="nil"/>
              <w:bottom w:val="single" w:sz="8" w:space="0" w:color="auto"/>
              <w:right w:val="single" w:sz="8" w:space="0" w:color="auto"/>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21%</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bCs/>
                <w:sz w:val="18"/>
                <w:lang w:val="sq-AL"/>
              </w:rPr>
            </w:pPr>
            <w:r w:rsidRPr="00C472AD">
              <w:rPr>
                <w:bCs/>
                <w:sz w:val="18"/>
                <w:lang w:val="sq-AL"/>
              </w:rPr>
              <w:t xml:space="preserve"> Ministria e Infrastruktures dhe Energjise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47,471,725</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43,009,733</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8,843,814</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21%</w:t>
            </w:r>
          </w:p>
        </w:tc>
        <w:tc>
          <w:tcPr>
            <w:tcW w:w="1035"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28%</w:t>
            </w:r>
          </w:p>
        </w:tc>
        <w:tc>
          <w:tcPr>
            <w:tcW w:w="1035" w:type="dxa"/>
            <w:tcBorders>
              <w:top w:val="nil"/>
              <w:left w:val="single" w:sz="4" w:space="0" w:color="4F81BD"/>
              <w:bottom w:val="single" w:sz="4" w:space="0" w:color="auto"/>
              <w:right w:val="single" w:sz="4" w:space="0" w:color="auto"/>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20%</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auto" w:fill="auto"/>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Ministria e Financave dhe Ekonomise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65,473,059</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71,142,949</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24,862,088</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35%</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36%</w:t>
            </w:r>
          </w:p>
        </w:tc>
        <w:tc>
          <w:tcPr>
            <w:tcW w:w="1035" w:type="dxa"/>
            <w:tcBorders>
              <w:top w:val="nil"/>
              <w:left w:val="nil"/>
              <w:bottom w:val="single" w:sz="8" w:space="0" w:color="auto"/>
              <w:right w:val="single" w:sz="8" w:space="0" w:color="auto"/>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10%</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bCs/>
                <w:sz w:val="18"/>
                <w:lang w:val="sq-AL"/>
              </w:rPr>
            </w:pPr>
            <w:r w:rsidRPr="00C472AD">
              <w:rPr>
                <w:bCs/>
                <w:sz w:val="18"/>
                <w:lang w:val="sq-AL"/>
              </w:rPr>
              <w:t xml:space="preserve"> Ministria e Arsimit Sportit dhe Rinise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45,458,347</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45,775,102</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16,769,986</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37%</w:t>
            </w:r>
          </w:p>
        </w:tc>
        <w:tc>
          <w:tcPr>
            <w:tcW w:w="1035"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40%</w:t>
            </w:r>
          </w:p>
        </w:tc>
        <w:tc>
          <w:tcPr>
            <w:tcW w:w="1035" w:type="dxa"/>
            <w:tcBorders>
              <w:top w:val="nil"/>
              <w:left w:val="single" w:sz="4" w:space="0" w:color="4F81BD"/>
              <w:bottom w:val="single" w:sz="4" w:space="0" w:color="auto"/>
              <w:right w:val="single" w:sz="4" w:space="0" w:color="auto"/>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5%</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Ministria e Kultures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4,312,260</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4,968,713</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606,657</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14%</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32%</w:t>
            </w:r>
          </w:p>
        </w:tc>
        <w:tc>
          <w:tcPr>
            <w:tcW w:w="1035" w:type="dxa"/>
            <w:tcBorders>
              <w:top w:val="nil"/>
              <w:left w:val="nil"/>
              <w:bottom w:val="single" w:sz="8" w:space="0" w:color="auto"/>
              <w:right w:val="single" w:sz="8" w:space="0" w:color="auto"/>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0.23%</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bCs/>
                <w:sz w:val="18"/>
                <w:lang w:val="sq-AL"/>
              </w:rPr>
            </w:pPr>
            <w:r w:rsidRPr="00C472AD">
              <w:rPr>
                <w:bCs/>
                <w:sz w:val="18"/>
                <w:lang w:val="sq-AL"/>
              </w:rPr>
              <w:t xml:space="preserve"> Ministria e Shendetesise dhe Mbrojtjes Sociale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77,075,882</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77,850,218</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30,200,908</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39%</w:t>
            </w:r>
          </w:p>
        </w:tc>
        <w:tc>
          <w:tcPr>
            <w:tcW w:w="1035"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39%</w:t>
            </w:r>
          </w:p>
        </w:tc>
        <w:tc>
          <w:tcPr>
            <w:tcW w:w="1035" w:type="dxa"/>
            <w:tcBorders>
              <w:top w:val="nil"/>
              <w:left w:val="single" w:sz="4" w:space="0" w:color="4F81BD"/>
              <w:bottom w:val="single" w:sz="4" w:space="0" w:color="auto"/>
              <w:right w:val="single" w:sz="4" w:space="0" w:color="auto"/>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46%</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auto" w:fill="auto"/>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Ministria e Drejtesise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11,280,132</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10,886,660</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3,664,080</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34%</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36%</w:t>
            </w:r>
          </w:p>
        </w:tc>
        <w:tc>
          <w:tcPr>
            <w:tcW w:w="1035" w:type="dxa"/>
            <w:tcBorders>
              <w:top w:val="nil"/>
              <w:left w:val="nil"/>
              <w:bottom w:val="single" w:sz="8" w:space="0" w:color="auto"/>
              <w:right w:val="single" w:sz="8" w:space="0" w:color="auto"/>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000000" w:fill="DAEEF3"/>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Ministria per Evropen dhe Punet e Jashtme                                                        </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3,120,143</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2,887,947</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611,570</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21%</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21%</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24%</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Ministria e Brendshme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21,191,400</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20,550,822</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8,240,516</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40%</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40%</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35%</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Ministria e Mbrojtjes                                                                            </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32,632,805</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29,001,892</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7,410,121</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26%</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32%</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8%</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auto" w:fill="auto"/>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Akademia e Shkencave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152,800</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143,567</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37,197</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26%</w:t>
            </w:r>
          </w:p>
        </w:tc>
        <w:tc>
          <w:tcPr>
            <w:tcW w:w="1035"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26%</w:t>
            </w:r>
          </w:p>
        </w:tc>
        <w:tc>
          <w:tcPr>
            <w:tcW w:w="1035" w:type="dxa"/>
            <w:tcBorders>
              <w:top w:val="nil"/>
              <w:left w:val="nil"/>
              <w:bottom w:val="single" w:sz="8" w:space="0" w:color="auto"/>
              <w:right w:val="single" w:sz="8" w:space="0" w:color="auto"/>
            </w:tcBorders>
            <w:shd w:val="clear" w:color="auto" w:fill="auto"/>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41%</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Kontrolli Larte i Shtetit                                                                        </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508,960</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491,154</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165,047</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32%</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35%</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8%</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rFonts w:ascii="Calibri" w:hAnsi="Calibri"/>
                <w:bCs/>
                <w:sz w:val="18"/>
                <w:lang w:val="sq-AL"/>
              </w:rPr>
            </w:pPr>
            <w:r w:rsidRPr="00C472AD">
              <w:rPr>
                <w:rFonts w:ascii="Calibri" w:hAnsi="Calibri"/>
                <w:bCs/>
                <w:sz w:val="18"/>
                <w:lang w:val="sq-AL"/>
              </w:rPr>
              <w:t xml:space="preserve"> Ministria e Turizmit dhe Mjedisit                                                                </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2,439,460</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2,399,432</w:t>
            </w:r>
          </w:p>
        </w:tc>
        <w:tc>
          <w:tcPr>
            <w:tcW w:w="1228"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790,058</w:t>
            </w:r>
          </w:p>
        </w:tc>
        <w:tc>
          <w:tcPr>
            <w:tcW w:w="1150" w:type="dxa"/>
            <w:tcBorders>
              <w:top w:val="nil"/>
              <w:left w:val="nil"/>
              <w:bottom w:val="single" w:sz="8" w:space="0" w:color="auto"/>
              <w:right w:val="single" w:sz="8" w:space="0" w:color="4F81BD"/>
            </w:tcBorders>
            <w:shd w:val="clear" w:color="auto" w:fill="auto"/>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33%</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29%</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6"/>
                <w:szCs w:val="16"/>
                <w:lang w:val="sq-AL"/>
              </w:rPr>
            </w:pPr>
            <w:r w:rsidRPr="00C472AD">
              <w:rPr>
                <w:rFonts w:ascii="Calibri" w:hAnsi="Calibri"/>
                <w:sz w:val="16"/>
                <w:szCs w:val="16"/>
                <w:lang w:val="sq-AL"/>
              </w:rPr>
              <w:t>38%</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bCs/>
                <w:sz w:val="18"/>
                <w:lang w:val="sq-AL"/>
              </w:rPr>
            </w:pPr>
            <w:r w:rsidRPr="00C472AD">
              <w:rPr>
                <w:bCs/>
                <w:sz w:val="18"/>
                <w:lang w:val="sq-AL"/>
              </w:rPr>
              <w:t xml:space="preserve"> Prokuroria e Pergjithshme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2,294,270</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2,303,413</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839,371</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36%</w:t>
            </w:r>
          </w:p>
        </w:tc>
        <w:tc>
          <w:tcPr>
            <w:tcW w:w="1035"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39%</w:t>
            </w:r>
          </w:p>
        </w:tc>
        <w:tc>
          <w:tcPr>
            <w:tcW w:w="1035" w:type="dxa"/>
            <w:tcBorders>
              <w:top w:val="nil"/>
              <w:left w:val="single" w:sz="4" w:space="0" w:color="4F81BD"/>
              <w:bottom w:val="single" w:sz="4" w:space="0" w:color="auto"/>
              <w:right w:val="single" w:sz="4" w:space="0" w:color="auto"/>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1%</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bCs/>
                <w:sz w:val="18"/>
                <w:lang w:val="sq-AL"/>
              </w:rPr>
            </w:pPr>
            <w:r w:rsidRPr="00C472AD">
              <w:rPr>
                <w:bCs/>
                <w:sz w:val="18"/>
                <w:lang w:val="sq-AL"/>
              </w:rPr>
              <w:t xml:space="preserve"> Keshilli i Larte Gjyqesor                                                                        </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3,347,808</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3,636,726</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1,128,768</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31%</w:t>
            </w:r>
          </w:p>
        </w:tc>
        <w:tc>
          <w:tcPr>
            <w:tcW w:w="1035"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35%</w:t>
            </w:r>
          </w:p>
        </w:tc>
        <w:tc>
          <w:tcPr>
            <w:tcW w:w="1035" w:type="dxa"/>
            <w:tcBorders>
              <w:top w:val="nil"/>
              <w:left w:val="single" w:sz="4" w:space="0" w:color="4F81BD"/>
              <w:bottom w:val="single" w:sz="4" w:space="0" w:color="auto"/>
              <w:right w:val="single" w:sz="4" w:space="0" w:color="auto"/>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2%</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346DCC" w:rsidRPr="00C472AD" w:rsidRDefault="00346DCC" w:rsidP="00C82070">
            <w:pPr>
              <w:rPr>
                <w:bCs/>
                <w:sz w:val="18"/>
                <w:lang w:val="sq-AL"/>
              </w:rPr>
            </w:pPr>
            <w:r w:rsidRPr="00C472AD">
              <w:rPr>
                <w:bCs/>
                <w:sz w:val="18"/>
                <w:lang w:val="sq-AL"/>
              </w:rPr>
              <w:t xml:space="preserve"> Gjykata Kushtetuese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152,760</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166,109</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53,327</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32%</w:t>
            </w:r>
          </w:p>
        </w:tc>
        <w:tc>
          <w:tcPr>
            <w:tcW w:w="1035" w:type="dxa"/>
            <w:tcBorders>
              <w:top w:val="nil"/>
              <w:left w:val="single" w:sz="4" w:space="0" w:color="4F81BD"/>
              <w:bottom w:val="single" w:sz="4" w:space="0" w:color="auto"/>
              <w:right w:val="single" w:sz="4" w:space="0" w:color="4F81BD"/>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36%</w:t>
            </w:r>
          </w:p>
        </w:tc>
        <w:tc>
          <w:tcPr>
            <w:tcW w:w="1035" w:type="dxa"/>
            <w:tcBorders>
              <w:top w:val="nil"/>
              <w:left w:val="single" w:sz="4" w:space="0" w:color="4F81BD"/>
              <w:bottom w:val="single" w:sz="4" w:space="0" w:color="auto"/>
              <w:right w:val="single" w:sz="4" w:space="0" w:color="auto"/>
            </w:tcBorders>
            <w:shd w:val="clear" w:color="000000" w:fill="DAEEF3"/>
            <w:noWrap/>
            <w:vAlign w:val="center"/>
          </w:tcPr>
          <w:p w:rsidR="00346DCC" w:rsidRPr="00C472AD" w:rsidRDefault="00346DCC" w:rsidP="00C82070">
            <w:pPr>
              <w:jc w:val="center"/>
              <w:rPr>
                <w:bCs/>
                <w:sz w:val="18"/>
                <w:lang w:val="sq-AL"/>
              </w:rPr>
            </w:pPr>
            <w:r w:rsidRPr="00C472AD">
              <w:rPr>
                <w:bCs/>
                <w:sz w:val="18"/>
                <w:lang w:val="sq-AL"/>
              </w:rPr>
              <w:t>0%</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vAlign w:val="center"/>
            <w:hideMark/>
          </w:tcPr>
          <w:p w:rsidR="00346DCC" w:rsidRPr="00C472AD" w:rsidRDefault="00346DCC" w:rsidP="00C82070">
            <w:pPr>
              <w:rPr>
                <w:bCs/>
                <w:sz w:val="18"/>
                <w:lang w:val="sq-AL"/>
              </w:rPr>
            </w:pPr>
            <w:r w:rsidRPr="00C472AD">
              <w:rPr>
                <w:bCs/>
                <w:sz w:val="18"/>
                <w:lang w:val="sq-AL"/>
              </w:rPr>
              <w:t xml:space="preserve"> Keshilli i Larte i Prokurorise                                                                   </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150,800</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149,775</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63,544</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42%</w:t>
            </w:r>
          </w:p>
        </w:tc>
        <w:tc>
          <w:tcPr>
            <w:tcW w:w="1035"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40%</w:t>
            </w:r>
          </w:p>
        </w:tc>
        <w:tc>
          <w:tcPr>
            <w:tcW w:w="1035" w:type="dxa"/>
            <w:tcBorders>
              <w:top w:val="nil"/>
              <w:left w:val="single" w:sz="4" w:space="0" w:color="4F81BD"/>
              <w:bottom w:val="single" w:sz="4" w:space="0" w:color="auto"/>
              <w:right w:val="single" w:sz="4" w:space="0" w:color="auto"/>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87%</w:t>
            </w:r>
          </w:p>
        </w:tc>
      </w:tr>
      <w:tr w:rsidR="00346DCC" w:rsidRPr="00C472AD" w:rsidTr="00C82070">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346DCC" w:rsidRPr="00C472AD" w:rsidRDefault="00346DCC" w:rsidP="00C82070">
            <w:pPr>
              <w:rPr>
                <w:bCs/>
                <w:sz w:val="18"/>
                <w:lang w:val="sq-AL"/>
              </w:rPr>
            </w:pPr>
            <w:r w:rsidRPr="00C472AD">
              <w:rPr>
                <w:bCs/>
                <w:sz w:val="18"/>
                <w:lang w:val="sq-AL"/>
              </w:rPr>
              <w:t>Institucionet e sistemit te drejtesise</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712,656</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759,053</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231,877</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31%</w:t>
            </w:r>
          </w:p>
        </w:tc>
        <w:tc>
          <w:tcPr>
            <w:tcW w:w="1035" w:type="dxa"/>
            <w:tcBorders>
              <w:top w:val="nil"/>
              <w:left w:val="single" w:sz="4" w:space="0" w:color="4F81BD"/>
              <w:bottom w:val="single" w:sz="4" w:space="0" w:color="auto"/>
              <w:right w:val="single" w:sz="4" w:space="0" w:color="4F81BD"/>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34%</w:t>
            </w:r>
          </w:p>
        </w:tc>
        <w:tc>
          <w:tcPr>
            <w:tcW w:w="1035" w:type="dxa"/>
            <w:tcBorders>
              <w:top w:val="nil"/>
              <w:left w:val="single" w:sz="4" w:space="0" w:color="4F81BD"/>
              <w:bottom w:val="single" w:sz="4" w:space="0" w:color="auto"/>
              <w:right w:val="single" w:sz="4" w:space="0" w:color="auto"/>
            </w:tcBorders>
            <w:shd w:val="clear" w:color="auto" w:fill="auto"/>
            <w:noWrap/>
            <w:vAlign w:val="center"/>
          </w:tcPr>
          <w:p w:rsidR="00346DCC" w:rsidRPr="00C472AD" w:rsidRDefault="00346DCC" w:rsidP="00C82070">
            <w:pPr>
              <w:jc w:val="center"/>
              <w:rPr>
                <w:bCs/>
                <w:sz w:val="18"/>
                <w:lang w:val="sq-AL"/>
              </w:rPr>
            </w:pPr>
            <w:r w:rsidRPr="00C472AD">
              <w:rPr>
                <w:bCs/>
                <w:sz w:val="18"/>
                <w:lang w:val="sq-AL"/>
              </w:rPr>
              <w:t>0%</w:t>
            </w:r>
          </w:p>
        </w:tc>
      </w:tr>
      <w:tr w:rsidR="00346DCC" w:rsidRPr="00C472AD" w:rsidTr="00C82070">
        <w:trPr>
          <w:trHeight w:val="376"/>
          <w:jc w:val="center"/>
        </w:trPr>
        <w:tc>
          <w:tcPr>
            <w:tcW w:w="3523" w:type="dxa"/>
            <w:tcBorders>
              <w:top w:val="nil"/>
              <w:left w:val="single" w:sz="8" w:space="0" w:color="auto"/>
              <w:bottom w:val="single" w:sz="8" w:space="0" w:color="auto"/>
              <w:right w:val="single" w:sz="8" w:space="0" w:color="4F81BD"/>
            </w:tcBorders>
            <w:shd w:val="clear" w:color="000000" w:fill="DAEEF3"/>
            <w:noWrap/>
            <w:vAlign w:val="center"/>
            <w:hideMark/>
          </w:tcPr>
          <w:p w:rsidR="00346DCC" w:rsidRPr="00C472AD" w:rsidRDefault="00346DCC" w:rsidP="00C82070">
            <w:pPr>
              <w:rPr>
                <w:rFonts w:ascii="Calibri" w:hAnsi="Calibri"/>
                <w:sz w:val="18"/>
                <w:szCs w:val="18"/>
                <w:lang w:val="sq-AL"/>
              </w:rPr>
            </w:pPr>
            <w:r w:rsidRPr="00C472AD">
              <w:rPr>
                <w:rFonts w:ascii="Calibri" w:hAnsi="Calibri"/>
                <w:sz w:val="18"/>
                <w:szCs w:val="18"/>
                <w:lang w:val="sq-AL"/>
              </w:rPr>
              <w:t xml:space="preserve"> Institucione te tjera Qeveritare                                                                 </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8,980,927</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8,641,846</w:t>
            </w:r>
          </w:p>
        </w:tc>
        <w:tc>
          <w:tcPr>
            <w:tcW w:w="1228"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3,464,175</w:t>
            </w:r>
          </w:p>
        </w:tc>
        <w:tc>
          <w:tcPr>
            <w:tcW w:w="1150"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40%</w:t>
            </w:r>
          </w:p>
        </w:tc>
        <w:tc>
          <w:tcPr>
            <w:tcW w:w="1035" w:type="dxa"/>
            <w:tcBorders>
              <w:top w:val="nil"/>
              <w:left w:val="nil"/>
              <w:bottom w:val="single" w:sz="8" w:space="0" w:color="auto"/>
              <w:right w:val="single" w:sz="8" w:space="0" w:color="4F81BD"/>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44%</w:t>
            </w:r>
          </w:p>
        </w:tc>
        <w:tc>
          <w:tcPr>
            <w:tcW w:w="1035" w:type="dxa"/>
            <w:tcBorders>
              <w:top w:val="nil"/>
              <w:left w:val="nil"/>
              <w:bottom w:val="single" w:sz="8" w:space="0" w:color="auto"/>
              <w:right w:val="single" w:sz="8" w:space="0" w:color="auto"/>
            </w:tcBorders>
            <w:shd w:val="clear" w:color="000000" w:fill="DAEEF3"/>
            <w:noWrap/>
            <w:vAlign w:val="center"/>
          </w:tcPr>
          <w:p w:rsidR="00346DCC" w:rsidRPr="00C472AD" w:rsidRDefault="00346DCC" w:rsidP="00C82070">
            <w:pPr>
              <w:jc w:val="center"/>
              <w:rPr>
                <w:rFonts w:ascii="Calibri" w:hAnsi="Calibri"/>
                <w:sz w:val="18"/>
                <w:szCs w:val="18"/>
                <w:lang w:val="sq-AL"/>
              </w:rPr>
            </w:pPr>
            <w:r w:rsidRPr="00C472AD">
              <w:rPr>
                <w:rFonts w:ascii="Calibri" w:hAnsi="Calibri"/>
                <w:sz w:val="18"/>
                <w:szCs w:val="18"/>
                <w:lang w:val="sq-AL"/>
              </w:rPr>
              <w:t>31%</w:t>
            </w:r>
          </w:p>
        </w:tc>
      </w:tr>
    </w:tbl>
    <w:p w:rsidR="00990CDF" w:rsidRPr="00BF005F" w:rsidRDefault="00990CDF" w:rsidP="00346DCC">
      <w:pPr>
        <w:spacing w:line="276" w:lineRule="auto"/>
        <w:jc w:val="center"/>
        <w:rPr>
          <w:rFonts w:asciiTheme="minorHAnsi" w:eastAsia="MS Mincho" w:hAnsiTheme="minorHAnsi"/>
          <w:lang w:val="sq-AL"/>
        </w:rPr>
      </w:pPr>
    </w:p>
    <w:p w:rsidR="00990CDF" w:rsidRDefault="00990CDF" w:rsidP="00990CDF">
      <w:pPr>
        <w:spacing w:before="240" w:line="276" w:lineRule="auto"/>
        <w:jc w:val="both"/>
        <w:rPr>
          <w:rFonts w:asciiTheme="minorHAnsi" w:eastAsia="MS Mincho" w:hAnsiTheme="minorHAnsi"/>
          <w:lang w:val="sq-AL"/>
        </w:rPr>
      </w:pPr>
    </w:p>
    <w:p w:rsidR="00346DCC" w:rsidRPr="00BF005F" w:rsidRDefault="00346DCC" w:rsidP="00990CDF">
      <w:pPr>
        <w:spacing w:before="240" w:line="276" w:lineRule="auto"/>
        <w:jc w:val="both"/>
        <w:rPr>
          <w:rFonts w:asciiTheme="minorHAnsi" w:eastAsia="MS Mincho" w:hAnsiTheme="minorHAnsi"/>
          <w:lang w:val="sq-AL"/>
        </w:rPr>
      </w:pPr>
    </w:p>
    <w:bookmarkEnd w:id="180"/>
    <w:bookmarkEnd w:id="181"/>
    <w:p w:rsidR="00990CDF" w:rsidRPr="00BF005F" w:rsidRDefault="00990CDF" w:rsidP="00990CDF">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SHËNDETËSIA DHE MBROJTJA SOCIALE</w:t>
      </w:r>
    </w:p>
    <w:p w:rsidR="00990CDF" w:rsidRPr="00BF005F" w:rsidRDefault="00346DCC" w:rsidP="00346DCC">
      <w:pPr>
        <w:keepNext/>
        <w:spacing w:line="276" w:lineRule="auto"/>
        <w:jc w:val="both"/>
        <w:rPr>
          <w:rFonts w:asciiTheme="minorHAnsi" w:eastAsia="MS Mincho" w:hAnsiTheme="minorHAnsi"/>
          <w:lang w:val="sq-AL"/>
        </w:rPr>
      </w:pPr>
      <w:r w:rsidRPr="00C472AD">
        <w:rPr>
          <w:rFonts w:ascii="Calibri" w:hAnsi="Calibri"/>
          <w:lang w:val="sq-AL"/>
        </w:rPr>
        <w:t>Në përputhje me drejtimet kryesore të politikës së përgjithshme shtetërore, me fondet buxhetore të miratuara për vitin 2022, performanca e treguesve buxhetorë për programet e Ministrisë së Shëndetësisë dhe Mbrojtjes Sociale, paraqitet si më poshtë</w:t>
      </w:r>
      <w:r w:rsidR="00990CDF" w:rsidRPr="00BF005F">
        <w:rPr>
          <w:rFonts w:asciiTheme="minorHAnsi" w:eastAsia="MS Mincho" w:hAnsiTheme="minorHAnsi"/>
          <w:lang w:val="sq-AL"/>
        </w:rPr>
        <w:t>:</w:t>
      </w:r>
    </w:p>
    <w:p w:rsidR="00990CDF" w:rsidRPr="00BF005F" w:rsidRDefault="00990CDF" w:rsidP="00E7447D">
      <w:pPr>
        <w:spacing w:before="240"/>
        <w:rPr>
          <w:rFonts w:asciiTheme="minorHAnsi" w:hAnsiTheme="minorHAnsi"/>
          <w:i/>
          <w:noProof/>
        </w:rPr>
      </w:pPr>
      <w:bookmarkStart w:id="184" w:name="_Toc107496774"/>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B2B9B">
        <w:rPr>
          <w:rFonts w:asciiTheme="minorHAnsi" w:hAnsiTheme="minorHAnsi"/>
          <w:i/>
          <w:noProof/>
        </w:rPr>
        <w:t>38</w:t>
      </w:r>
      <w:r w:rsidRPr="00BF005F">
        <w:rPr>
          <w:rFonts w:asciiTheme="minorHAnsi" w:hAnsiTheme="minorHAnsi"/>
          <w:i/>
          <w:noProof/>
        </w:rPr>
        <w:fldChar w:fldCharType="end"/>
      </w:r>
      <w:r w:rsidRPr="00BF005F">
        <w:rPr>
          <w:rFonts w:asciiTheme="minorHAnsi" w:hAnsiTheme="minorHAnsi"/>
          <w:i/>
          <w:noProof/>
        </w:rPr>
        <w:t>: Shëndetësia dhe mbrojtja sociale</w:t>
      </w:r>
      <w:bookmarkEnd w:id="184"/>
    </w:p>
    <w:p w:rsidR="00990CDF" w:rsidRPr="00E7447D" w:rsidRDefault="00990CDF" w:rsidP="00990CDF">
      <w:pPr>
        <w:spacing w:line="276" w:lineRule="auto"/>
        <w:jc w:val="right"/>
        <w:rPr>
          <w:rFonts w:asciiTheme="minorHAnsi" w:hAnsiTheme="minorHAnsi"/>
          <w:bCs/>
          <w:i/>
          <w:iCs/>
          <w:sz w:val="22"/>
          <w:u w:val="single"/>
          <w:lang w:val="sq-AL"/>
        </w:rPr>
      </w:pPr>
      <w:r w:rsidRPr="00E7447D">
        <w:rPr>
          <w:rFonts w:asciiTheme="minorHAnsi" w:hAnsiTheme="minorHAnsi"/>
          <w:bCs/>
          <w:i/>
          <w:iCs/>
          <w:sz w:val="22"/>
          <w:u w:val="single"/>
          <w:lang w:val="sq-AL"/>
        </w:rPr>
        <w:t>Në mijë lekë</w:t>
      </w:r>
    </w:p>
    <w:tbl>
      <w:tblPr>
        <w:tblStyle w:val="ListTable3-Accent5251"/>
        <w:tblW w:w="5306" w:type="pct"/>
        <w:jc w:val="center"/>
        <w:tblLayout w:type="fixed"/>
        <w:tblLook w:val="01E0" w:firstRow="1" w:lastRow="1" w:firstColumn="1" w:lastColumn="1" w:noHBand="0" w:noVBand="0"/>
      </w:tblPr>
      <w:tblGrid>
        <w:gridCol w:w="507"/>
        <w:gridCol w:w="11"/>
        <w:gridCol w:w="3180"/>
        <w:gridCol w:w="1096"/>
        <w:gridCol w:w="1049"/>
        <w:gridCol w:w="1147"/>
        <w:gridCol w:w="6"/>
        <w:gridCol w:w="1176"/>
        <w:gridCol w:w="1045"/>
        <w:gridCol w:w="992"/>
      </w:tblGrid>
      <w:tr w:rsidR="00346DCC" w:rsidRPr="00C472AD" w:rsidTr="00346DCC">
        <w:trPr>
          <w:cnfStyle w:val="100000000000" w:firstRow="1" w:lastRow="0" w:firstColumn="0" w:lastColumn="0" w:oddVBand="0" w:evenVBand="0" w:oddHBand="0" w:evenHBand="0" w:firstRowFirstColumn="0" w:firstRowLastColumn="0" w:lastRowFirstColumn="0" w:lastRowLastColumn="0"/>
          <w:trHeight w:val="180"/>
          <w:jc w:val="center"/>
        </w:trPr>
        <w:tc>
          <w:tcPr>
            <w:cnfStyle w:val="001000000100" w:firstRow="0" w:lastRow="0" w:firstColumn="1" w:lastColumn="0" w:oddVBand="0" w:evenVBand="0" w:oddHBand="0" w:evenHBand="0" w:firstRowFirstColumn="1" w:firstRowLastColumn="0" w:lastRowFirstColumn="0" w:lastRowLastColumn="0"/>
            <w:tcW w:w="253" w:type="pct"/>
            <w:gridSpan w:val="2"/>
            <w:vMerge w:val="restart"/>
          </w:tcPr>
          <w:p w:rsidR="00346DCC" w:rsidRPr="00C472AD" w:rsidRDefault="00346DCC" w:rsidP="00C82070">
            <w:pPr>
              <w:jc w:val="center"/>
              <w:rPr>
                <w:rFonts w:ascii="Calibri" w:hAnsi="Calibri"/>
                <w:color w:val="auto"/>
                <w:sz w:val="18"/>
                <w:lang w:val="sq-AL"/>
              </w:rPr>
            </w:pPr>
          </w:p>
          <w:p w:rsidR="00346DCC" w:rsidRPr="00C472AD" w:rsidRDefault="00346DCC" w:rsidP="00C82070">
            <w:pPr>
              <w:jc w:val="center"/>
              <w:rPr>
                <w:rFonts w:ascii="Calibri" w:hAnsi="Calibri"/>
                <w:color w:val="auto"/>
                <w:sz w:val="18"/>
                <w:lang w:val="sq-AL"/>
              </w:rPr>
            </w:pPr>
            <w:r w:rsidRPr="00C472AD">
              <w:rPr>
                <w:rFonts w:ascii="Calibri" w:hAnsi="Calibr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57" w:type="pct"/>
            <w:vMerge w:val="restart"/>
          </w:tcPr>
          <w:p w:rsidR="00346DCC" w:rsidRPr="00C472AD" w:rsidRDefault="00346DCC" w:rsidP="00C82070">
            <w:pPr>
              <w:jc w:val="center"/>
              <w:rPr>
                <w:rFonts w:ascii="Calibri" w:hAnsi="Calibri"/>
                <w:color w:val="auto"/>
                <w:sz w:val="18"/>
                <w:lang w:val="sq-AL"/>
              </w:rPr>
            </w:pPr>
          </w:p>
          <w:p w:rsidR="00346DCC" w:rsidRPr="00C472AD" w:rsidRDefault="00346DCC" w:rsidP="00C82070">
            <w:pPr>
              <w:jc w:val="center"/>
              <w:rPr>
                <w:rFonts w:ascii="Calibri" w:hAnsi="Calibri"/>
                <w:color w:val="auto"/>
                <w:sz w:val="18"/>
                <w:lang w:val="sq-AL"/>
              </w:rPr>
            </w:pPr>
            <w:r w:rsidRPr="00C472AD">
              <w:rPr>
                <w:rFonts w:ascii="Calibri" w:hAnsi="Calibri"/>
                <w:color w:val="auto"/>
                <w:sz w:val="18"/>
                <w:lang w:val="sq-AL"/>
              </w:rPr>
              <w:t>Emërtimi i Programit</w:t>
            </w:r>
          </w:p>
        </w:tc>
        <w:tc>
          <w:tcPr>
            <w:tcW w:w="1051" w:type="pct"/>
            <w:gridSpan w:val="2"/>
          </w:tcPr>
          <w:p w:rsidR="00346DCC" w:rsidRPr="00C472AD" w:rsidRDefault="00346DCC" w:rsidP="00C82070">
            <w:pPr>
              <w:ind w:left="80"/>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8"/>
                <w:lang w:val="sq-AL"/>
              </w:rPr>
            </w:pPr>
            <w:r w:rsidRPr="00C472AD">
              <w:rPr>
                <w:rFonts w:ascii="Calibri" w:hAnsi="Calibri"/>
                <w:color w:val="auto"/>
                <w:sz w:val="18"/>
                <w:lang w:val="sq-AL"/>
              </w:rPr>
              <w:t>Plani 2022</w:t>
            </w:r>
          </w:p>
        </w:tc>
        <w:tc>
          <w:tcPr>
            <w:cnfStyle w:val="000010000000" w:firstRow="0" w:lastRow="0" w:firstColumn="0" w:lastColumn="0" w:oddVBand="1" w:evenVBand="0" w:oddHBand="0" w:evenHBand="0" w:firstRowFirstColumn="0" w:firstRowLastColumn="0" w:lastRowFirstColumn="0" w:lastRowLastColumn="0"/>
            <w:tcW w:w="1141" w:type="pct"/>
            <w:gridSpan w:val="3"/>
          </w:tcPr>
          <w:p w:rsidR="00346DCC" w:rsidRPr="00C472AD" w:rsidRDefault="00346DCC" w:rsidP="00C82070">
            <w:pPr>
              <w:jc w:val="center"/>
              <w:rPr>
                <w:rFonts w:ascii="Calibri" w:hAnsi="Calibri"/>
                <w:color w:val="auto"/>
                <w:sz w:val="18"/>
                <w:lang w:val="sq-AL"/>
              </w:rPr>
            </w:pPr>
            <w:r w:rsidRPr="00C472AD">
              <w:rPr>
                <w:rFonts w:ascii="Calibri" w:hAnsi="Calibri"/>
                <w:color w:val="auto"/>
                <w:sz w:val="18"/>
                <w:lang w:val="sq-AL"/>
              </w:rPr>
              <w:t>Fakti 4-mujori 2022</w:t>
            </w:r>
          </w:p>
        </w:tc>
        <w:tc>
          <w:tcPr>
            <w:cnfStyle w:val="000100001000" w:firstRow="0" w:lastRow="0" w:firstColumn="0" w:lastColumn="1" w:oddVBand="0" w:evenVBand="0" w:oddHBand="0" w:evenHBand="0" w:firstRowFirstColumn="0" w:firstRowLastColumn="1" w:lastRowFirstColumn="0" w:lastRowLastColumn="0"/>
            <w:tcW w:w="998" w:type="pct"/>
            <w:gridSpan w:val="2"/>
          </w:tcPr>
          <w:p w:rsidR="00346DCC" w:rsidRPr="00C472AD" w:rsidRDefault="00346DCC" w:rsidP="00C82070">
            <w:pPr>
              <w:jc w:val="center"/>
              <w:rPr>
                <w:rFonts w:ascii="Calibri" w:hAnsi="Calibri"/>
                <w:color w:val="auto"/>
                <w:sz w:val="18"/>
                <w:lang w:val="sq-AL"/>
              </w:rPr>
            </w:pPr>
            <w:r w:rsidRPr="00C472AD">
              <w:rPr>
                <w:rFonts w:ascii="Calibri" w:hAnsi="Calibri"/>
                <w:color w:val="auto"/>
                <w:sz w:val="18"/>
                <w:lang w:val="sq-AL"/>
              </w:rPr>
              <w:t>Përqindja  e realizimit</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53" w:type="pct"/>
            <w:gridSpan w:val="2"/>
            <w:vMerge/>
          </w:tcPr>
          <w:p w:rsidR="00346DCC" w:rsidRPr="00C472AD" w:rsidRDefault="00346DCC"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57" w:type="pct"/>
            <w:vMerge/>
          </w:tcPr>
          <w:p w:rsidR="00346DCC" w:rsidRPr="00C472AD" w:rsidRDefault="00346DCC" w:rsidP="00C82070">
            <w:pPr>
              <w:jc w:val="center"/>
              <w:rPr>
                <w:rFonts w:ascii="Calibri" w:hAnsi="Calibri"/>
                <w:b/>
                <w:sz w:val="18"/>
                <w:lang w:val="sq-AL"/>
              </w:rPr>
            </w:pPr>
          </w:p>
        </w:tc>
        <w:tc>
          <w:tcPr>
            <w:tcW w:w="537" w:type="pct"/>
          </w:tcPr>
          <w:p w:rsidR="00346DCC" w:rsidRPr="00C472AD" w:rsidRDefault="00346DCC" w:rsidP="00C82070">
            <w:pPr>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ind w:left="80"/>
              <w:jc w:val="center"/>
              <w:rPr>
                <w:rFonts w:ascii="Calibri" w:hAnsi="Calibri"/>
                <w:b/>
                <w:sz w:val="18"/>
                <w:lang w:val="sq-AL"/>
              </w:rPr>
            </w:pPr>
            <w:r w:rsidRPr="00C472AD">
              <w:rPr>
                <w:rFonts w:ascii="Calibri" w:hAnsi="Calibri"/>
                <w:b/>
                <w:sz w:val="18"/>
                <w:lang w:val="sq-AL"/>
              </w:rPr>
              <w:t>Investime</w:t>
            </w:r>
          </w:p>
        </w:tc>
        <w:tc>
          <w:tcPr>
            <w:tcW w:w="562" w:type="pct"/>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79" w:type="pct"/>
            <w:gridSpan w:val="2"/>
          </w:tcPr>
          <w:p w:rsidR="00346DCC" w:rsidRPr="00C472AD" w:rsidRDefault="00346DCC" w:rsidP="00C82070">
            <w:pPr>
              <w:jc w:val="center"/>
              <w:rPr>
                <w:rFonts w:ascii="Calibri" w:hAnsi="Calibri"/>
                <w:b/>
                <w:sz w:val="18"/>
                <w:lang w:val="sq-AL"/>
              </w:rPr>
            </w:pPr>
            <w:r w:rsidRPr="00C472AD">
              <w:rPr>
                <w:rFonts w:ascii="Calibri" w:hAnsi="Calibri"/>
                <w:b/>
                <w:sz w:val="18"/>
                <w:lang w:val="sq-AL"/>
              </w:rPr>
              <w:t>Investime</w:t>
            </w:r>
          </w:p>
        </w:tc>
        <w:tc>
          <w:tcPr>
            <w:tcW w:w="512" w:type="pct"/>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486" w:type="pct"/>
          </w:tcPr>
          <w:p w:rsidR="00346DCC" w:rsidRPr="00C472AD" w:rsidRDefault="00346DCC" w:rsidP="00C82070">
            <w:pPr>
              <w:jc w:val="center"/>
              <w:rPr>
                <w:rFonts w:ascii="Calibri" w:hAnsi="Calibri"/>
                <w:sz w:val="18"/>
                <w:lang w:val="sq-AL"/>
              </w:rPr>
            </w:pPr>
            <w:r w:rsidRPr="00C472AD">
              <w:rPr>
                <w:rFonts w:ascii="Calibri" w:hAnsi="Calibri"/>
                <w:sz w:val="18"/>
                <w:lang w:val="sq-AL"/>
              </w:rPr>
              <w:t>Investime</w:t>
            </w:r>
          </w:p>
        </w:tc>
      </w:tr>
      <w:tr w:rsidR="00346DCC" w:rsidRPr="00C472AD" w:rsidTr="00346DCC">
        <w:trPr>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Planifikimi, Menaxhimi dhe Administrimi</w:t>
            </w:r>
          </w:p>
        </w:tc>
        <w:tc>
          <w:tcPr>
            <w:tcW w:w="537"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340,479</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3,000</w:t>
            </w:r>
          </w:p>
        </w:tc>
        <w:tc>
          <w:tcPr>
            <w:tcW w:w="565" w:type="pct"/>
            <w:gridSpan w:val="2"/>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118,560</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1,980</w:t>
            </w:r>
          </w:p>
        </w:tc>
        <w:tc>
          <w:tcPr>
            <w:tcW w:w="512"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35</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66</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Shërbime të Kujdesit Shëndetësor Parësor</w:t>
            </w:r>
          </w:p>
        </w:tc>
        <w:tc>
          <w:tcPr>
            <w:tcW w:w="537"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8,494,899</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p>
          <w:p w:rsidR="00346DCC" w:rsidRPr="00C472AD" w:rsidRDefault="00346DCC" w:rsidP="00C82070">
            <w:pPr>
              <w:jc w:val="center"/>
              <w:rPr>
                <w:rFonts w:ascii="Calibri" w:hAnsi="Calibri"/>
                <w:sz w:val="18"/>
                <w:lang w:val="sq-AL"/>
              </w:rPr>
            </w:pPr>
            <w:r w:rsidRPr="00C472AD">
              <w:rPr>
                <w:rFonts w:ascii="Calibri" w:hAnsi="Calibri"/>
                <w:sz w:val="18"/>
                <w:lang w:val="sq-AL"/>
              </w:rPr>
              <w:t>147,052</w:t>
            </w:r>
          </w:p>
        </w:tc>
        <w:tc>
          <w:tcPr>
            <w:tcW w:w="565" w:type="pct"/>
            <w:gridSpan w:val="2"/>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3,832,268</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1,884</w:t>
            </w:r>
          </w:p>
        </w:tc>
        <w:tc>
          <w:tcPr>
            <w:tcW w:w="512"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45</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8</w:t>
            </w:r>
          </w:p>
        </w:tc>
      </w:tr>
      <w:tr w:rsidR="00346DCC" w:rsidRPr="00C472AD" w:rsidTr="00346DCC">
        <w:trPr>
          <w:trHeight w:val="171"/>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ind w:left="60"/>
              <w:contextualSpacing/>
              <w:jc w:val="right"/>
              <w:rPr>
                <w:rFonts w:ascii="Calibri" w:hAnsi="Calibri"/>
                <w:sz w:val="18"/>
                <w:lang w:val="sq-AL"/>
              </w:rPr>
            </w:pPr>
            <w:r w:rsidRPr="00C472AD">
              <w:rPr>
                <w:rFonts w:ascii="Calibri" w:hAnsi="Calibri"/>
                <w:sz w:val="18"/>
                <w:lang w:val="sq-AL"/>
              </w:rPr>
              <w:t>Financimi i huaj</w:t>
            </w:r>
          </w:p>
        </w:tc>
        <w:tc>
          <w:tcPr>
            <w:tcW w:w="537"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158,000</w:t>
            </w:r>
          </w:p>
        </w:tc>
        <w:tc>
          <w:tcPr>
            <w:tcW w:w="565" w:type="pct"/>
            <w:gridSpan w:val="2"/>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p>
        </w:tc>
        <w:tc>
          <w:tcPr>
            <w:tcW w:w="512"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4</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Shërbime të Kujdesit Shëndetësor Dytësor</w:t>
            </w:r>
          </w:p>
        </w:tc>
        <w:tc>
          <w:tcPr>
            <w:tcW w:w="537"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30,927,809</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p>
          <w:p w:rsidR="00346DCC" w:rsidRPr="00C472AD" w:rsidRDefault="00346DCC" w:rsidP="00C82070">
            <w:pPr>
              <w:jc w:val="center"/>
              <w:rPr>
                <w:rFonts w:ascii="Calibri" w:hAnsi="Calibri"/>
                <w:sz w:val="18"/>
                <w:lang w:val="sq-AL"/>
              </w:rPr>
            </w:pPr>
            <w:r w:rsidRPr="00C472AD">
              <w:rPr>
                <w:rFonts w:ascii="Calibri" w:hAnsi="Calibri"/>
                <w:sz w:val="18"/>
                <w:lang w:val="sq-AL"/>
              </w:rPr>
              <w:t>1,159,212</w:t>
            </w:r>
          </w:p>
        </w:tc>
        <w:tc>
          <w:tcPr>
            <w:tcW w:w="565" w:type="pct"/>
            <w:gridSpan w:val="2"/>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8,191,747</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126,995</w:t>
            </w:r>
          </w:p>
        </w:tc>
        <w:tc>
          <w:tcPr>
            <w:tcW w:w="512"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26</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11</w:t>
            </w:r>
          </w:p>
        </w:tc>
      </w:tr>
      <w:tr w:rsidR="00346DCC" w:rsidRPr="00C472AD" w:rsidTr="00346DCC">
        <w:trPr>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jc w:val="right"/>
              <w:rPr>
                <w:rFonts w:ascii="Calibri" w:hAnsi="Calibri"/>
                <w:sz w:val="18"/>
                <w:lang w:val="sq-AL"/>
              </w:rPr>
            </w:pPr>
            <w:r w:rsidRPr="00C472AD">
              <w:rPr>
                <w:rFonts w:ascii="Calibri" w:hAnsi="Calibri"/>
                <w:sz w:val="18"/>
                <w:lang w:val="sq-AL"/>
              </w:rPr>
              <w:t>Financimi i huaj</w:t>
            </w:r>
          </w:p>
        </w:tc>
        <w:tc>
          <w:tcPr>
            <w:tcW w:w="537"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1,152,000</w:t>
            </w:r>
          </w:p>
        </w:tc>
        <w:tc>
          <w:tcPr>
            <w:tcW w:w="565" w:type="pct"/>
            <w:gridSpan w:val="2"/>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815,655</w:t>
            </w:r>
          </w:p>
        </w:tc>
        <w:tc>
          <w:tcPr>
            <w:tcW w:w="512"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41</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4.</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Shërbime të Shëndetit Publik</w:t>
            </w:r>
          </w:p>
        </w:tc>
        <w:tc>
          <w:tcPr>
            <w:tcW w:w="537"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6,222,423</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13,680</w:t>
            </w:r>
          </w:p>
        </w:tc>
        <w:tc>
          <w:tcPr>
            <w:tcW w:w="565" w:type="pct"/>
            <w:gridSpan w:val="2"/>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1,686,242</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c>
          <w:tcPr>
            <w:tcW w:w="512"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27</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r>
      <w:tr w:rsidR="00346DCC" w:rsidRPr="00C472AD" w:rsidTr="00346DCC">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5</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Shërbimi Kombëtar i Urgjencës</w:t>
            </w:r>
          </w:p>
        </w:tc>
        <w:tc>
          <w:tcPr>
            <w:tcW w:w="537"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310,460</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c>
          <w:tcPr>
            <w:tcW w:w="565" w:type="pct"/>
            <w:gridSpan w:val="2"/>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60,151</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c>
          <w:tcPr>
            <w:tcW w:w="512"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19</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r w:rsidRPr="00C472AD">
              <w:rPr>
                <w:rFonts w:ascii="Calibri" w:hAnsi="Calibri"/>
                <w:sz w:val="18"/>
                <w:lang w:val="sq-AL"/>
              </w:rPr>
              <w:t>6.</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rPr>
                <w:rFonts w:ascii="Calibri" w:hAnsi="Calibri"/>
                <w:sz w:val="18"/>
                <w:lang w:val="sq-AL"/>
              </w:rPr>
            </w:pPr>
            <w:r w:rsidRPr="00C472AD">
              <w:rPr>
                <w:rFonts w:ascii="Calibri" w:hAnsi="Calibri"/>
                <w:sz w:val="18"/>
                <w:lang w:val="sq-AL"/>
              </w:rPr>
              <w:t>Përkujdesi Social</w:t>
            </w:r>
          </w:p>
        </w:tc>
        <w:tc>
          <w:tcPr>
            <w:tcW w:w="537"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27,766,629</w:t>
            </w: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20,000</w:t>
            </w:r>
          </w:p>
        </w:tc>
        <w:tc>
          <w:tcPr>
            <w:tcW w:w="565" w:type="pct"/>
            <w:gridSpan w:val="2"/>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8,424,700</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c>
          <w:tcPr>
            <w:tcW w:w="512" w:type="pct"/>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30</w:t>
            </w: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r>
      <w:tr w:rsidR="00346DCC" w:rsidRPr="00C472AD" w:rsidTr="00346DCC">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346DCC" w:rsidRPr="00C472AD" w:rsidRDefault="00346DCC"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rsidR="00346DCC" w:rsidRPr="00C472AD" w:rsidRDefault="00346DCC" w:rsidP="00C82070">
            <w:pPr>
              <w:jc w:val="right"/>
              <w:rPr>
                <w:rFonts w:ascii="Calibri" w:hAnsi="Calibri"/>
                <w:sz w:val="18"/>
                <w:lang w:val="sq-AL"/>
              </w:rPr>
            </w:pPr>
            <w:r w:rsidRPr="00C472AD">
              <w:rPr>
                <w:rFonts w:ascii="Calibri" w:hAnsi="Calibri"/>
                <w:bCs/>
                <w:sz w:val="18"/>
                <w:lang w:val="sq-AL"/>
              </w:rPr>
              <w:t>Financimi i huaj</w:t>
            </w:r>
          </w:p>
        </w:tc>
        <w:tc>
          <w:tcPr>
            <w:tcW w:w="537"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tcPr>
          <w:p w:rsidR="00346DCC" w:rsidRPr="00C472AD" w:rsidRDefault="00346DCC" w:rsidP="00C82070">
            <w:pPr>
              <w:jc w:val="center"/>
              <w:rPr>
                <w:rFonts w:ascii="Calibri" w:hAnsi="Calibri"/>
                <w:sz w:val="18"/>
                <w:lang w:val="sq-AL"/>
              </w:rPr>
            </w:pPr>
            <w:r w:rsidRPr="00C472AD">
              <w:rPr>
                <w:rFonts w:ascii="Calibri" w:hAnsi="Calibri"/>
                <w:sz w:val="18"/>
                <w:lang w:val="sq-AL"/>
              </w:rPr>
              <w:t>100,000</w:t>
            </w:r>
          </w:p>
        </w:tc>
        <w:tc>
          <w:tcPr>
            <w:tcW w:w="565" w:type="pct"/>
            <w:gridSpan w:val="2"/>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5,890</w:t>
            </w:r>
          </w:p>
        </w:tc>
        <w:tc>
          <w:tcPr>
            <w:tcW w:w="512" w:type="pct"/>
            <w:vAlign w:val="bottom"/>
          </w:tcPr>
          <w:p w:rsidR="00346DCC" w:rsidRPr="00C472AD" w:rsidRDefault="00346DCC"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486" w:type="pct"/>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5</w:t>
            </w:r>
          </w:p>
        </w:tc>
      </w:tr>
      <w:tr w:rsidR="00346DCC" w:rsidRPr="00C472AD" w:rsidTr="00346DCC">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Borders>
              <w:bottom w:val="none" w:sz="0" w:space="0" w:color="auto"/>
            </w:tcBorders>
          </w:tcPr>
          <w:p w:rsidR="00346DCC" w:rsidRPr="00C472AD" w:rsidRDefault="00346DCC" w:rsidP="00C82070">
            <w:pPr>
              <w:jc w:val="center"/>
              <w:rPr>
                <w:rFonts w:ascii="Calibri" w:hAnsi="Calibri"/>
                <w:sz w:val="18"/>
                <w:lang w:val="sq-AL"/>
              </w:rPr>
            </w:pPr>
            <w:r w:rsidRPr="00C472AD">
              <w:rPr>
                <w:rFonts w:ascii="Calibri" w:hAnsi="Calibri"/>
                <w:sz w:val="18"/>
                <w:lang w:val="sq-AL"/>
              </w:rPr>
              <w:t>7.</w:t>
            </w:r>
          </w:p>
        </w:tc>
        <w:tc>
          <w:tcPr>
            <w:cnfStyle w:val="000010000000" w:firstRow="0" w:lastRow="0" w:firstColumn="0" w:lastColumn="0" w:oddVBand="1" w:evenVBand="0" w:oddHBand="0" w:evenHBand="0" w:firstRowFirstColumn="0" w:firstRowLastColumn="0" w:lastRowFirstColumn="0" w:lastRowLastColumn="0"/>
            <w:tcW w:w="1562" w:type="pct"/>
            <w:gridSpan w:val="2"/>
            <w:tcBorders>
              <w:bottom w:val="none" w:sz="0" w:space="0" w:color="auto"/>
            </w:tcBorders>
            <w:vAlign w:val="bottom"/>
          </w:tcPr>
          <w:p w:rsidR="00346DCC" w:rsidRPr="00C472AD" w:rsidRDefault="00346DCC" w:rsidP="00C82070">
            <w:pPr>
              <w:jc w:val="right"/>
              <w:rPr>
                <w:rFonts w:ascii="Calibri" w:hAnsi="Calibri"/>
                <w:b/>
                <w:bCs/>
                <w:sz w:val="18"/>
                <w:lang w:val="sq-AL"/>
              </w:rPr>
            </w:pPr>
            <w:r w:rsidRPr="00C472AD">
              <w:rPr>
                <w:rFonts w:ascii="Calibri" w:hAnsi="Calibri"/>
                <w:sz w:val="18"/>
                <w:lang w:val="sq-AL"/>
              </w:rPr>
              <w:t>Rehabilitimi  i të Përndjekurve Politik</w:t>
            </w:r>
          </w:p>
        </w:tc>
        <w:tc>
          <w:tcPr>
            <w:tcW w:w="537" w:type="pct"/>
            <w:tcBorders>
              <w:bottom w:val="none" w:sz="0" w:space="0" w:color="auto"/>
            </w:tcBorders>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C472AD">
              <w:rPr>
                <w:rFonts w:ascii="Calibri" w:hAnsi="Calibri"/>
                <w:bCs/>
                <w:sz w:val="18"/>
                <w:lang w:val="sq-AL"/>
              </w:rPr>
              <w:t>1,034,575</w:t>
            </w:r>
          </w:p>
        </w:tc>
        <w:tc>
          <w:tcPr>
            <w:cnfStyle w:val="000010000000" w:firstRow="0" w:lastRow="0" w:firstColumn="0" w:lastColumn="0" w:oddVBand="1" w:evenVBand="0" w:oddHBand="0" w:evenHBand="0" w:firstRowFirstColumn="0" w:firstRowLastColumn="0" w:lastRowFirstColumn="0" w:lastRowLastColumn="0"/>
            <w:tcW w:w="514" w:type="pct"/>
            <w:tcBorders>
              <w:bottom w:val="none" w:sz="0"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0</w:t>
            </w:r>
          </w:p>
        </w:tc>
        <w:tc>
          <w:tcPr>
            <w:tcW w:w="565" w:type="pct"/>
            <w:gridSpan w:val="2"/>
            <w:tcBorders>
              <w:bottom w:val="none" w:sz="0" w:space="0" w:color="auto"/>
            </w:tcBorders>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C472AD">
              <w:rPr>
                <w:rFonts w:ascii="Calibri" w:hAnsi="Calibri"/>
                <w:bCs/>
                <w:sz w:val="18"/>
                <w:lang w:val="sq-AL"/>
              </w:rPr>
              <w:t>172,646</w:t>
            </w:r>
          </w:p>
        </w:tc>
        <w:tc>
          <w:tcPr>
            <w:cnfStyle w:val="000010000000" w:firstRow="0" w:lastRow="0" w:firstColumn="0" w:lastColumn="0" w:oddVBand="1" w:evenVBand="0" w:oddHBand="0" w:evenHBand="0" w:firstRowFirstColumn="0" w:firstRowLastColumn="0" w:lastRowFirstColumn="0" w:lastRowLastColumn="0"/>
            <w:tcW w:w="576" w:type="pct"/>
            <w:tcBorders>
              <w:bottom w:val="none" w:sz="0" w:space="0" w:color="auto"/>
            </w:tcBorders>
            <w:vAlign w:val="bottom"/>
          </w:tcPr>
          <w:p w:rsidR="00346DCC" w:rsidRPr="00C472AD" w:rsidRDefault="00346DCC" w:rsidP="00C82070">
            <w:pPr>
              <w:jc w:val="center"/>
              <w:rPr>
                <w:rFonts w:ascii="Calibri" w:hAnsi="Calibri"/>
                <w:bCs/>
                <w:sz w:val="18"/>
                <w:lang w:val="sq-AL"/>
              </w:rPr>
            </w:pPr>
            <w:r w:rsidRPr="00C472AD">
              <w:rPr>
                <w:rFonts w:ascii="Calibri" w:hAnsi="Calibri"/>
                <w:bCs/>
                <w:sz w:val="18"/>
                <w:lang w:val="sq-AL"/>
              </w:rPr>
              <w:t>0</w:t>
            </w:r>
          </w:p>
        </w:tc>
        <w:tc>
          <w:tcPr>
            <w:tcW w:w="512" w:type="pct"/>
            <w:tcBorders>
              <w:bottom w:val="none" w:sz="0" w:space="0" w:color="auto"/>
            </w:tcBorders>
            <w:vAlign w:val="bottom"/>
          </w:tcPr>
          <w:p w:rsidR="00346DCC" w:rsidRPr="00C472AD" w:rsidRDefault="00346DCC"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C472AD">
              <w:rPr>
                <w:rFonts w:ascii="Calibri" w:hAnsi="Calibri"/>
                <w:bCs/>
                <w:sz w:val="18"/>
                <w:lang w:val="sq-AL"/>
              </w:rPr>
              <w:t>17</w:t>
            </w:r>
          </w:p>
        </w:tc>
        <w:tc>
          <w:tcPr>
            <w:cnfStyle w:val="000100000000" w:firstRow="0" w:lastRow="0" w:firstColumn="0" w:lastColumn="1" w:oddVBand="0" w:evenVBand="0" w:oddHBand="0" w:evenHBand="0" w:firstRowFirstColumn="0" w:firstRowLastColumn="0" w:lastRowFirstColumn="0" w:lastRowLastColumn="0"/>
            <w:tcW w:w="486" w:type="pct"/>
            <w:tcBorders>
              <w:bottom w:val="none" w:sz="0"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w:t>
            </w:r>
          </w:p>
        </w:tc>
      </w:tr>
      <w:tr w:rsidR="00346DCC" w:rsidRPr="00C472AD" w:rsidTr="00346DCC">
        <w:trPr>
          <w:cnfStyle w:val="010000000000" w:firstRow="0" w:lastRow="1" w:firstColumn="0" w:lastColumn="0" w:oddVBand="0" w:evenVBand="0" w:oddHBand="0" w:evenHBand="0" w:firstRowFirstColumn="0" w:firstRowLastColumn="0" w:lastRowFirstColumn="0" w:lastRowLastColumn="0"/>
          <w:trHeight w:val="129"/>
          <w:jc w:val="center"/>
        </w:trPr>
        <w:tc>
          <w:tcPr>
            <w:cnfStyle w:val="001000000001" w:firstRow="0" w:lastRow="0" w:firstColumn="1" w:lastColumn="0" w:oddVBand="0" w:evenVBand="0" w:oddHBand="0" w:evenHBand="0" w:firstRowFirstColumn="0" w:firstRowLastColumn="0" w:lastRowFirstColumn="1" w:lastRowLastColumn="0"/>
            <w:tcW w:w="1810" w:type="pct"/>
            <w:gridSpan w:val="3"/>
            <w:tcBorders>
              <w:bottom w:val="single" w:sz="4" w:space="0" w:color="auto"/>
            </w:tcBorders>
          </w:tcPr>
          <w:p w:rsidR="00346DCC" w:rsidRPr="00C472AD" w:rsidRDefault="00346DCC" w:rsidP="00C82070">
            <w:pPr>
              <w:jc w:val="center"/>
              <w:rPr>
                <w:rFonts w:ascii="Calibri" w:hAnsi="Calibri"/>
                <w:sz w:val="18"/>
                <w:lang w:val="sq-AL"/>
              </w:rPr>
            </w:pPr>
            <w:r w:rsidRPr="00C472AD">
              <w:rPr>
                <w:rFonts w:ascii="Calibri" w:hAnsi="Calibri"/>
                <w:sz w:val="18"/>
                <w:lang w:val="sq-AL"/>
              </w:rPr>
              <w:t>Totali</w:t>
            </w:r>
          </w:p>
        </w:tc>
        <w:tc>
          <w:tcPr>
            <w:cnfStyle w:val="000010000000" w:firstRow="0" w:lastRow="0" w:firstColumn="0" w:lastColumn="0" w:oddVBand="1" w:evenVBand="0" w:oddHBand="0" w:evenHBand="0" w:firstRowFirstColumn="0" w:firstRowLastColumn="0" w:lastRowFirstColumn="0" w:lastRowLastColumn="0"/>
            <w:tcW w:w="537" w:type="pct"/>
            <w:tcBorders>
              <w:bottom w:val="single" w:sz="4"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75,097,274</w:t>
            </w:r>
          </w:p>
        </w:tc>
        <w:tc>
          <w:tcPr>
            <w:tcW w:w="514" w:type="pct"/>
            <w:tcBorders>
              <w:bottom w:val="single" w:sz="4" w:space="0" w:color="auto"/>
            </w:tcBorders>
            <w:vAlign w:val="bottom"/>
          </w:tcPr>
          <w:p w:rsidR="00346DCC" w:rsidRPr="00C472AD" w:rsidRDefault="00346DCC" w:rsidP="00C82070">
            <w:pP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2,752,944</w:t>
            </w:r>
          </w:p>
        </w:tc>
        <w:tc>
          <w:tcPr>
            <w:cnfStyle w:val="000010000000" w:firstRow="0" w:lastRow="0" w:firstColumn="0" w:lastColumn="0" w:oddVBand="1" w:evenVBand="0" w:oddHBand="0" w:evenHBand="0" w:firstRowFirstColumn="0" w:firstRowLastColumn="0" w:lastRowFirstColumn="0" w:lastRowLastColumn="0"/>
            <w:tcW w:w="565" w:type="pct"/>
            <w:gridSpan w:val="2"/>
            <w:tcBorders>
              <w:bottom w:val="single" w:sz="4"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22,486,314</w:t>
            </w:r>
          </w:p>
        </w:tc>
        <w:tc>
          <w:tcPr>
            <w:tcW w:w="576" w:type="pct"/>
            <w:tcBorders>
              <w:bottom w:val="single" w:sz="4" w:space="0" w:color="auto"/>
            </w:tcBorders>
            <w:vAlign w:val="bottom"/>
          </w:tcPr>
          <w:p w:rsidR="00346DCC" w:rsidRPr="00C472AD" w:rsidRDefault="00346DCC" w:rsidP="00C82070">
            <w:pPr>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962,403</w:t>
            </w:r>
          </w:p>
        </w:tc>
        <w:tc>
          <w:tcPr>
            <w:cnfStyle w:val="000010000000" w:firstRow="0" w:lastRow="0" w:firstColumn="0" w:lastColumn="0" w:oddVBand="1" w:evenVBand="0" w:oddHBand="0" w:evenHBand="0" w:firstRowFirstColumn="0" w:firstRowLastColumn="0" w:lastRowFirstColumn="0" w:lastRowLastColumn="0"/>
            <w:tcW w:w="512" w:type="pct"/>
            <w:tcBorders>
              <w:bottom w:val="single" w:sz="4"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30</w:t>
            </w:r>
          </w:p>
        </w:tc>
        <w:tc>
          <w:tcPr>
            <w:cnfStyle w:val="000100000010" w:firstRow="0" w:lastRow="0" w:firstColumn="0" w:lastColumn="1" w:oddVBand="0" w:evenVBand="0" w:oddHBand="0" w:evenHBand="0" w:firstRowFirstColumn="0" w:firstRowLastColumn="0" w:lastRowFirstColumn="0" w:lastRowLastColumn="1"/>
            <w:tcW w:w="486" w:type="pct"/>
            <w:tcBorders>
              <w:bottom w:val="single" w:sz="4" w:space="0" w:color="auto"/>
            </w:tcBorders>
            <w:vAlign w:val="bottom"/>
          </w:tcPr>
          <w:p w:rsidR="00346DCC" w:rsidRPr="00C472AD" w:rsidRDefault="00346DCC" w:rsidP="00C82070">
            <w:pPr>
              <w:jc w:val="center"/>
              <w:rPr>
                <w:rFonts w:ascii="Calibri" w:hAnsi="Calibri"/>
                <w:sz w:val="18"/>
                <w:lang w:val="sq-AL"/>
              </w:rPr>
            </w:pPr>
            <w:r w:rsidRPr="00C472AD">
              <w:rPr>
                <w:rFonts w:ascii="Calibri" w:hAnsi="Calibri"/>
                <w:sz w:val="18"/>
                <w:lang w:val="sq-AL"/>
              </w:rPr>
              <w:t>35</w:t>
            </w:r>
          </w:p>
        </w:tc>
      </w:tr>
    </w:tbl>
    <w:p w:rsidR="00990CDF" w:rsidRPr="00BF005F" w:rsidRDefault="00990CDF" w:rsidP="00346DCC">
      <w:pPr>
        <w:spacing w:line="276" w:lineRule="auto"/>
        <w:jc w:val="center"/>
        <w:rPr>
          <w:rFonts w:asciiTheme="minorHAnsi" w:hAnsiTheme="minorHAnsi"/>
          <w:lang w:val="sq-AL"/>
        </w:rPr>
      </w:pPr>
    </w:p>
    <w:p w:rsidR="00346DCC" w:rsidRPr="00C472AD" w:rsidRDefault="00990CDF" w:rsidP="00346DCC">
      <w:pPr>
        <w:spacing w:line="276" w:lineRule="auto"/>
        <w:jc w:val="both"/>
        <w:rPr>
          <w:rFonts w:ascii="Calibri" w:hAnsi="Calibr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Kujdesit Shëndetësor Parësor”</w:t>
      </w:r>
      <w:r w:rsidRPr="00BF005F">
        <w:rPr>
          <w:rFonts w:asciiTheme="minorHAnsi" w:hAnsiTheme="minorHAnsi"/>
          <w:lang w:val="sq-AL"/>
        </w:rPr>
        <w:t xml:space="preserve"> </w:t>
      </w:r>
      <w:r w:rsidR="00346DCC" w:rsidRPr="00C472AD">
        <w:rPr>
          <w:rFonts w:ascii="Calibri" w:hAnsi="Calibri"/>
          <w:lang w:val="sq-AL"/>
        </w:rPr>
        <w:t xml:space="preserve">është realizuar qëllimi i programit i cili synon </w:t>
      </w:r>
      <w:r w:rsidR="00346DCC" w:rsidRPr="00C472AD">
        <w:rPr>
          <w:rFonts w:ascii="Calibri" w:hAnsi="Calibri"/>
          <w:i/>
          <w:lang w:val="sq-AL"/>
        </w:rPr>
        <w:t>“Mbulim universal të nevojave të popullatës për kujdes mjekësor parësor, nëpërmjet ofrimit të vizitave falas nga mjeku i familjes, kontrollit mjekësor bazë dhe programeve parandaluese”</w:t>
      </w:r>
      <w:r w:rsidR="00346DCC" w:rsidRPr="00C472AD">
        <w:rPr>
          <w:rFonts w:ascii="Calibri" w:hAnsi="Calibri"/>
          <w:lang w:val="sq-AL"/>
        </w:rPr>
        <w:t>. Ky qëllim është arritur nëpërmjet objektivit,</w:t>
      </w:r>
      <w:r w:rsidR="00346DCC" w:rsidRPr="00C472AD">
        <w:rPr>
          <w:rFonts w:ascii="Calibri" w:hAnsi="Calibri"/>
          <w:i/>
          <w:lang w:val="sq-AL"/>
        </w:rPr>
        <w:t xml:space="preserve"> “</w:t>
      </w:r>
      <w:r w:rsidR="00346DCC" w:rsidRPr="00C472AD">
        <w:rPr>
          <w:rFonts w:ascii="Calibri" w:hAnsi="Calibri"/>
          <w:lang w:val="sq-AL"/>
        </w:rPr>
        <w:t>Përmirësimi i shërbimeve parandaluese dhe të diagnostikimit të hershëm të sëmundjeve”</w:t>
      </w:r>
      <w:r w:rsidR="00C82070">
        <w:rPr>
          <w:rFonts w:ascii="Calibri" w:hAnsi="Calibri"/>
          <w:lang w:val="sq-AL"/>
        </w:rPr>
        <w:t>.</w:t>
      </w:r>
      <w:r w:rsidR="00346DCC" w:rsidRPr="00C472AD">
        <w:rPr>
          <w:rFonts w:ascii="Calibri" w:hAnsi="Calibri"/>
          <w:lang w:val="sq-AL"/>
        </w:rPr>
        <w:t xml:space="preserve"> Qëllimi dhe objektivi i programit është realizuar nëpërmjet produkteve, performanca e të cilave për 4</w:t>
      </w:r>
      <w:r w:rsidR="00346DCC">
        <w:rPr>
          <w:rFonts w:ascii="Calibri" w:hAnsi="Calibri"/>
          <w:lang w:val="sq-AL"/>
        </w:rPr>
        <w:t>M</w:t>
      </w:r>
      <w:r w:rsidR="00346DCC" w:rsidRPr="00C472AD">
        <w:rPr>
          <w:rFonts w:ascii="Calibri" w:hAnsi="Calibri"/>
          <w:lang w:val="sq-AL"/>
        </w:rPr>
        <w:t xml:space="preserve"> </w:t>
      </w:r>
      <w:r w:rsidR="00346DCC">
        <w:rPr>
          <w:rFonts w:ascii="Calibri" w:hAnsi="Calibri"/>
          <w:lang w:val="sq-AL"/>
        </w:rPr>
        <w:t xml:space="preserve">I </w:t>
      </w:r>
      <w:r w:rsidR="00346DCC" w:rsidRPr="00C472AD">
        <w:rPr>
          <w:rFonts w:ascii="Calibri" w:hAnsi="Calibri"/>
          <w:lang w:val="sq-AL"/>
        </w:rPr>
        <w:t>2022, është realizuar si më poshtë:</w:t>
      </w:r>
    </w:p>
    <w:p w:rsidR="00346DCC" w:rsidRPr="00346DCC" w:rsidRDefault="003F6B7C" w:rsidP="003F6B21">
      <w:pPr>
        <w:numPr>
          <w:ilvl w:val="0"/>
          <w:numId w:val="6"/>
        </w:numPr>
        <w:spacing w:line="276" w:lineRule="auto"/>
        <w:jc w:val="both"/>
        <w:rPr>
          <w:rFonts w:ascii="Calibri" w:hAnsi="Calibri"/>
          <w:i/>
          <w:lang w:val="sq-AL"/>
        </w:rPr>
      </w:pPr>
      <w:r>
        <w:rPr>
          <w:rFonts w:ascii="Calibri" w:hAnsi="Calibri"/>
          <w:i/>
          <w:lang w:val="sq-AL"/>
        </w:rPr>
        <w:t>J</w:t>
      </w:r>
      <w:r w:rsidR="00346DCC" w:rsidRPr="00346DCC">
        <w:rPr>
          <w:rFonts w:ascii="Calibri" w:hAnsi="Calibri"/>
          <w:i/>
          <w:lang w:val="sq-AL"/>
        </w:rPr>
        <w:t xml:space="preserve">anë ofruar </w:t>
      </w:r>
      <w:r w:rsidR="00346DCC" w:rsidRPr="00346DCC">
        <w:rPr>
          <w:rFonts w:ascii="Calibri" w:hAnsi="Calibri"/>
          <w:bCs/>
          <w:i/>
          <w:iCs/>
          <w:lang w:val="sq-AL"/>
        </w:rPr>
        <w:t>2,5 milionë vizita në qendrat shëndetësore të kujdesit parësor</w:t>
      </w:r>
      <w:r w:rsidR="00346DCC" w:rsidRPr="00346DCC">
        <w:rPr>
          <w:rFonts w:ascii="Calibri" w:hAnsi="Calibri"/>
          <w:i/>
          <w:lang w:val="sq-AL"/>
        </w:rPr>
        <w:t>.</w:t>
      </w:r>
    </w:p>
    <w:p w:rsidR="00346DCC" w:rsidRPr="00346DCC" w:rsidRDefault="00346DCC" w:rsidP="003F6B21">
      <w:pPr>
        <w:numPr>
          <w:ilvl w:val="0"/>
          <w:numId w:val="6"/>
        </w:numPr>
        <w:spacing w:line="276" w:lineRule="auto"/>
        <w:jc w:val="both"/>
        <w:rPr>
          <w:rFonts w:ascii="Calibri" w:hAnsi="Calibri"/>
          <w:i/>
          <w:lang w:val="sq-AL"/>
        </w:rPr>
      </w:pPr>
      <w:r w:rsidRPr="00346DCC">
        <w:rPr>
          <w:rFonts w:ascii="Calibri" w:hAnsi="Calibri"/>
          <w:bCs/>
          <w:i/>
          <w:iCs/>
          <w:lang w:val="sq-AL"/>
        </w:rPr>
        <w:t>Me rifillimin e  veprimtarisë lidhur me kontrollin bazë (Chek-up)</w:t>
      </w:r>
      <w:r w:rsidR="003F6B7C">
        <w:rPr>
          <w:rFonts w:ascii="Calibri" w:hAnsi="Calibri"/>
          <w:bCs/>
          <w:i/>
          <w:iCs/>
          <w:lang w:val="sq-AL"/>
        </w:rPr>
        <w:t>,</w:t>
      </w:r>
      <w:r w:rsidRPr="00346DCC">
        <w:rPr>
          <w:rFonts w:ascii="Calibri" w:hAnsi="Calibri"/>
          <w:bCs/>
          <w:i/>
          <w:iCs/>
          <w:lang w:val="sq-AL"/>
        </w:rPr>
        <w:t xml:space="preserve"> kanë përfituar rreth 150,784  individë të moshës 35 - 70 vjeç.</w:t>
      </w:r>
    </w:p>
    <w:p w:rsidR="00990CDF" w:rsidRPr="003F6B7C" w:rsidRDefault="00346DCC" w:rsidP="003F6B21">
      <w:pPr>
        <w:numPr>
          <w:ilvl w:val="0"/>
          <w:numId w:val="6"/>
        </w:numPr>
        <w:spacing w:line="276" w:lineRule="auto"/>
        <w:jc w:val="both"/>
        <w:rPr>
          <w:rFonts w:ascii="Calibri" w:hAnsi="Calibri"/>
          <w:bCs/>
          <w:i/>
          <w:iCs/>
          <w:lang w:val="sq-AL"/>
        </w:rPr>
      </w:pPr>
      <w:r w:rsidRPr="003F6B7C">
        <w:rPr>
          <w:rFonts w:ascii="Calibri" w:hAnsi="Calibri"/>
          <w:bCs/>
          <w:i/>
          <w:iCs/>
          <w:lang w:val="sq-AL"/>
        </w:rPr>
        <w:t>Janë trajtuar rreth 341,347 pacientë me recetë me rimbursim nga mjeku i familjes, me një kosto faktike prej 2.5 miliardë lekë</w:t>
      </w:r>
      <w:r w:rsidR="00990CDF" w:rsidRPr="003F6B7C">
        <w:rPr>
          <w:rFonts w:ascii="Calibri" w:hAnsi="Calibri"/>
          <w:bCs/>
          <w:i/>
          <w:iCs/>
          <w:lang w:val="sq-AL"/>
        </w:rPr>
        <w:t>.</w:t>
      </w:r>
    </w:p>
    <w:p w:rsidR="003F6B7C" w:rsidRPr="003F6B7C" w:rsidRDefault="003F6B7C" w:rsidP="003F6B7C">
      <w:pPr>
        <w:spacing w:line="276" w:lineRule="auto"/>
        <w:jc w:val="both"/>
        <w:rPr>
          <w:rFonts w:asciiTheme="minorHAnsi" w:hAnsiTheme="minorHAnsi"/>
          <w:sz w:val="16"/>
          <w:lang w:val="sq-AL"/>
        </w:rPr>
      </w:pPr>
    </w:p>
    <w:p w:rsidR="00990CDF" w:rsidRPr="003F6B7C" w:rsidRDefault="00990CDF" w:rsidP="003F6B7C">
      <w:pPr>
        <w:spacing w:line="276" w:lineRule="auto"/>
        <w:jc w:val="both"/>
        <w:rPr>
          <w:rFonts w:ascii="Calibri" w:hAnsi="Calibr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Kujdesit Shëndetësor Dytësor”</w:t>
      </w:r>
      <w:r w:rsidRPr="00BF005F">
        <w:rPr>
          <w:rFonts w:asciiTheme="minorHAnsi" w:hAnsiTheme="minorHAnsi"/>
          <w:lang w:val="sq-AL"/>
        </w:rPr>
        <w:t xml:space="preserve"> </w:t>
      </w:r>
      <w:r w:rsidR="003F6B7C" w:rsidRPr="00C472AD">
        <w:rPr>
          <w:rFonts w:ascii="Calibri" w:hAnsi="Calibri"/>
          <w:lang w:val="sq-AL"/>
        </w:rPr>
        <w:t>është realizuar qëllimi i programit i cili synon</w:t>
      </w:r>
      <w:r w:rsidR="003F6B7C" w:rsidRPr="00C472AD">
        <w:rPr>
          <w:rFonts w:ascii="Calibri" w:hAnsi="Calibri"/>
          <w:b/>
          <w:lang w:val="sq-AL"/>
        </w:rPr>
        <w:t xml:space="preserve"> </w:t>
      </w:r>
      <w:r w:rsidR="003F6B7C" w:rsidRPr="00C472AD">
        <w:rPr>
          <w:rFonts w:ascii="Calibri" w:hAnsi="Calibri"/>
          <w:i/>
          <w:lang w:val="sq-AL"/>
        </w:rPr>
        <w:t xml:space="preserve">“Mbulim universal i nevojave të popullatës për kujdes mjekësor të specializuar, nëpërmjet ngritjes së një kuadri ligjor modern për një sistem financimi adekuat, modeleve bashkëkohore të manaxhimit të spitaleve, ngritjes së një sistemi monitorimi i cili do të masë performancën dhe do të lejojë akreditimin e spitaleve, deri në vitin 2022, zhvillimin e partner- shipit publik privat në shërbimet mjekësore dhe jo mjekësore në spitale”. </w:t>
      </w:r>
      <w:r w:rsidR="003F6B7C" w:rsidRPr="00C472AD">
        <w:rPr>
          <w:rFonts w:ascii="Calibri" w:hAnsi="Calibri"/>
          <w:lang w:val="sq-AL"/>
        </w:rPr>
        <w:t>Qëllimi i programit u realizua nëpërmjet objektivit “Ofrimi cilësor dhe gjithëpërfshirës i shërbimeve të kujdesit shëndetësor dytësor”.</w:t>
      </w:r>
      <w:r w:rsidR="003F6B7C">
        <w:rPr>
          <w:rFonts w:ascii="Calibri" w:hAnsi="Calibri"/>
          <w:lang w:val="sq-AL"/>
        </w:rPr>
        <w:t xml:space="preserve"> </w:t>
      </w:r>
      <w:r w:rsidR="003F6B7C" w:rsidRPr="00C472AD">
        <w:rPr>
          <w:rFonts w:ascii="Calibri" w:hAnsi="Calibri"/>
          <w:lang w:val="sq-AL"/>
        </w:rPr>
        <w:t>Qëllimi dhe objektiva e programit janë realizuar nëpërmjet produkteve, performanca e të cilave për 4 mujorin e parë të vitit 2022, është realizuar si më poshtë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 xml:space="preserve">Janë trajtuar rreth 86,392 pacientë të shtruar në spitale, me një kosto faktike prej rreth 7.3 miliardë lekë. </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kryer rreth 62,452 seanca për trajtimin e pacientëve me dializë, shoqëruar me një kosto faktike prej rreth 250 milionë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lastRenderedPageBreak/>
        <w:t>Janë trajtuar 749 pacientë në spitalet psikiatrike, me një kosto prej 223 milionë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 xml:space="preserve">Janë trajtuar rreth 3,016 pacientë nga paketat spitalore të kardiologjisë dhe kardiokirurgjisë, me një kosto faktike prej  7 milion lekë; </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 xml:space="preserve">Janë trajtuar 2 pacientë nga paketat e </w:t>
      </w:r>
      <w:r>
        <w:rPr>
          <w:rFonts w:ascii="Calibri" w:hAnsi="Calibri"/>
          <w:i/>
          <w:lang w:val="sq-AL"/>
        </w:rPr>
        <w:t xml:space="preserve">transplanteve renale përgjatë 4M I </w:t>
      </w:r>
      <w:r w:rsidRPr="003F6B7C">
        <w:rPr>
          <w:rFonts w:ascii="Calibri" w:hAnsi="Calibri"/>
          <w:i/>
          <w:lang w:val="sq-AL"/>
        </w:rPr>
        <w:t>2022.</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 xml:space="preserve">Janë trajtuar 1,263 pacientë me katarakte, shoqëruar me një kosto prej 3.7 milionë lekë. </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trajtuar 8,293 pacientë me radioterapi, shoqëruar me një kosto prej 11 milionë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kryer rreth 1.6 milionë ekzaminime laboratorike, shoqëruar me një kosto prej 343 milionë lekë.</w:t>
      </w:r>
    </w:p>
    <w:p w:rsidR="003F6B7C" w:rsidRDefault="00990CDF" w:rsidP="00E7447D">
      <w:pPr>
        <w:spacing w:before="240" w:line="276" w:lineRule="auto"/>
        <w:jc w:val="both"/>
        <w:rPr>
          <w:rFonts w:ascii="Calibri" w:hAnsi="Calibr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Shëndetit Publik”</w:t>
      </w:r>
      <w:r w:rsidRPr="00BF005F">
        <w:rPr>
          <w:rFonts w:asciiTheme="minorHAnsi" w:hAnsiTheme="minorHAnsi"/>
          <w:lang w:val="sq-AL"/>
        </w:rPr>
        <w:t xml:space="preserve"> </w:t>
      </w:r>
      <w:r w:rsidR="003F6B7C" w:rsidRPr="00C472AD">
        <w:rPr>
          <w:rFonts w:ascii="Calibri" w:hAnsi="Calibri"/>
          <w:lang w:val="sq-AL"/>
        </w:rPr>
        <w:t xml:space="preserve">është realizuar qëllimi i programit i cili synon </w:t>
      </w:r>
      <w:r w:rsidR="003F6B7C" w:rsidRPr="00C472AD">
        <w:rPr>
          <w:rFonts w:ascii="Calibri" w:hAnsi="Calibri"/>
          <w:i/>
          <w:lang w:val="sq-AL"/>
        </w:rPr>
        <w:t>“Mbrojtja e shëndetit dhe promovimi i jetësës së shëndetshme përmes, kontrollit të sëmundjeve infektive; forcimit të programit të imunzimit; sigurimit  të  vaksinave 100% sipas kalendarit të vaksinimit dhe mbulesën vaksinale të tyre mbi 95%; forcimit të survejancës  epidemiologjike; monitorimit të ujit të pijshëm; kontrollit i sëmundjeve jo infektive përmes vlerësimit të faktorëve të riskut; nxitjes së procesit të depistimit; forcimi i shendetit riprodhues dhe promovimit të një jete të shëndetshme. Zgjerimi dhe forcimi i monitorimit të agjenteve mjedisorë bazuar në standartet e BE (ajri, zhurmat dhe ujrat siperfaqësore). Garantimi i respektimit të kërkesave ligjore në fushën e shëndetit publik</w:t>
      </w:r>
      <w:r w:rsidR="003F6B7C">
        <w:rPr>
          <w:rFonts w:ascii="Calibri" w:hAnsi="Calibri"/>
          <w:i/>
          <w:lang w:val="sq-AL"/>
        </w:rPr>
        <w:t>.</w:t>
      </w:r>
      <w:r w:rsidR="003F6B7C" w:rsidRPr="00C472AD">
        <w:rPr>
          <w:rFonts w:ascii="Calibri" w:hAnsi="Calibri"/>
          <w:lang w:val="sq-AL"/>
        </w:rPr>
        <w:t xml:space="preserve"> Qëllimi i programit u realizua nëpërmjet objektivave, sa më poshtë</w:t>
      </w:r>
      <w:r w:rsidR="003F6B7C">
        <w:rPr>
          <w:rFonts w:ascii="Calibri" w:hAnsi="Calibri"/>
          <w:lang w:val="sq-AL"/>
        </w:rPr>
        <w:t>:</w:t>
      </w:r>
    </w:p>
    <w:p w:rsidR="003F6B7C" w:rsidRPr="003F6B7C" w:rsidRDefault="003F6B7C" w:rsidP="003F6B21">
      <w:pPr>
        <w:numPr>
          <w:ilvl w:val="0"/>
          <w:numId w:val="5"/>
        </w:numPr>
        <w:spacing w:line="276" w:lineRule="auto"/>
        <w:contextualSpacing/>
        <w:jc w:val="both"/>
        <w:rPr>
          <w:rFonts w:asciiTheme="minorHAnsi" w:hAnsiTheme="minorHAnsi"/>
          <w:i/>
          <w:lang w:val="sq-AL"/>
        </w:rPr>
      </w:pPr>
      <w:r w:rsidRPr="003F6B7C">
        <w:rPr>
          <w:rFonts w:asciiTheme="minorHAnsi" w:hAnsiTheme="minorHAnsi"/>
          <w:i/>
          <w:lang w:val="sq-AL"/>
        </w:rPr>
        <w:t>Sigurimit të qëndrueshmërisë së mbulesës vaksinare, për vaksinat e kalendarit të vaksinimit në masën 95%.</w:t>
      </w:r>
    </w:p>
    <w:p w:rsidR="003F6B7C" w:rsidRPr="003F6B7C" w:rsidRDefault="003F6B7C" w:rsidP="003F6B21">
      <w:pPr>
        <w:numPr>
          <w:ilvl w:val="0"/>
          <w:numId w:val="5"/>
        </w:numPr>
        <w:spacing w:line="276" w:lineRule="auto"/>
        <w:contextualSpacing/>
        <w:jc w:val="both"/>
        <w:rPr>
          <w:rFonts w:asciiTheme="minorHAnsi" w:hAnsiTheme="minorHAnsi"/>
          <w:i/>
          <w:lang w:val="sq-AL"/>
        </w:rPr>
      </w:pPr>
      <w:r w:rsidRPr="003F6B7C">
        <w:rPr>
          <w:rFonts w:asciiTheme="minorHAnsi" w:hAnsiTheme="minorHAnsi"/>
          <w:i/>
          <w:lang w:val="sq-AL"/>
        </w:rPr>
        <w:t xml:space="preserve">Reduktimit të numrit të shpërthimeve epidemike me burim ndotjen e ujit.  </w:t>
      </w:r>
    </w:p>
    <w:p w:rsidR="003F6B7C" w:rsidRPr="003F6B7C" w:rsidRDefault="003F6B7C" w:rsidP="003F6B21">
      <w:pPr>
        <w:numPr>
          <w:ilvl w:val="0"/>
          <w:numId w:val="5"/>
        </w:numPr>
        <w:spacing w:line="276" w:lineRule="auto"/>
        <w:contextualSpacing/>
        <w:jc w:val="both"/>
        <w:rPr>
          <w:rFonts w:asciiTheme="minorHAnsi" w:hAnsiTheme="minorHAnsi"/>
          <w:i/>
          <w:lang w:val="sq-AL"/>
        </w:rPr>
      </w:pPr>
      <w:r w:rsidRPr="003F6B7C">
        <w:rPr>
          <w:rFonts w:asciiTheme="minorHAnsi" w:hAnsiTheme="minorHAnsi"/>
          <w:i/>
          <w:lang w:val="sq-AL"/>
        </w:rPr>
        <w:t xml:space="preserve">Mbulimi i grave me shërbim të depistimit të kancerit të gjirit. </w:t>
      </w:r>
    </w:p>
    <w:p w:rsidR="00C82070" w:rsidRPr="00C82070" w:rsidRDefault="00C82070" w:rsidP="00E7447D">
      <w:pPr>
        <w:spacing w:line="276" w:lineRule="auto"/>
        <w:contextualSpacing/>
        <w:jc w:val="both"/>
        <w:rPr>
          <w:rFonts w:ascii="Calibri" w:hAnsi="Calibri"/>
          <w:sz w:val="8"/>
          <w:lang w:val="sq-AL"/>
        </w:rPr>
      </w:pPr>
    </w:p>
    <w:p w:rsidR="00990CDF" w:rsidRPr="00BF005F" w:rsidRDefault="003F6B7C" w:rsidP="00E7447D">
      <w:pPr>
        <w:spacing w:line="276" w:lineRule="auto"/>
        <w:contextualSpacing/>
        <w:jc w:val="both"/>
        <w:rPr>
          <w:rFonts w:asciiTheme="minorHAnsi" w:hAnsiTheme="minorHAnsi"/>
          <w:lang w:val="sq-AL"/>
        </w:rPr>
      </w:pPr>
      <w:r w:rsidRPr="00C472AD">
        <w:rPr>
          <w:rFonts w:ascii="Calibri" w:hAnsi="Calibri"/>
          <w:lang w:val="sq-AL"/>
        </w:rPr>
        <w:t>Këto objektiva janë realizuar nëpërmjet produkteve, performanca e të cilave për 4 mujorin e parë të vitit 2022, është realizuar, si më poshtë</w:t>
      </w:r>
      <w:r w:rsidR="00990CDF" w:rsidRPr="00BF005F">
        <w:rPr>
          <w:rFonts w:asciiTheme="minorHAnsi" w:hAnsiTheme="minorHAnsi"/>
          <w:lang w:val="sq-AL"/>
        </w:rPr>
        <w:t>:</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vaksinuar rreth 61 mijë fëmijë të moshës 0-18 vjeç.</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kryer rreth 1,314 monitorime të situatave epidemilogjike, me një kosto faktike prej rreth 767 milionë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Është kryer depistimi i 1,499 grave për kancerin e gjirit dhe 3,520 grave për kancerin e qafës së mitrës, me një kosto faktike prej 3.3 milionë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 xml:space="preserve"> Janë kryer rreth 8,100 inspektime nga inspektoriatet, shoqëruar me një kosto prej prej 115 milion lekë.</w:t>
      </w:r>
    </w:p>
    <w:p w:rsidR="003F6B7C" w:rsidRPr="003F6B7C" w:rsidRDefault="003F6B7C" w:rsidP="003F6B21">
      <w:pPr>
        <w:numPr>
          <w:ilvl w:val="0"/>
          <w:numId w:val="6"/>
        </w:numPr>
        <w:spacing w:line="276" w:lineRule="auto"/>
        <w:jc w:val="both"/>
        <w:rPr>
          <w:rFonts w:ascii="Calibri" w:hAnsi="Calibri"/>
          <w:i/>
          <w:lang w:val="sq-AL"/>
        </w:rPr>
      </w:pPr>
      <w:r w:rsidRPr="003F6B7C">
        <w:rPr>
          <w:rFonts w:ascii="Calibri" w:hAnsi="Calibri"/>
          <w:i/>
          <w:lang w:val="sq-AL"/>
        </w:rPr>
        <w:t>Janë trajtuar 175 punonjës/personel mjekesor dhe jo mjekësor me bonus për COVID-19”, me kosto faktike rreth 13.6 milionë lekë, për 4 mujorin e parë të vitit 2022.</w:t>
      </w:r>
    </w:p>
    <w:p w:rsidR="00990CDF" w:rsidRPr="003F6B7C" w:rsidRDefault="003F6B7C" w:rsidP="003F6B21">
      <w:pPr>
        <w:numPr>
          <w:ilvl w:val="0"/>
          <w:numId w:val="6"/>
        </w:numPr>
        <w:spacing w:line="276" w:lineRule="auto"/>
        <w:contextualSpacing/>
        <w:jc w:val="both"/>
        <w:rPr>
          <w:rFonts w:asciiTheme="minorHAnsi" w:hAnsiTheme="minorHAnsi"/>
          <w:i/>
          <w:lang w:val="sq-AL"/>
        </w:rPr>
      </w:pPr>
      <w:r w:rsidRPr="003F6B7C">
        <w:rPr>
          <w:rFonts w:ascii="Calibri" w:hAnsi="Calibri"/>
          <w:i/>
          <w:lang w:val="sq-AL"/>
        </w:rPr>
        <w:t>Janë vaksinuar rreth 75,290 persona me vaksinën anti COVID-19 për 4</w:t>
      </w:r>
      <w:r>
        <w:rPr>
          <w:rFonts w:ascii="Calibri" w:hAnsi="Calibri"/>
          <w:i/>
          <w:lang w:val="sq-AL"/>
        </w:rPr>
        <w:t>M I</w:t>
      </w:r>
      <w:r w:rsidRPr="003F6B7C">
        <w:rPr>
          <w:rFonts w:ascii="Calibri" w:hAnsi="Calibri"/>
          <w:i/>
          <w:lang w:val="sq-AL"/>
        </w:rPr>
        <w:t xml:space="preserve"> 2022</w:t>
      </w:r>
      <w:r w:rsidR="00990CDF" w:rsidRPr="003F6B7C">
        <w:rPr>
          <w:rFonts w:asciiTheme="minorHAnsi" w:hAnsiTheme="minorHAnsi"/>
          <w:i/>
          <w:lang w:val="sq-AL"/>
        </w:rPr>
        <w:t xml:space="preserve">. </w:t>
      </w:r>
    </w:p>
    <w:p w:rsidR="00990CDF" w:rsidRPr="00BF005F" w:rsidRDefault="00990CDF" w:rsidP="00E7447D">
      <w:pPr>
        <w:spacing w:before="240" w:line="276" w:lineRule="auto"/>
        <w:jc w:val="both"/>
        <w:rPr>
          <w:rFonts w:asciiTheme="minorHAnsi" w:hAnsiTheme="minorHAnsi"/>
          <w:i/>
          <w:lang w:val="sq-AL"/>
        </w:rPr>
      </w:pPr>
      <w:r w:rsidRPr="00BF005F">
        <w:rPr>
          <w:rFonts w:asciiTheme="minorHAnsi" w:hAnsiTheme="minorHAnsi"/>
          <w:lang w:val="sq-AL"/>
        </w:rPr>
        <w:t xml:space="preserve">Për programin </w:t>
      </w:r>
      <w:r w:rsidRPr="00BF005F">
        <w:rPr>
          <w:rFonts w:asciiTheme="minorHAnsi" w:hAnsiTheme="minorHAnsi"/>
          <w:b/>
          <w:lang w:val="sq-AL"/>
        </w:rPr>
        <w:t>“Përkujdesi Social”,</w:t>
      </w:r>
      <w:r w:rsidRPr="00BF005F">
        <w:rPr>
          <w:rFonts w:asciiTheme="minorHAnsi" w:hAnsiTheme="minorHAnsi"/>
          <w:lang w:val="sq-AL"/>
        </w:rPr>
        <w:t xml:space="preserve">  </w:t>
      </w:r>
      <w:r w:rsidR="003F6B7C" w:rsidRPr="00C472AD">
        <w:rPr>
          <w:rFonts w:ascii="Calibri" w:hAnsi="Calibri"/>
          <w:lang w:val="sq-AL"/>
        </w:rPr>
        <w:t xml:space="preserve">është realizuar qëllimi i programit i cili synon </w:t>
      </w:r>
      <w:r w:rsidR="003F6B7C" w:rsidRPr="00C472AD">
        <w:rPr>
          <w:rFonts w:ascii="Calibri" w:hAnsi="Calibri"/>
          <w:i/>
          <w:lang w:val="sq-AL"/>
        </w:rPr>
        <w:t>“Ndëtimi i një sistemi mbrojtje sociale nëpërmjet politikave dhe mekanizmave për të mbrojtur individët ne nevojë</w:t>
      </w:r>
      <w:r w:rsidR="00C82070">
        <w:rPr>
          <w:rFonts w:ascii="Calibri" w:hAnsi="Calibri"/>
          <w:i/>
          <w:lang w:val="sq-AL"/>
        </w:rPr>
        <w:t>”</w:t>
      </w:r>
      <w:r w:rsidR="003F6B7C" w:rsidRPr="00C472AD">
        <w:rPr>
          <w:rFonts w:ascii="Calibri" w:hAnsi="Calibri"/>
          <w:i/>
          <w:lang w:val="sq-AL"/>
        </w:rPr>
        <w:t xml:space="preserve">. </w:t>
      </w:r>
      <w:r w:rsidR="003F6B7C" w:rsidRPr="00C472AD">
        <w:rPr>
          <w:rFonts w:ascii="Calibri" w:hAnsi="Calibri"/>
          <w:lang w:val="sq-AL"/>
        </w:rPr>
        <w:t>Qëllimi i programit u realizua nëpërmjet objektivave, sa më poshtë</w:t>
      </w:r>
      <w:r w:rsidRPr="00BF005F">
        <w:rPr>
          <w:rFonts w:asciiTheme="minorHAnsi" w:hAnsiTheme="minorHAnsi"/>
          <w:lang w:val="sq-AL"/>
        </w:rPr>
        <w:t>:</w:t>
      </w:r>
    </w:p>
    <w:p w:rsidR="003F6B7C" w:rsidRPr="003F6B7C" w:rsidRDefault="003F6B7C" w:rsidP="003F6B21">
      <w:pPr>
        <w:numPr>
          <w:ilvl w:val="0"/>
          <w:numId w:val="5"/>
        </w:numPr>
        <w:spacing w:after="120" w:line="276" w:lineRule="auto"/>
        <w:jc w:val="both"/>
        <w:rPr>
          <w:rFonts w:ascii="Calibri" w:hAnsi="Calibri"/>
          <w:i/>
          <w:lang w:val="sq-AL"/>
        </w:rPr>
      </w:pPr>
      <w:r w:rsidRPr="003F6B7C">
        <w:rPr>
          <w:rFonts w:ascii="Calibri" w:hAnsi="Calibri"/>
          <w:i/>
          <w:lang w:val="sq-AL"/>
        </w:rPr>
        <w:t xml:space="preserve">Reformimit të programit të përkujdesit social në tre shtylla kryesore të tij NE, PAK dhe Shërbimet </w:t>
      </w:r>
    </w:p>
    <w:p w:rsidR="00990CDF" w:rsidRPr="003F6B7C" w:rsidRDefault="003F6B7C" w:rsidP="003F6B21">
      <w:pPr>
        <w:numPr>
          <w:ilvl w:val="0"/>
          <w:numId w:val="5"/>
        </w:numPr>
        <w:spacing w:line="276" w:lineRule="auto"/>
        <w:contextualSpacing/>
        <w:jc w:val="both"/>
        <w:rPr>
          <w:rFonts w:asciiTheme="minorHAnsi" w:hAnsiTheme="minorHAnsi"/>
          <w:i/>
          <w:lang w:val="sq-AL"/>
        </w:rPr>
      </w:pPr>
      <w:r w:rsidRPr="003F6B7C">
        <w:rPr>
          <w:rFonts w:ascii="Calibri" w:hAnsi="Calibri"/>
          <w:i/>
          <w:lang w:val="sq-AL"/>
        </w:rPr>
        <w:t>Përfshirja e barabartë sociale dhe ekonomike e burrave, grave, fëmijëve dhe grupeve  të margjinalizuara</w:t>
      </w:r>
      <w:r w:rsidR="00990CDF" w:rsidRPr="003F6B7C">
        <w:rPr>
          <w:rFonts w:asciiTheme="minorHAnsi" w:hAnsiTheme="minorHAnsi"/>
          <w:i/>
          <w:lang w:val="sq-AL"/>
        </w:rPr>
        <w:t>.</w:t>
      </w:r>
    </w:p>
    <w:p w:rsidR="00990CDF" w:rsidRPr="00BF005F" w:rsidRDefault="003F6B7C" w:rsidP="00E7447D">
      <w:pPr>
        <w:spacing w:line="276" w:lineRule="auto"/>
        <w:contextualSpacing/>
        <w:jc w:val="both"/>
        <w:rPr>
          <w:rFonts w:asciiTheme="minorHAnsi" w:hAnsiTheme="minorHAnsi"/>
          <w:lang w:val="sq-AL"/>
        </w:rPr>
      </w:pPr>
      <w:r w:rsidRPr="00C472AD">
        <w:rPr>
          <w:rFonts w:ascii="Calibri" w:hAnsi="Calibri"/>
          <w:lang w:val="sq-AL"/>
        </w:rPr>
        <w:lastRenderedPageBreak/>
        <w:t>Këto objektiva janë realizuar nëpërmjet produkteve, performanca e të cilave për vitin 202</w:t>
      </w:r>
      <w:r>
        <w:rPr>
          <w:rFonts w:ascii="Calibri" w:hAnsi="Calibri"/>
          <w:lang w:val="sq-AL"/>
        </w:rPr>
        <w:t>2</w:t>
      </w:r>
      <w:r w:rsidRPr="00C472AD">
        <w:rPr>
          <w:rFonts w:ascii="Calibri" w:hAnsi="Calibri"/>
          <w:lang w:val="sq-AL"/>
        </w:rPr>
        <w:t>, është realizuar, si më poshtë</w:t>
      </w:r>
      <w:r w:rsidR="00990CDF" w:rsidRPr="00BF005F">
        <w:rPr>
          <w:rFonts w:asciiTheme="minorHAnsi" w:hAnsiTheme="minorHAnsi"/>
          <w:lang w:val="sq-AL"/>
        </w:rPr>
        <w:t>:</w:t>
      </w:r>
    </w:p>
    <w:p w:rsidR="003F6B7C" w:rsidRPr="003F6B7C" w:rsidRDefault="003F6B7C" w:rsidP="003F6B21">
      <w:pPr>
        <w:numPr>
          <w:ilvl w:val="0"/>
          <w:numId w:val="6"/>
        </w:numPr>
        <w:jc w:val="both"/>
        <w:rPr>
          <w:rFonts w:ascii="Calibri" w:hAnsi="Calibri"/>
          <w:i/>
          <w:lang w:val="sq-AL"/>
        </w:rPr>
      </w:pPr>
      <w:r w:rsidRPr="003F6B7C">
        <w:rPr>
          <w:rFonts w:ascii="Calibri" w:hAnsi="Calibri"/>
          <w:i/>
          <w:lang w:val="sq-AL"/>
        </w:rPr>
        <w:t>Kanë përfituar rreth 64,363 familje dhe individë në nevojë që përfitojnë nga skema e NE shoqëruar me një kosto faktike prej 1.6 miliard lekë.</w:t>
      </w:r>
    </w:p>
    <w:p w:rsidR="003F6B7C" w:rsidRPr="003F6B7C" w:rsidRDefault="003F6B7C" w:rsidP="003F6B21">
      <w:pPr>
        <w:numPr>
          <w:ilvl w:val="0"/>
          <w:numId w:val="6"/>
        </w:numPr>
        <w:jc w:val="both"/>
        <w:rPr>
          <w:rFonts w:ascii="Calibri" w:hAnsi="Calibri"/>
          <w:i/>
          <w:lang w:val="sq-AL"/>
        </w:rPr>
      </w:pPr>
      <w:r w:rsidRPr="003F6B7C">
        <w:rPr>
          <w:rFonts w:ascii="Calibri" w:hAnsi="Calibri"/>
          <w:i/>
          <w:lang w:val="sq-AL"/>
        </w:rPr>
        <w:t>Kanë përfituar rreth 160,815 persona me aftësi të kufizuar nga programi i aftësisë së kufizuar, shoqëruar më një një kosto faktike prej 5.7 miliard lekë.</w:t>
      </w:r>
    </w:p>
    <w:p w:rsidR="003F6B7C" w:rsidRPr="003F6B7C" w:rsidRDefault="003F6B7C" w:rsidP="003F6B21">
      <w:pPr>
        <w:numPr>
          <w:ilvl w:val="0"/>
          <w:numId w:val="6"/>
        </w:numPr>
        <w:jc w:val="both"/>
        <w:rPr>
          <w:rFonts w:ascii="Calibri" w:hAnsi="Calibri"/>
          <w:i/>
          <w:lang w:val="sq-AL"/>
        </w:rPr>
      </w:pPr>
      <w:r w:rsidRPr="003F6B7C">
        <w:rPr>
          <w:rFonts w:ascii="Calibri" w:hAnsi="Calibri"/>
          <w:i/>
          <w:lang w:val="sq-AL"/>
        </w:rPr>
        <w:t>Kanë përfituar 193 persona përfitimin e shërbimit të përkujdesit social të ofruara në qëndrat rezidenciale publike, shoqëruar me një kosto faktike prej rreth 82.3 milionë lekë.</w:t>
      </w:r>
    </w:p>
    <w:p w:rsidR="00990CDF" w:rsidRPr="003F6B7C" w:rsidRDefault="003F6B7C" w:rsidP="003F6B21">
      <w:pPr>
        <w:numPr>
          <w:ilvl w:val="0"/>
          <w:numId w:val="6"/>
        </w:numPr>
        <w:contextualSpacing/>
        <w:jc w:val="both"/>
        <w:rPr>
          <w:rFonts w:asciiTheme="minorHAnsi" w:hAnsiTheme="minorHAnsi"/>
          <w:i/>
          <w:lang w:val="sq-AL"/>
        </w:rPr>
      </w:pPr>
      <w:r w:rsidRPr="003F6B7C">
        <w:rPr>
          <w:rFonts w:ascii="Calibri" w:hAnsi="Calibri"/>
          <w:i/>
          <w:lang w:val="sq-AL"/>
        </w:rPr>
        <w:t>12,628 bebe kanë përfituar shpërblimin e lindjes, me një kosto faktike totale prej rreth 900 milionë lekë</w:t>
      </w:r>
      <w:r w:rsidR="00990CDF" w:rsidRPr="003F6B7C">
        <w:rPr>
          <w:rFonts w:asciiTheme="minorHAnsi" w:hAnsiTheme="minorHAnsi"/>
          <w:i/>
          <w:lang w:val="sq-AL"/>
        </w:rPr>
        <w:t xml:space="preserve">.  </w:t>
      </w:r>
    </w:p>
    <w:p w:rsidR="00990CDF" w:rsidRPr="00BF005F" w:rsidRDefault="00990CDF" w:rsidP="00990CDF">
      <w:pPr>
        <w:spacing w:line="276" w:lineRule="auto"/>
        <w:ind w:left="810"/>
        <w:jc w:val="both"/>
        <w:rPr>
          <w:rFonts w:asciiTheme="minorHAnsi" w:hAnsiTheme="minorHAnsi"/>
          <w:b/>
          <w:i/>
          <w:color w:val="0070C0"/>
          <w:u w:val="single"/>
          <w:lang w:val="sq-AL"/>
        </w:rPr>
      </w:pPr>
      <w:r w:rsidRPr="00BF005F">
        <w:rPr>
          <w:rFonts w:asciiTheme="minorHAnsi" w:hAnsiTheme="minorHAnsi"/>
          <w:lang w:val="sq-AL"/>
        </w:rPr>
        <w:t xml:space="preserve"> </w:t>
      </w:r>
    </w:p>
    <w:p w:rsidR="00990CDF" w:rsidRPr="00BF005F" w:rsidRDefault="00990CDF" w:rsidP="00990CDF">
      <w:pPr>
        <w:spacing w:line="276" w:lineRule="auto"/>
        <w:ind w:left="720"/>
        <w:contextualSpacing/>
        <w:jc w:val="both"/>
        <w:rPr>
          <w:rFonts w:asciiTheme="minorHAnsi" w:eastAsia="MS Mincho" w:hAnsiTheme="minorHAnsi"/>
          <w:b/>
          <w:i/>
          <w:color w:val="336699"/>
          <w:u w:val="single"/>
          <w:lang w:val="sq-AL"/>
        </w:rPr>
      </w:pPr>
    </w:p>
    <w:p w:rsidR="00990CDF" w:rsidRPr="00BF005F" w:rsidRDefault="00990CDF" w:rsidP="00990CDF">
      <w:pPr>
        <w:spacing w:line="276" w:lineRule="auto"/>
        <w:jc w:val="both"/>
        <w:rPr>
          <w:rFonts w:asciiTheme="minorHAnsi" w:hAnsiTheme="minorHAnsi"/>
          <w:b/>
          <w:noProof/>
          <w:color w:val="0070C0"/>
          <w:lang w:val="sq-AL"/>
        </w:rPr>
      </w:pPr>
      <w:r w:rsidRPr="00BF005F">
        <w:rPr>
          <w:rFonts w:asciiTheme="minorHAnsi" w:eastAsia="MS Mincho" w:hAnsiTheme="minorHAnsi"/>
          <w:b/>
          <w:lang w:val="sq-AL"/>
        </w:rPr>
        <w:t xml:space="preserve"> </w:t>
      </w:r>
      <w:bookmarkStart w:id="185" w:name="_Toc10721441"/>
      <w:bookmarkStart w:id="186" w:name="_Toc11134226"/>
      <w:bookmarkStart w:id="187" w:name="_Toc10033296"/>
      <w:bookmarkStart w:id="188" w:name="_Toc10721432"/>
      <w:r w:rsidRPr="00BF005F">
        <w:rPr>
          <w:rFonts w:asciiTheme="minorHAnsi" w:hAnsiTheme="minorHAnsi"/>
          <w:b/>
          <w:noProof/>
          <w:color w:val="0070C0"/>
          <w:lang w:val="sq-AL"/>
        </w:rPr>
        <w:t>ARSIMI</w:t>
      </w:r>
      <w:bookmarkEnd w:id="185"/>
      <w:bookmarkEnd w:id="186"/>
    </w:p>
    <w:p w:rsidR="00990CDF" w:rsidRPr="00E7447D" w:rsidRDefault="00C82070" w:rsidP="00E7447D">
      <w:pPr>
        <w:spacing w:line="276" w:lineRule="auto"/>
        <w:jc w:val="both"/>
        <w:rPr>
          <w:rFonts w:asciiTheme="minorHAnsi" w:eastAsia="MS Mincho" w:hAnsiTheme="minorHAnsi"/>
          <w:bCs/>
          <w:i/>
          <w:iCs/>
          <w:lang w:val="sq-AL"/>
        </w:rPr>
      </w:pPr>
      <w:r w:rsidRPr="00C472AD">
        <w:rPr>
          <w:rFonts w:ascii="Calibri" w:hAnsi="Calibri"/>
          <w:lang w:val="sq-AL"/>
        </w:rPr>
        <w:t>Në përputhje me drejtimet kryesore të politikës së përgjithshme shtetërore, me fondet buxhetore të miratuara për vitin 2022, performanca e treguesve buxhetorë për programet e Ministrisë së Arsimit, Sportit dhe Rinisë, për 4 mujorin e parë të vitit 2022, paraqitet si më poshtë</w:t>
      </w:r>
      <w:r>
        <w:rPr>
          <w:rFonts w:ascii="Calibri" w:hAnsi="Calibri"/>
          <w:lang w:val="sq-AL"/>
        </w:rPr>
        <w:t>:</w:t>
      </w:r>
      <w:r w:rsidR="00990CDF" w:rsidRPr="00BF005F">
        <w:rPr>
          <w:rFonts w:asciiTheme="minorHAnsi" w:eastAsia="MS Mincho" w:hAnsiTheme="minorHAnsi"/>
          <w:bCs/>
          <w:i/>
          <w:iCs/>
          <w:lang w:val="sq-AL"/>
        </w:rPr>
        <w:t xml:space="preserve">               </w:t>
      </w:r>
    </w:p>
    <w:p w:rsidR="00990CDF" w:rsidRPr="00BF005F" w:rsidRDefault="00990CDF" w:rsidP="006F25E7">
      <w:pPr>
        <w:spacing w:before="240"/>
        <w:rPr>
          <w:rFonts w:asciiTheme="minorHAnsi" w:hAnsiTheme="minorHAnsi"/>
          <w:i/>
          <w:noProof/>
        </w:rPr>
      </w:pPr>
      <w:bookmarkStart w:id="189" w:name="_Toc107496775"/>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B2B9B">
        <w:rPr>
          <w:rFonts w:asciiTheme="minorHAnsi" w:hAnsiTheme="minorHAnsi"/>
          <w:i/>
          <w:noProof/>
        </w:rPr>
        <w:t>39</w:t>
      </w:r>
      <w:r w:rsidRPr="00BF005F">
        <w:rPr>
          <w:rFonts w:asciiTheme="minorHAnsi" w:hAnsiTheme="minorHAnsi"/>
          <w:i/>
          <w:noProof/>
        </w:rPr>
        <w:fldChar w:fldCharType="end"/>
      </w:r>
      <w:r w:rsidRPr="00BF005F">
        <w:rPr>
          <w:rFonts w:asciiTheme="minorHAnsi" w:hAnsiTheme="minorHAnsi"/>
          <w:i/>
          <w:noProof/>
        </w:rPr>
        <w:t>: Arsimi</w:t>
      </w:r>
      <w:bookmarkEnd w:id="189"/>
      <w:r w:rsidRPr="00BF005F">
        <w:rPr>
          <w:rFonts w:asciiTheme="minorHAnsi" w:hAnsiTheme="minorHAnsi"/>
          <w:i/>
          <w:noProof/>
        </w:rPr>
        <w:t xml:space="preserve">                                                                                          </w:t>
      </w:r>
    </w:p>
    <w:p w:rsidR="00990CDF" w:rsidRPr="00201FE1" w:rsidRDefault="00990CDF" w:rsidP="00990CDF">
      <w:pPr>
        <w:spacing w:line="276" w:lineRule="auto"/>
        <w:jc w:val="right"/>
        <w:rPr>
          <w:rFonts w:asciiTheme="minorHAnsi" w:eastAsia="MS Mincho" w:hAnsiTheme="minorHAnsi"/>
          <w:sz w:val="22"/>
          <w:lang w:val="sq-AL"/>
        </w:rPr>
      </w:pPr>
      <w:r w:rsidRPr="00201FE1">
        <w:rPr>
          <w:rFonts w:asciiTheme="minorHAnsi" w:eastAsia="MS Mincho" w:hAnsiTheme="minorHAnsi"/>
          <w:bCs/>
          <w:i/>
          <w:iCs/>
          <w:sz w:val="22"/>
          <w:lang w:val="sq-AL"/>
        </w:rPr>
        <w:t>Në mijë lekë</w:t>
      </w:r>
    </w:p>
    <w:tbl>
      <w:tblPr>
        <w:tblStyle w:val="ListTable3-Accent5261"/>
        <w:tblW w:w="5423" w:type="pct"/>
        <w:jc w:val="center"/>
        <w:tblLayout w:type="fixed"/>
        <w:tblLook w:val="01E0" w:firstRow="1" w:lastRow="1" w:firstColumn="1" w:lastColumn="1" w:noHBand="0" w:noVBand="0"/>
      </w:tblPr>
      <w:tblGrid>
        <w:gridCol w:w="525"/>
        <w:gridCol w:w="10"/>
        <w:gridCol w:w="3278"/>
        <w:gridCol w:w="1112"/>
        <w:gridCol w:w="1114"/>
        <w:gridCol w:w="1141"/>
        <w:gridCol w:w="1219"/>
        <w:gridCol w:w="960"/>
        <w:gridCol w:w="19"/>
        <w:gridCol w:w="1056"/>
      </w:tblGrid>
      <w:tr w:rsidR="00C82070" w:rsidRPr="00C472AD" w:rsidTr="00C82070">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100" w:firstRow="0" w:lastRow="0" w:firstColumn="1" w:lastColumn="0" w:oddVBand="0" w:evenVBand="0" w:oddHBand="0" w:evenHBand="0" w:firstRowFirstColumn="1" w:firstRowLastColumn="0" w:lastRowFirstColumn="0" w:lastRowLastColumn="0"/>
            <w:tcW w:w="256" w:type="pct"/>
            <w:gridSpan w:val="2"/>
            <w:vMerge w:val="restart"/>
          </w:tcPr>
          <w:p w:rsidR="00C82070" w:rsidRPr="00C472AD" w:rsidRDefault="00C82070" w:rsidP="00C82070">
            <w:pPr>
              <w:jc w:val="center"/>
              <w:rPr>
                <w:rFonts w:ascii="Calibri" w:hAnsi="Calibri"/>
                <w:color w:val="auto"/>
                <w:sz w:val="18"/>
                <w:lang w:val="sq-AL"/>
              </w:rPr>
            </w:pPr>
          </w:p>
          <w:p w:rsidR="00C82070" w:rsidRPr="00C472AD" w:rsidRDefault="00C82070" w:rsidP="00C82070">
            <w:pPr>
              <w:jc w:val="center"/>
              <w:rPr>
                <w:rFonts w:ascii="Calibri" w:hAnsi="Calibri"/>
                <w:color w:val="auto"/>
                <w:sz w:val="18"/>
                <w:lang w:val="sq-AL"/>
              </w:rPr>
            </w:pPr>
            <w:r w:rsidRPr="00C472AD">
              <w:rPr>
                <w:rFonts w:ascii="Calibri" w:hAnsi="Calibr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71" w:type="pct"/>
            <w:vMerge w:val="restart"/>
          </w:tcPr>
          <w:p w:rsidR="00C82070" w:rsidRPr="00C472AD" w:rsidRDefault="00C82070" w:rsidP="00C82070">
            <w:pPr>
              <w:jc w:val="center"/>
              <w:rPr>
                <w:rFonts w:ascii="Calibri" w:hAnsi="Calibri"/>
                <w:color w:val="auto"/>
                <w:sz w:val="18"/>
                <w:lang w:val="sq-AL"/>
              </w:rPr>
            </w:pPr>
          </w:p>
          <w:p w:rsidR="00C82070" w:rsidRPr="00C472AD" w:rsidRDefault="00C82070" w:rsidP="00C82070">
            <w:pPr>
              <w:jc w:val="center"/>
              <w:rPr>
                <w:rFonts w:ascii="Calibri" w:hAnsi="Calibri"/>
                <w:color w:val="auto"/>
                <w:sz w:val="18"/>
                <w:lang w:val="sq-AL"/>
              </w:rPr>
            </w:pPr>
            <w:r w:rsidRPr="00C472AD">
              <w:rPr>
                <w:rFonts w:ascii="Calibri" w:hAnsi="Calibri"/>
                <w:color w:val="auto"/>
                <w:sz w:val="18"/>
                <w:lang w:val="sq-AL"/>
              </w:rPr>
              <w:t>Emërtimi i Programit</w:t>
            </w:r>
          </w:p>
        </w:tc>
        <w:tc>
          <w:tcPr>
            <w:tcW w:w="1067" w:type="pct"/>
            <w:gridSpan w:val="2"/>
          </w:tcPr>
          <w:p w:rsidR="00C82070" w:rsidRPr="00C472AD" w:rsidRDefault="00C82070" w:rsidP="00C82070">
            <w:pPr>
              <w:ind w:left="80"/>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8"/>
                <w:lang w:val="sq-AL"/>
              </w:rPr>
            </w:pPr>
            <w:r w:rsidRPr="00C472AD">
              <w:rPr>
                <w:rFonts w:ascii="Calibri" w:hAnsi="Calibri"/>
                <w:color w:val="auto"/>
                <w:sz w:val="18"/>
                <w:lang w:val="sq-AL"/>
              </w:rPr>
              <w:t>Plani 2022</w:t>
            </w:r>
          </w:p>
        </w:tc>
        <w:tc>
          <w:tcPr>
            <w:cnfStyle w:val="000010000000" w:firstRow="0" w:lastRow="0" w:firstColumn="0" w:lastColumn="0" w:oddVBand="1" w:evenVBand="0" w:oddHBand="0" w:evenHBand="0" w:firstRowFirstColumn="0" w:firstRowLastColumn="0" w:lastRowFirstColumn="0" w:lastRowLastColumn="0"/>
            <w:tcW w:w="1131" w:type="pct"/>
            <w:gridSpan w:val="2"/>
          </w:tcPr>
          <w:p w:rsidR="00C82070" w:rsidRPr="00C472AD" w:rsidRDefault="00C82070" w:rsidP="00C82070">
            <w:pPr>
              <w:ind w:left="80"/>
              <w:jc w:val="center"/>
              <w:rPr>
                <w:rFonts w:ascii="Calibri" w:hAnsi="Calibri"/>
                <w:color w:val="auto"/>
                <w:sz w:val="18"/>
                <w:lang w:val="sq-AL"/>
              </w:rPr>
            </w:pPr>
            <w:r w:rsidRPr="00C472AD">
              <w:rPr>
                <w:rFonts w:ascii="Calibri" w:hAnsi="Calibri"/>
                <w:color w:val="auto"/>
                <w:sz w:val="18"/>
                <w:lang w:val="sq-AL"/>
              </w:rPr>
              <w:t>Fakti 5-mujori 2022</w:t>
            </w:r>
          </w:p>
        </w:tc>
        <w:tc>
          <w:tcPr>
            <w:cnfStyle w:val="000100001000" w:firstRow="0" w:lastRow="0" w:firstColumn="0" w:lastColumn="1" w:oddVBand="0" w:evenVBand="0" w:oddHBand="0" w:evenHBand="0" w:firstRowFirstColumn="0" w:firstRowLastColumn="1" w:lastRowFirstColumn="0" w:lastRowLastColumn="0"/>
            <w:tcW w:w="975" w:type="pct"/>
            <w:gridSpan w:val="3"/>
          </w:tcPr>
          <w:p w:rsidR="00C82070" w:rsidRPr="00C472AD" w:rsidRDefault="00C82070" w:rsidP="00C82070">
            <w:pPr>
              <w:jc w:val="center"/>
              <w:rPr>
                <w:rFonts w:ascii="Calibri" w:hAnsi="Calibri"/>
                <w:color w:val="auto"/>
                <w:sz w:val="18"/>
                <w:lang w:val="sq-AL"/>
              </w:rPr>
            </w:pPr>
            <w:r w:rsidRPr="00C472AD">
              <w:rPr>
                <w:rFonts w:ascii="Calibri" w:hAnsi="Calibri"/>
                <w:color w:val="auto"/>
                <w:sz w:val="18"/>
                <w:lang w:val="sq-AL"/>
              </w:rPr>
              <w:t>Përqindja  e realizimit</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256" w:type="pct"/>
            <w:gridSpan w:val="2"/>
            <w:vMerge/>
          </w:tcPr>
          <w:p w:rsidR="00C82070" w:rsidRPr="00C472AD" w:rsidRDefault="00C82070"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71" w:type="pct"/>
            <w:vMerge/>
          </w:tcPr>
          <w:p w:rsidR="00C82070" w:rsidRPr="00C472AD" w:rsidRDefault="00C82070" w:rsidP="00C82070">
            <w:pPr>
              <w:jc w:val="center"/>
              <w:rPr>
                <w:rFonts w:ascii="Calibri" w:hAnsi="Calibri"/>
                <w:b/>
                <w:sz w:val="18"/>
                <w:lang w:val="sq-AL"/>
              </w:rPr>
            </w:pPr>
          </w:p>
        </w:tc>
        <w:tc>
          <w:tcPr>
            <w:tcW w:w="533" w:type="pct"/>
          </w:tcPr>
          <w:p w:rsidR="00C82070" w:rsidRPr="00C472AD" w:rsidRDefault="00C82070" w:rsidP="00C82070">
            <w:pPr>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ind w:left="80"/>
              <w:jc w:val="center"/>
              <w:rPr>
                <w:rFonts w:ascii="Calibri" w:hAnsi="Calibri"/>
                <w:b/>
                <w:sz w:val="18"/>
                <w:lang w:val="sq-AL"/>
              </w:rPr>
            </w:pPr>
            <w:r w:rsidRPr="00C472AD">
              <w:rPr>
                <w:rFonts w:ascii="Calibri" w:hAnsi="Calibri"/>
                <w:b/>
                <w:sz w:val="18"/>
                <w:lang w:val="sq-AL"/>
              </w:rPr>
              <w:t>Investime</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b/>
                <w:sz w:val="18"/>
                <w:lang w:val="sq-AL"/>
              </w:rPr>
            </w:pPr>
            <w:r w:rsidRPr="00C472AD">
              <w:rPr>
                <w:rFonts w:ascii="Calibri" w:hAnsi="Calibri"/>
                <w:b/>
                <w:sz w:val="18"/>
                <w:lang w:val="sq-AL"/>
              </w:rPr>
              <w:t>Investime</w:t>
            </w:r>
          </w:p>
        </w:tc>
        <w:tc>
          <w:tcPr>
            <w:tcW w:w="460"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15" w:type="pct"/>
            <w:gridSpan w:val="2"/>
          </w:tcPr>
          <w:p w:rsidR="00C82070" w:rsidRPr="00C472AD" w:rsidRDefault="00C82070" w:rsidP="00C82070">
            <w:pPr>
              <w:jc w:val="center"/>
              <w:rPr>
                <w:rFonts w:ascii="Calibri" w:hAnsi="Calibri"/>
                <w:sz w:val="18"/>
                <w:lang w:val="sq-AL"/>
              </w:rPr>
            </w:pPr>
            <w:r w:rsidRPr="00C472AD">
              <w:rPr>
                <w:rFonts w:ascii="Calibri" w:hAnsi="Calibri"/>
                <w:sz w:val="18"/>
                <w:lang w:val="sq-AL"/>
              </w:rPr>
              <w:t>Investime</w:t>
            </w:r>
          </w:p>
        </w:tc>
      </w:tr>
      <w:tr w:rsidR="00C82070" w:rsidRPr="00C472AD" w:rsidTr="00C82070">
        <w:trPr>
          <w:trHeight w:val="355"/>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576" w:type="pct"/>
            <w:gridSpan w:val="2"/>
            <w:vAlign w:val="bottom"/>
          </w:tcPr>
          <w:p w:rsidR="00C82070" w:rsidRPr="00C472AD" w:rsidRDefault="00C82070" w:rsidP="00C82070">
            <w:pPr>
              <w:rPr>
                <w:rFonts w:ascii="Calibri" w:hAnsi="Calibri"/>
                <w:sz w:val="18"/>
                <w:lang w:val="sq-AL"/>
              </w:rPr>
            </w:pPr>
            <w:r w:rsidRPr="00C472AD">
              <w:rPr>
                <w:rFonts w:ascii="Calibri" w:hAnsi="Calibri"/>
                <w:sz w:val="18"/>
                <w:lang w:val="sq-AL"/>
              </w:rPr>
              <w:t>Planifikimi, Menaxhimi dhe Administrimi</w:t>
            </w:r>
          </w:p>
        </w:tc>
        <w:tc>
          <w:tcPr>
            <w:tcW w:w="533"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700,865</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80,000</w:t>
            </w:r>
          </w:p>
        </w:tc>
        <w:tc>
          <w:tcPr>
            <w:tcW w:w="547"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218,899</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31</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rPr>
                <w:rFonts w:ascii="Calibri" w:hAnsi="Calibri"/>
                <w:sz w:val="18"/>
                <w:lang w:val="sq-AL"/>
              </w:rPr>
            </w:pPr>
            <w:r w:rsidRPr="00C472AD">
              <w:rPr>
                <w:rFonts w:ascii="Calibri" w:hAnsi="Calibri"/>
                <w:sz w:val="18"/>
                <w:lang w:val="sq-AL"/>
              </w:rPr>
              <w:t>Arsimi Bazë</w:t>
            </w:r>
          </w:p>
        </w:tc>
        <w:tc>
          <w:tcPr>
            <w:tcW w:w="533"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23,034,152</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1,108,0000</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7,637,527</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33</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jc w:val="right"/>
              <w:rPr>
                <w:rFonts w:ascii="Calibri" w:hAnsi="Calibri"/>
                <w:sz w:val="18"/>
                <w:lang w:val="sq-AL"/>
              </w:rPr>
            </w:pPr>
            <w:r w:rsidRPr="00C472AD">
              <w:rPr>
                <w:rFonts w:ascii="Calibri" w:hAnsi="Calibri"/>
                <w:sz w:val="18"/>
                <w:lang w:val="sq-AL"/>
              </w:rPr>
              <w:t>Financim i huaj</w:t>
            </w:r>
          </w:p>
        </w:tc>
        <w:tc>
          <w:tcPr>
            <w:tcW w:w="533"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547"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rPr>
                <w:rFonts w:ascii="Calibri" w:hAnsi="Calibri"/>
                <w:sz w:val="18"/>
                <w:lang w:val="sq-AL"/>
              </w:rPr>
            </w:pPr>
            <w:r w:rsidRPr="00C472AD">
              <w:rPr>
                <w:rFonts w:ascii="Calibri" w:hAnsi="Calibri"/>
                <w:sz w:val="18"/>
                <w:lang w:val="sq-AL"/>
              </w:rPr>
              <w:t>Arsimi i Mesëm i Përgjithshëm</w:t>
            </w:r>
          </w:p>
        </w:tc>
        <w:tc>
          <w:tcPr>
            <w:tcW w:w="533"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6,535,828</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1,012,000</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2,136,094</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33</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4.</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rPr>
                <w:rFonts w:ascii="Calibri" w:hAnsi="Calibri"/>
                <w:sz w:val="18"/>
                <w:lang w:val="sq-AL"/>
              </w:rPr>
            </w:pPr>
            <w:r w:rsidRPr="00C472AD">
              <w:rPr>
                <w:rFonts w:ascii="Calibri" w:hAnsi="Calibri"/>
                <w:sz w:val="18"/>
                <w:lang w:val="sq-AL"/>
              </w:rPr>
              <w:t>Arsimi i Universitar</w:t>
            </w:r>
          </w:p>
        </w:tc>
        <w:tc>
          <w:tcPr>
            <w:tcW w:w="533"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10,279,701</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606,000</w:t>
            </w:r>
          </w:p>
        </w:tc>
        <w:tc>
          <w:tcPr>
            <w:tcW w:w="547"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3,107,548</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6,312</w:t>
            </w:r>
          </w:p>
        </w:tc>
        <w:tc>
          <w:tcPr>
            <w:tcW w:w="469" w:type="pct"/>
            <w:gridSpan w:val="2"/>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30</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1</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jc w:val="right"/>
              <w:rPr>
                <w:rFonts w:ascii="Calibri" w:hAnsi="Calibri"/>
                <w:sz w:val="18"/>
                <w:lang w:val="sq-AL"/>
              </w:rPr>
            </w:pPr>
            <w:r w:rsidRPr="00C472AD">
              <w:rPr>
                <w:rFonts w:ascii="Calibri" w:hAnsi="Calibri"/>
                <w:sz w:val="18"/>
                <w:lang w:val="sq-AL"/>
              </w:rPr>
              <w:t>Financimi i huaj</w:t>
            </w:r>
          </w:p>
        </w:tc>
        <w:tc>
          <w:tcPr>
            <w:tcW w:w="533"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200,00</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44,085</w:t>
            </w:r>
          </w:p>
        </w:tc>
        <w:tc>
          <w:tcPr>
            <w:tcW w:w="469" w:type="pct"/>
            <w:gridSpan w:val="2"/>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22</w:t>
            </w:r>
          </w:p>
        </w:tc>
      </w:tr>
      <w:tr w:rsidR="00C82070" w:rsidRPr="00C472AD" w:rsidTr="00C82070">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5.</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rPr>
                <w:rFonts w:ascii="Calibri" w:hAnsi="Calibri"/>
                <w:sz w:val="18"/>
                <w:lang w:val="sq-AL"/>
              </w:rPr>
            </w:pPr>
            <w:r w:rsidRPr="00C472AD">
              <w:rPr>
                <w:rFonts w:ascii="Calibri" w:hAnsi="Calibri"/>
                <w:sz w:val="18"/>
                <w:lang w:val="sq-AL"/>
              </w:rPr>
              <w:t>Fonde për Shkencën</w:t>
            </w:r>
          </w:p>
        </w:tc>
        <w:tc>
          <w:tcPr>
            <w:tcW w:w="533"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461,517</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250,000</w:t>
            </w:r>
          </w:p>
        </w:tc>
        <w:tc>
          <w:tcPr>
            <w:tcW w:w="547"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44,375</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30,222</w:t>
            </w:r>
          </w:p>
        </w:tc>
        <w:tc>
          <w:tcPr>
            <w:tcW w:w="469" w:type="pct"/>
            <w:gridSpan w:val="2"/>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10</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12</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jc w:val="right"/>
              <w:rPr>
                <w:rFonts w:ascii="Calibri" w:hAnsi="Calibri"/>
                <w:sz w:val="18"/>
                <w:lang w:val="sq-AL"/>
              </w:rPr>
            </w:pPr>
            <w:r w:rsidRPr="00C472AD">
              <w:rPr>
                <w:rFonts w:ascii="Calibri" w:hAnsi="Calibri"/>
                <w:sz w:val="18"/>
                <w:lang w:val="sq-AL"/>
              </w:rPr>
              <w:t>Financimi i huaj</w:t>
            </w:r>
          </w:p>
        </w:tc>
        <w:tc>
          <w:tcPr>
            <w:tcW w:w="533"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100,000</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48,626</w:t>
            </w:r>
          </w:p>
        </w:tc>
        <w:tc>
          <w:tcPr>
            <w:tcW w:w="469" w:type="pct"/>
            <w:gridSpan w:val="2"/>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49</w:t>
            </w:r>
          </w:p>
        </w:tc>
      </w:tr>
      <w:tr w:rsidR="00C82070" w:rsidRPr="00C472AD" w:rsidTr="00C82070">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r w:rsidRPr="00C472AD">
              <w:rPr>
                <w:rFonts w:ascii="Calibri" w:hAnsi="Calibri"/>
                <w:sz w:val="18"/>
                <w:lang w:val="sq-AL"/>
              </w:rPr>
              <w:t>6.</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rPr>
                <w:rFonts w:ascii="Calibri" w:hAnsi="Calibri"/>
                <w:sz w:val="18"/>
                <w:lang w:val="sq-AL"/>
              </w:rPr>
            </w:pPr>
            <w:r w:rsidRPr="00C472AD">
              <w:rPr>
                <w:rFonts w:ascii="Calibri" w:hAnsi="Calibri"/>
                <w:sz w:val="18"/>
                <w:lang w:val="sq-AL"/>
              </w:rPr>
              <w:t>Zhvillimi i Sportit dhe Rinisë</w:t>
            </w:r>
          </w:p>
        </w:tc>
        <w:tc>
          <w:tcPr>
            <w:tcW w:w="533"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134,901</w:t>
            </w: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270,000</w:t>
            </w:r>
          </w:p>
        </w:tc>
        <w:tc>
          <w:tcPr>
            <w:tcW w:w="547" w:type="pct"/>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39,553</w:t>
            </w: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29</w:t>
            </w: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C82070" w:rsidRPr="00C472AD" w:rsidRDefault="00C82070" w:rsidP="00C82070">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C82070" w:rsidRPr="00C472AD" w:rsidRDefault="00C82070" w:rsidP="00C82070">
            <w:pPr>
              <w:jc w:val="right"/>
              <w:rPr>
                <w:rFonts w:ascii="Calibri" w:hAnsi="Calibri"/>
                <w:b/>
                <w:sz w:val="18"/>
                <w:lang w:val="sq-AL"/>
              </w:rPr>
            </w:pPr>
            <w:r w:rsidRPr="00C472AD">
              <w:rPr>
                <w:rFonts w:ascii="Calibri" w:hAnsi="Calibri"/>
                <w:sz w:val="18"/>
                <w:lang w:val="sq-AL"/>
              </w:rPr>
              <w:t>Financimi i huaj</w:t>
            </w:r>
          </w:p>
        </w:tc>
        <w:tc>
          <w:tcPr>
            <w:tcW w:w="533"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20,000</w:t>
            </w:r>
          </w:p>
        </w:tc>
        <w:tc>
          <w:tcPr>
            <w:tcW w:w="547" w:type="pct"/>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C82070" w:rsidRPr="00C472AD" w:rsidRDefault="00C82070" w:rsidP="00C82070">
            <w:pPr>
              <w:jc w:val="center"/>
              <w:rPr>
                <w:rFonts w:ascii="Calibri" w:hAnsi="Calibri"/>
                <w:sz w:val="18"/>
                <w:lang w:val="sq-AL"/>
              </w:rPr>
            </w:pPr>
            <w:r w:rsidRPr="00C472AD">
              <w:rPr>
                <w:rFonts w:ascii="Calibri" w:hAnsi="Calibri"/>
                <w:sz w:val="18"/>
                <w:lang w:val="sq-AL"/>
              </w:rPr>
              <w:t>0</w:t>
            </w:r>
          </w:p>
        </w:tc>
        <w:tc>
          <w:tcPr>
            <w:tcW w:w="469" w:type="pct"/>
            <w:gridSpan w:val="2"/>
          </w:tcPr>
          <w:p w:rsidR="00C82070" w:rsidRPr="00C472AD" w:rsidRDefault="00C82070" w:rsidP="00C82070">
            <w:pPr>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C82070" w:rsidRPr="00C472AD" w:rsidRDefault="00C82070" w:rsidP="00C82070">
            <w:pPr>
              <w:jc w:val="center"/>
              <w:rPr>
                <w:rFonts w:ascii="Calibri" w:hAnsi="Calibri"/>
                <w:b w:val="0"/>
                <w:sz w:val="18"/>
                <w:lang w:val="sq-AL"/>
              </w:rPr>
            </w:pPr>
            <w:r w:rsidRPr="00C472AD">
              <w:rPr>
                <w:rFonts w:ascii="Calibri" w:hAnsi="Calibri"/>
                <w:b w:val="0"/>
                <w:sz w:val="18"/>
                <w:lang w:val="sq-AL"/>
              </w:rPr>
              <w:t>0</w:t>
            </w:r>
          </w:p>
        </w:tc>
      </w:tr>
      <w:tr w:rsidR="00C82070" w:rsidRPr="00C472AD" w:rsidTr="00C82070">
        <w:trPr>
          <w:cnfStyle w:val="010000000000" w:firstRow="0" w:lastRow="1" w:firstColumn="0" w:lastColumn="0" w:oddVBand="0" w:evenVBand="0" w:oddHBand="0" w:evenHBand="0" w:firstRowFirstColumn="0" w:firstRowLastColumn="0" w:lastRowFirstColumn="0" w:lastRowLastColumn="0"/>
          <w:trHeight w:val="276"/>
          <w:jc w:val="center"/>
        </w:trPr>
        <w:tc>
          <w:tcPr>
            <w:cnfStyle w:val="001000000001" w:firstRow="0" w:lastRow="0" w:firstColumn="1" w:lastColumn="0" w:oddVBand="0" w:evenVBand="0" w:oddHBand="0" w:evenHBand="0" w:firstRowFirstColumn="0" w:firstRowLastColumn="0" w:lastRowFirstColumn="1" w:lastRowLastColumn="0"/>
            <w:tcW w:w="1827" w:type="pct"/>
            <w:gridSpan w:val="3"/>
          </w:tcPr>
          <w:p w:rsidR="00C82070" w:rsidRPr="00C472AD" w:rsidRDefault="00C82070" w:rsidP="00C82070">
            <w:pPr>
              <w:jc w:val="center"/>
              <w:rPr>
                <w:rFonts w:ascii="Calibri" w:hAnsi="Calibri"/>
                <w:sz w:val="18"/>
                <w:lang w:val="sq-AL"/>
              </w:rPr>
            </w:pPr>
            <w:r w:rsidRPr="00C472AD">
              <w:rPr>
                <w:rFonts w:ascii="Calibri" w:hAnsi="Calibri"/>
                <w:sz w:val="18"/>
                <w:lang w:val="sq-AL"/>
              </w:rPr>
              <w:t>Totali</w:t>
            </w:r>
          </w:p>
        </w:tc>
        <w:tc>
          <w:tcPr>
            <w:cnfStyle w:val="000010000000" w:firstRow="0" w:lastRow="0" w:firstColumn="0" w:lastColumn="0" w:oddVBand="1" w:evenVBand="0" w:oddHBand="0" w:evenHBand="0" w:firstRowFirstColumn="0" w:firstRowLastColumn="0" w:lastRowFirstColumn="0" w:lastRowLastColumn="0"/>
            <w:tcW w:w="533" w:type="pct"/>
          </w:tcPr>
          <w:p w:rsidR="00C82070" w:rsidRPr="00C472AD" w:rsidRDefault="00C82070" w:rsidP="00C82070">
            <w:pPr>
              <w:jc w:val="center"/>
              <w:rPr>
                <w:rFonts w:ascii="Calibri" w:hAnsi="Calibri"/>
                <w:sz w:val="18"/>
                <w:lang w:val="sq-AL"/>
              </w:rPr>
            </w:pPr>
            <w:r w:rsidRPr="00C472AD">
              <w:rPr>
                <w:rFonts w:ascii="Calibri" w:hAnsi="Calibri"/>
                <w:sz w:val="18"/>
                <w:lang w:val="sq-AL"/>
              </w:rPr>
              <w:t>41,146,965</w:t>
            </w:r>
          </w:p>
        </w:tc>
        <w:tc>
          <w:tcPr>
            <w:tcW w:w="534" w:type="pct"/>
          </w:tcPr>
          <w:p w:rsidR="00C82070" w:rsidRPr="00C472AD" w:rsidRDefault="00C82070" w:rsidP="00C82070">
            <w:pPr>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3,646,000</w:t>
            </w:r>
          </w:p>
        </w:tc>
        <w:tc>
          <w:tcPr>
            <w:cnfStyle w:val="000010000000" w:firstRow="0" w:lastRow="0" w:firstColumn="0" w:lastColumn="0" w:oddVBand="1" w:evenVBand="0" w:oddHBand="0" w:evenHBand="0" w:firstRowFirstColumn="0" w:firstRowLastColumn="0" w:lastRowFirstColumn="0" w:lastRowLastColumn="0"/>
            <w:tcW w:w="547" w:type="pct"/>
          </w:tcPr>
          <w:p w:rsidR="00C82070" w:rsidRPr="00C472AD" w:rsidRDefault="00C82070" w:rsidP="00C82070">
            <w:pPr>
              <w:jc w:val="center"/>
              <w:rPr>
                <w:rFonts w:ascii="Calibri" w:hAnsi="Calibri"/>
                <w:sz w:val="18"/>
                <w:lang w:val="sq-AL"/>
              </w:rPr>
            </w:pPr>
            <w:r w:rsidRPr="00C472AD">
              <w:rPr>
                <w:rFonts w:ascii="Calibri" w:hAnsi="Calibri"/>
                <w:sz w:val="18"/>
                <w:lang w:val="sq-AL"/>
              </w:rPr>
              <w:t>13,183,995</w:t>
            </w:r>
          </w:p>
        </w:tc>
        <w:tc>
          <w:tcPr>
            <w:tcW w:w="584" w:type="pct"/>
          </w:tcPr>
          <w:p w:rsidR="00C82070" w:rsidRPr="00C472AD" w:rsidRDefault="00C82070" w:rsidP="00C82070">
            <w:pPr>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129,244</w:t>
            </w:r>
          </w:p>
        </w:tc>
        <w:tc>
          <w:tcPr>
            <w:cnfStyle w:val="000010000000" w:firstRow="0" w:lastRow="0" w:firstColumn="0" w:lastColumn="0" w:oddVBand="1" w:evenVBand="0" w:oddHBand="0" w:evenHBand="0" w:firstRowFirstColumn="0" w:firstRowLastColumn="0" w:lastRowFirstColumn="0" w:lastRowLastColumn="0"/>
            <w:tcW w:w="469" w:type="pct"/>
            <w:gridSpan w:val="2"/>
          </w:tcPr>
          <w:p w:rsidR="00C82070" w:rsidRPr="00C472AD" w:rsidRDefault="00C82070" w:rsidP="00C82070">
            <w:pPr>
              <w:jc w:val="center"/>
              <w:rPr>
                <w:rFonts w:ascii="Calibri" w:hAnsi="Calibri"/>
                <w:sz w:val="18"/>
                <w:lang w:val="sq-AL"/>
              </w:rPr>
            </w:pPr>
            <w:r w:rsidRPr="00C472AD">
              <w:rPr>
                <w:rFonts w:ascii="Calibri" w:hAnsi="Calibri"/>
                <w:sz w:val="18"/>
                <w:lang w:val="sq-AL"/>
              </w:rPr>
              <w:t>32</w:t>
            </w:r>
          </w:p>
        </w:tc>
        <w:tc>
          <w:tcPr>
            <w:cnfStyle w:val="000100000010" w:firstRow="0" w:lastRow="0" w:firstColumn="0" w:lastColumn="1" w:oddVBand="0" w:evenVBand="0" w:oddHBand="0" w:evenHBand="0" w:firstRowFirstColumn="0" w:firstRowLastColumn="0" w:lastRowFirstColumn="0" w:lastRowLastColumn="1"/>
            <w:tcW w:w="506" w:type="pct"/>
          </w:tcPr>
          <w:p w:rsidR="00C82070" w:rsidRPr="00C472AD" w:rsidRDefault="00C82070" w:rsidP="00C82070">
            <w:pPr>
              <w:jc w:val="center"/>
              <w:rPr>
                <w:rFonts w:ascii="Calibri" w:hAnsi="Calibri"/>
                <w:sz w:val="18"/>
                <w:lang w:val="sq-AL"/>
              </w:rPr>
            </w:pPr>
            <w:r w:rsidRPr="00C472AD">
              <w:rPr>
                <w:rFonts w:ascii="Calibri" w:hAnsi="Calibri"/>
                <w:sz w:val="18"/>
                <w:lang w:val="sq-AL"/>
              </w:rPr>
              <w:t>4</w:t>
            </w:r>
          </w:p>
        </w:tc>
      </w:tr>
    </w:tbl>
    <w:p w:rsidR="00990CDF" w:rsidRPr="00BF005F" w:rsidRDefault="00990CDF" w:rsidP="00C82070">
      <w:pPr>
        <w:tabs>
          <w:tab w:val="left" w:pos="6619"/>
        </w:tabs>
        <w:spacing w:after="120"/>
        <w:jc w:val="center"/>
        <w:rPr>
          <w:rFonts w:asciiTheme="minorHAnsi" w:hAnsiTheme="minorHAnsi"/>
        </w:rPr>
      </w:pPr>
    </w:p>
    <w:p w:rsidR="00990CDF" w:rsidRPr="00BF005F" w:rsidRDefault="00990CDF" w:rsidP="00C82070">
      <w:pPr>
        <w:spacing w:line="276" w:lineRule="auto"/>
        <w:jc w:val="both"/>
        <w:rPr>
          <w:rFonts w:asciiTheme="minorHAnsi" w:hAnsiTheme="minorHAnsi"/>
          <w:lang w:val="sq-AL"/>
        </w:rPr>
      </w:pPr>
      <w:r w:rsidRPr="00BF005F">
        <w:rPr>
          <w:rFonts w:asciiTheme="minorHAnsi" w:hAnsiTheme="minorHAnsi"/>
          <w:b/>
          <w:lang w:val="sq-AL"/>
        </w:rPr>
        <w:t>“Arsimi Bazë”,</w:t>
      </w:r>
      <w:r w:rsidRPr="00BF005F">
        <w:rPr>
          <w:rFonts w:asciiTheme="minorHAnsi" w:hAnsiTheme="minorHAnsi"/>
          <w:lang w:val="sq-AL"/>
        </w:rPr>
        <w:t xml:space="preserve"> </w:t>
      </w:r>
      <w:r w:rsidR="00C82070" w:rsidRPr="00C472AD">
        <w:rPr>
          <w:rFonts w:ascii="Calibri" w:hAnsi="Calibri"/>
          <w:lang w:val="sq-AL"/>
        </w:rPr>
        <w:t xml:space="preserve">qëllimi i këtij programi është </w:t>
      </w:r>
      <w:r w:rsidR="00C82070" w:rsidRPr="00C472AD">
        <w:rPr>
          <w:rFonts w:ascii="Calibri" w:hAnsi="Calibri"/>
          <w:i/>
          <w:lang w:val="sq-AL"/>
        </w:rPr>
        <w:t xml:space="preserve">“Sigurimi i një arsimi cilësor për të gjithë nxënësit duke përmirësuar kushtet e mësimdhënies e mësimnxënies duke siguruar kushte të barabarta për pjesëmarrje në arsimin bazë, për të gjithë fëmijët e grup moshës në arsimin parashkollor dhe atë të detyruar”. </w:t>
      </w:r>
      <w:r w:rsidR="00C82070" w:rsidRPr="00C472AD">
        <w:rPr>
          <w:rFonts w:ascii="Calibri" w:hAnsi="Calibri"/>
          <w:lang w:val="sq-AL"/>
        </w:rPr>
        <w:t>Përgjatë 4 mujorit të parë të vitit 2022, për arritjen e qëllimit kanë kontribuar produktet, performanca e të cilave është realizuar, si më poshtë</w:t>
      </w:r>
      <w:r w:rsidRPr="00BF005F">
        <w:rPr>
          <w:rFonts w:asciiTheme="minorHAnsi" w:hAnsiTheme="minorHAnsi"/>
          <w:lang w:val="sq-AL"/>
        </w:rPr>
        <w:t>:</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Ndjekin programin parashkollor publik rreth 61,953 fëmijë të grup moshës 3-6 vjeç.</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U ofrua shërbimi i transportit me fonde të buxhetit, për të mbuluar shpenzimet për transportin e rreth 35,000 nxënës që kanë vendbanimi mbi 2 km nga shkolla si dhe 10,400 mësues që punojnë mbi 5 km nga vendbanimi/qendra e përhershme e punës në shkollë me një kosto prej rreth 791.8 milion lekë.</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Për vitin shkollor 2021-2022 përfituan tekste shkollore falas për përdorim rreth 259 mijë nxënës nga klasa e parë në klasën e nëntë me një efekt financiar prej 964.5 milionë lekë.</w:t>
      </w:r>
    </w:p>
    <w:p w:rsidR="00990CDF"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Janë rreth 140 nxënës me aftësi të veçanta që përfitojnë shërbim arsimor, më një kosto prej 30 milionë lekë për 4 mujorin e parë të vitit 2022</w:t>
      </w:r>
      <w:r w:rsidR="00990CDF" w:rsidRPr="00C82070">
        <w:rPr>
          <w:rFonts w:asciiTheme="minorHAnsi" w:hAnsiTheme="minorHAnsi"/>
          <w:i/>
          <w:lang w:val="sq-AL"/>
        </w:rPr>
        <w:t xml:space="preserve"> </w:t>
      </w:r>
    </w:p>
    <w:p w:rsidR="00990CDF" w:rsidRPr="00BF005F" w:rsidRDefault="00990CDF" w:rsidP="00201FE1">
      <w:pPr>
        <w:autoSpaceDE w:val="0"/>
        <w:autoSpaceDN w:val="0"/>
        <w:adjustRightInd w:val="0"/>
        <w:spacing w:before="240" w:line="276" w:lineRule="auto"/>
        <w:jc w:val="both"/>
        <w:rPr>
          <w:rFonts w:asciiTheme="minorHAnsi" w:hAnsiTheme="minorHAnsi"/>
          <w:lang w:val="sq-AL"/>
        </w:rPr>
      </w:pPr>
      <w:r w:rsidRPr="00BF005F">
        <w:rPr>
          <w:rFonts w:asciiTheme="minorHAnsi" w:hAnsiTheme="minorHAnsi"/>
          <w:lang w:val="sq-AL"/>
        </w:rPr>
        <w:lastRenderedPageBreak/>
        <w:t>Programi</w:t>
      </w:r>
      <w:r w:rsidRPr="00BF005F">
        <w:rPr>
          <w:rFonts w:asciiTheme="minorHAnsi" w:hAnsiTheme="minorHAnsi"/>
          <w:b/>
          <w:lang w:val="sq-AL"/>
        </w:rPr>
        <w:t xml:space="preserve"> “Arsimi Mesëm i Përgjithshëm” </w:t>
      </w:r>
      <w:r w:rsidRPr="00BF005F">
        <w:rPr>
          <w:rFonts w:asciiTheme="minorHAnsi" w:hAnsiTheme="minorHAnsi"/>
          <w:lang w:val="sq-AL"/>
        </w:rPr>
        <w:t>objektivat e të cilit janë:</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 xml:space="preserve">Nxënës që regjistrohen dhe ndjekin arsimin e mesëm të lartë të arrijë 95-97% e nxënësve që përfundojnë arsimin bazë.  </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 xml:space="preserve">Zbatimi i kurrikules së re dhe trajnimi i mësuesve të klasës së 11 në gjimnaze dhe shkollat social-kulturore, si dhe zbatimi i sistemit të ri të zhvillimit profesional. </w:t>
      </w:r>
    </w:p>
    <w:p w:rsidR="00C82070"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Realizimi i Maturës Shtetërore 2021-2022, realizimi i testimit "Mësues për Shqipërinë", në formë elektronike.</w:t>
      </w:r>
    </w:p>
    <w:p w:rsidR="00990CDF" w:rsidRPr="00C82070" w:rsidRDefault="00C82070" w:rsidP="003F6B21">
      <w:pPr>
        <w:numPr>
          <w:ilvl w:val="0"/>
          <w:numId w:val="18"/>
        </w:numPr>
        <w:autoSpaceDE w:val="0"/>
        <w:autoSpaceDN w:val="0"/>
        <w:adjustRightInd w:val="0"/>
        <w:contextualSpacing/>
        <w:jc w:val="both"/>
        <w:rPr>
          <w:rFonts w:asciiTheme="minorHAnsi" w:hAnsiTheme="minorHAnsi"/>
          <w:i/>
          <w:lang w:val="sq-AL"/>
        </w:rPr>
      </w:pPr>
      <w:r w:rsidRPr="00C82070">
        <w:rPr>
          <w:rFonts w:asciiTheme="minorHAnsi" w:hAnsiTheme="minorHAnsi"/>
          <w:i/>
          <w:lang w:val="sq-AL"/>
        </w:rPr>
        <w:t>Përmirësimi i infrastrukturës ekzistuese në arsimin e mesëm (rehabilitimi i 9-10% të klasave në gjimnaze në zonat urbane, shtimi me 5-8% i klasave të reja në zonat urbane, pajisja me mjete didaktike për Fizikë-Kimi-Biologji, për 8% në vit të shkollave të mesme, pajisja e shkollave me klasa mësimore inteligjente/ digjitale, si dhe pasurimi i bibliotekave në të gjitha shkollat me 10 të fondit ekzistues te bibliotekave)</w:t>
      </w:r>
      <w:r w:rsidR="00990CDF" w:rsidRPr="00C82070">
        <w:rPr>
          <w:rFonts w:asciiTheme="minorHAnsi" w:hAnsiTheme="minorHAnsi"/>
          <w:i/>
          <w:lang w:val="sq-AL"/>
        </w:rPr>
        <w:t>.</w:t>
      </w:r>
    </w:p>
    <w:p w:rsidR="00990CDF" w:rsidRPr="00BF005F" w:rsidRDefault="00990CDF" w:rsidP="00201FE1">
      <w:pPr>
        <w:autoSpaceDE w:val="0"/>
        <w:autoSpaceDN w:val="0"/>
        <w:adjustRightInd w:val="0"/>
        <w:spacing w:before="240" w:line="276" w:lineRule="auto"/>
        <w:jc w:val="both"/>
        <w:rPr>
          <w:rFonts w:asciiTheme="minorHAnsi" w:hAnsiTheme="minorHAnsi"/>
          <w:lang w:val="sq-AL"/>
        </w:rPr>
      </w:pPr>
      <w:r w:rsidRPr="00BF005F">
        <w:rPr>
          <w:rFonts w:asciiTheme="minorHAnsi" w:hAnsiTheme="minorHAnsi"/>
          <w:lang w:val="sq-AL"/>
        </w:rPr>
        <w:t>Këto objektiva janë realizuar nëpërmjet produkteve, performanca e të cilave për 4 mujorin e parë të vitit 202</w:t>
      </w:r>
      <w:r w:rsidR="00E77918">
        <w:rPr>
          <w:rFonts w:asciiTheme="minorHAnsi" w:hAnsiTheme="minorHAnsi"/>
          <w:lang w:val="sq-AL"/>
        </w:rPr>
        <w:t>2</w:t>
      </w:r>
      <w:r w:rsidRPr="00BF005F">
        <w:rPr>
          <w:rFonts w:asciiTheme="minorHAnsi" w:hAnsiTheme="minorHAnsi"/>
          <w:lang w:val="sq-AL"/>
        </w:rPr>
        <w:t>, është realizuar, si më poshtë:</w:t>
      </w:r>
    </w:p>
    <w:p w:rsidR="00E77918" w:rsidRPr="00E77918" w:rsidRDefault="00E77918" w:rsidP="003F6B21">
      <w:pPr>
        <w:numPr>
          <w:ilvl w:val="0"/>
          <w:numId w:val="18"/>
        </w:numPr>
        <w:autoSpaceDE w:val="0"/>
        <w:autoSpaceDN w:val="0"/>
        <w:adjustRightInd w:val="0"/>
        <w:contextualSpacing/>
        <w:jc w:val="both"/>
        <w:rPr>
          <w:rFonts w:asciiTheme="minorHAnsi" w:hAnsiTheme="minorHAnsi"/>
          <w:i/>
          <w:lang w:val="sq-AL"/>
        </w:rPr>
      </w:pPr>
      <w:r w:rsidRPr="00E77918">
        <w:rPr>
          <w:rFonts w:asciiTheme="minorHAnsi" w:hAnsiTheme="minorHAnsi"/>
          <w:i/>
          <w:lang w:val="sq-AL"/>
        </w:rPr>
        <w:t>Në vitin shkollor 2021-2022, marrin shërbim arsimor në AML rreth  86,186 nxënës, nga të cilët në arsimin publik janë 76,069 nxënës, shoqëruar me një kosto prej 2.1 miliardë lekë për 4 mujorin e parë të vitit 2022.</w:t>
      </w:r>
    </w:p>
    <w:p w:rsidR="00E77918" w:rsidRPr="00E77918" w:rsidRDefault="00E77918" w:rsidP="003F6B21">
      <w:pPr>
        <w:numPr>
          <w:ilvl w:val="0"/>
          <w:numId w:val="18"/>
        </w:numPr>
        <w:autoSpaceDE w:val="0"/>
        <w:autoSpaceDN w:val="0"/>
        <w:adjustRightInd w:val="0"/>
        <w:contextualSpacing/>
        <w:jc w:val="both"/>
        <w:rPr>
          <w:rFonts w:asciiTheme="minorHAnsi" w:hAnsiTheme="minorHAnsi"/>
          <w:i/>
          <w:lang w:val="sq-AL"/>
        </w:rPr>
      </w:pPr>
      <w:r w:rsidRPr="00E77918">
        <w:rPr>
          <w:rFonts w:asciiTheme="minorHAnsi" w:hAnsiTheme="minorHAnsi"/>
          <w:i/>
          <w:lang w:val="sq-AL"/>
        </w:rPr>
        <w:t>Ofrimi i shërbimit të transportit me fonde të buxhetit, për të mbuluar shpenzimet për transportin e rreth 5,300 mësues të AML për vitin shkollor 2021-2022, shoqëruar menjë kosto prej 24.4 milionë lekë.</w:t>
      </w:r>
    </w:p>
    <w:p w:rsidR="00E77918" w:rsidRPr="00E77918" w:rsidRDefault="00E77918" w:rsidP="003F6B21">
      <w:pPr>
        <w:numPr>
          <w:ilvl w:val="0"/>
          <w:numId w:val="18"/>
        </w:numPr>
        <w:autoSpaceDE w:val="0"/>
        <w:autoSpaceDN w:val="0"/>
        <w:adjustRightInd w:val="0"/>
        <w:contextualSpacing/>
        <w:jc w:val="both"/>
        <w:rPr>
          <w:rFonts w:asciiTheme="minorHAnsi" w:hAnsiTheme="minorHAnsi"/>
          <w:i/>
          <w:lang w:val="sq-AL"/>
        </w:rPr>
      </w:pPr>
      <w:r w:rsidRPr="00E77918">
        <w:rPr>
          <w:rFonts w:asciiTheme="minorHAnsi" w:hAnsiTheme="minorHAnsi"/>
          <w:i/>
          <w:lang w:val="sq-AL"/>
        </w:rPr>
        <w:t>Kanë përfituar tekste mësimore falas 18,000 nxënës të grupeve sociale në nevojë, për vitin shkollor 2021-2022.</w:t>
      </w:r>
    </w:p>
    <w:p w:rsidR="0083048A" w:rsidRDefault="0083048A" w:rsidP="0083048A">
      <w:pPr>
        <w:pStyle w:val="Default"/>
        <w:jc w:val="both"/>
        <w:rPr>
          <w:rFonts w:asciiTheme="minorHAnsi" w:hAnsiTheme="minorHAnsi"/>
          <w:lang w:val="sq-AL"/>
        </w:rPr>
      </w:pPr>
    </w:p>
    <w:p w:rsidR="0083048A" w:rsidRPr="0083048A" w:rsidRDefault="0083048A" w:rsidP="0083048A">
      <w:pPr>
        <w:pStyle w:val="Default"/>
        <w:jc w:val="both"/>
        <w:rPr>
          <w:rFonts w:asciiTheme="minorHAnsi" w:hAnsiTheme="minorHAnsi"/>
          <w:lang w:val="sq-AL"/>
        </w:rPr>
      </w:pPr>
      <w:r w:rsidRPr="0083048A">
        <w:rPr>
          <w:rFonts w:asciiTheme="minorHAnsi" w:hAnsiTheme="minorHAnsi"/>
          <w:lang w:val="sq-AL"/>
        </w:rPr>
        <w:t xml:space="preserve">Në programin </w:t>
      </w:r>
      <w:r w:rsidRPr="0083048A">
        <w:rPr>
          <w:rFonts w:asciiTheme="minorHAnsi" w:hAnsiTheme="minorHAnsi"/>
          <w:b/>
          <w:lang w:val="sq-AL"/>
        </w:rPr>
        <w:t>“Arsimi Lartë”,</w:t>
      </w:r>
      <w:r w:rsidRPr="0083048A">
        <w:rPr>
          <w:rFonts w:asciiTheme="minorHAnsi" w:hAnsiTheme="minorHAnsi"/>
          <w:lang w:val="sq-AL"/>
        </w:rPr>
        <w:t xml:space="preserve"> </w:t>
      </w:r>
      <w:r w:rsidRPr="0083048A">
        <w:rPr>
          <w:rFonts w:asciiTheme="minorHAnsi" w:hAnsiTheme="minorHAnsi"/>
          <w:color w:val="auto"/>
          <w:lang w:val="sq-AL"/>
        </w:rPr>
        <w:t>gjatë 4 mujorit të parë të vitit 2022, tashmë me një reformë tërësore të sistemit të arsimit të lartë, që synon rritjen e cilësisë në të gjithë sistemin, pa cënuar aspak mundësitë e të rinjve për t’u arsimuar,</w:t>
      </w:r>
      <w:r w:rsidRPr="0083048A">
        <w:rPr>
          <w:rFonts w:asciiTheme="minorHAnsi" w:hAnsiTheme="minorHAnsi"/>
          <w:b/>
          <w:lang w:val="sq-AL"/>
        </w:rPr>
        <w:t xml:space="preserve"> objektivat</w:t>
      </w:r>
      <w:r w:rsidRPr="0083048A">
        <w:rPr>
          <w:rFonts w:asciiTheme="minorHAnsi" w:hAnsiTheme="minorHAnsi"/>
          <w:lang w:val="sq-AL"/>
        </w:rPr>
        <w:t xml:space="preserve"> e të cilit janë:</w:t>
      </w:r>
    </w:p>
    <w:p w:rsidR="0083048A" w:rsidRPr="0083048A" w:rsidRDefault="0083048A" w:rsidP="0083048A">
      <w:pPr>
        <w:pStyle w:val="ListParagraph"/>
        <w:numPr>
          <w:ilvl w:val="0"/>
          <w:numId w:val="18"/>
        </w:numPr>
        <w:jc w:val="both"/>
        <w:rPr>
          <w:rFonts w:asciiTheme="minorHAnsi" w:eastAsia="Calibri" w:hAnsiTheme="minorHAnsi"/>
          <w:lang w:val="sq-AL"/>
        </w:rPr>
      </w:pPr>
      <w:r w:rsidRPr="0083048A">
        <w:rPr>
          <w:rFonts w:asciiTheme="minorHAnsi" w:eastAsia="Calibri" w:hAnsiTheme="minorHAnsi"/>
          <w:lang w:val="sq-AL"/>
        </w:rPr>
        <w:t xml:space="preserve">Rritja e cilësisë së mësimdhënies nëpërmjet kualifikimit shkencor të stafit akademik 5% deri 8% në vit dhe nëpërmjet rritjes së numrit të stafit akademik me kohë të plotë duke synuar uljen e raportit pedagog/student në 1/20. </w:t>
      </w:r>
    </w:p>
    <w:p w:rsidR="0083048A" w:rsidRPr="0083048A" w:rsidRDefault="0083048A" w:rsidP="0083048A">
      <w:pPr>
        <w:pStyle w:val="ListParagraph"/>
        <w:numPr>
          <w:ilvl w:val="0"/>
          <w:numId w:val="18"/>
        </w:numPr>
        <w:jc w:val="both"/>
        <w:rPr>
          <w:rFonts w:asciiTheme="minorHAnsi" w:eastAsia="Calibri" w:hAnsiTheme="minorHAnsi"/>
          <w:lang w:val="sq-AL"/>
        </w:rPr>
      </w:pPr>
      <w:r w:rsidRPr="0083048A">
        <w:rPr>
          <w:rFonts w:asciiTheme="minorHAnsi" w:eastAsia="Calibri" w:hAnsiTheme="minorHAnsi"/>
          <w:lang w:val="sq-AL"/>
        </w:rPr>
        <w:t xml:space="preserve">Garantimi i aksesit në bazë të meritës dhe rritja e dimensionit social në arsimin e lartë duke mbështetur me bursë financiare individët që duan të ndjekin studimet në arsimin e lartë nga kategoritë sociale në nevojë në masën 18% deri 20% të studentëve të ciklit të parë dhe të dytë dhe në përputhje me parimet e barazisë gjinore. </w:t>
      </w:r>
    </w:p>
    <w:p w:rsidR="0083048A" w:rsidRPr="0083048A" w:rsidRDefault="0083048A" w:rsidP="0083048A">
      <w:pPr>
        <w:pStyle w:val="ListParagraph"/>
        <w:numPr>
          <w:ilvl w:val="0"/>
          <w:numId w:val="18"/>
        </w:numPr>
        <w:jc w:val="both"/>
        <w:rPr>
          <w:rFonts w:asciiTheme="minorHAnsi" w:eastAsia="Calibri" w:hAnsiTheme="minorHAnsi"/>
          <w:lang w:val="sq-AL"/>
        </w:rPr>
      </w:pPr>
      <w:r w:rsidRPr="0083048A">
        <w:rPr>
          <w:rFonts w:asciiTheme="minorHAnsi" w:eastAsia="Calibri" w:hAnsiTheme="minorHAnsi"/>
          <w:lang w:val="sq-AL"/>
        </w:rPr>
        <w:t>Akreditimi i 90-100 programeve të studimit nga 905 ose 8-10% e programeve mësimore të  IAL publike të cilat janë në proces vlerësimi.</w:t>
      </w:r>
    </w:p>
    <w:p w:rsidR="0083048A" w:rsidRPr="0083048A" w:rsidRDefault="0083048A" w:rsidP="0083048A">
      <w:pPr>
        <w:pStyle w:val="ListParagraph"/>
        <w:numPr>
          <w:ilvl w:val="0"/>
          <w:numId w:val="18"/>
        </w:numPr>
        <w:jc w:val="both"/>
        <w:rPr>
          <w:rFonts w:asciiTheme="minorHAnsi" w:hAnsiTheme="minorHAnsi"/>
          <w:lang w:val="sq-AL"/>
        </w:rPr>
      </w:pPr>
      <w:r w:rsidRPr="0083048A">
        <w:rPr>
          <w:rFonts w:asciiTheme="minorHAnsi" w:eastAsia="Calibri" w:hAnsiTheme="minorHAnsi"/>
          <w:lang w:val="sq-AL"/>
        </w:rPr>
        <w:t>Përmirësimi i standardeve infrastrukturore duke rritur raportin sipërfaqe/student së paku me 1 /student dhe vende për punë dhe kërkim në laboratorë e biblioteka.</w:t>
      </w:r>
    </w:p>
    <w:p w:rsidR="0083048A" w:rsidRPr="0083048A" w:rsidRDefault="0083048A" w:rsidP="0083048A">
      <w:pPr>
        <w:pStyle w:val="ListParagraph"/>
        <w:jc w:val="both"/>
        <w:rPr>
          <w:rFonts w:asciiTheme="minorHAnsi" w:hAnsiTheme="minorHAnsi"/>
          <w:lang w:val="sq-AL"/>
        </w:rPr>
      </w:pPr>
    </w:p>
    <w:p w:rsidR="0083048A" w:rsidRPr="0083048A" w:rsidRDefault="0083048A" w:rsidP="0083048A">
      <w:pPr>
        <w:jc w:val="both"/>
        <w:rPr>
          <w:rFonts w:asciiTheme="minorHAnsi" w:hAnsiTheme="minorHAnsi"/>
          <w:lang w:val="sq-AL"/>
        </w:rPr>
      </w:pPr>
      <w:r w:rsidRPr="0083048A">
        <w:rPr>
          <w:rFonts w:asciiTheme="minorHAnsi" w:hAnsiTheme="minorHAnsi"/>
          <w:lang w:val="sq-AL"/>
        </w:rPr>
        <w:t xml:space="preserve">Këto objektiva janë realizuar nëpërmjet produkteve, performanca e të cilave për 4 mujorin e parë të </w:t>
      </w:r>
      <w:r w:rsidRPr="0083048A">
        <w:rPr>
          <w:rFonts w:asciiTheme="minorHAnsi" w:hAnsiTheme="minorHAnsi"/>
          <w:color w:val="000000"/>
          <w:lang w:val="sq-AL"/>
        </w:rPr>
        <w:t>vitit 2022,</w:t>
      </w:r>
      <w:r w:rsidRPr="0083048A">
        <w:rPr>
          <w:rFonts w:asciiTheme="minorHAnsi" w:hAnsiTheme="minorHAnsi"/>
          <w:lang w:val="sq-AL"/>
        </w:rPr>
        <w:t xml:space="preserve"> është realizuar, si më poshtë:</w:t>
      </w:r>
    </w:p>
    <w:p w:rsidR="00990CDF" w:rsidRDefault="0083048A" w:rsidP="0083048A">
      <w:pPr>
        <w:numPr>
          <w:ilvl w:val="0"/>
          <w:numId w:val="18"/>
        </w:numPr>
        <w:autoSpaceDE w:val="0"/>
        <w:autoSpaceDN w:val="0"/>
        <w:adjustRightInd w:val="0"/>
        <w:contextualSpacing/>
        <w:jc w:val="both"/>
        <w:rPr>
          <w:rFonts w:asciiTheme="minorHAnsi" w:hAnsiTheme="minorHAnsi"/>
          <w:i/>
          <w:lang w:val="sq-AL"/>
        </w:rPr>
      </w:pPr>
      <w:r w:rsidRPr="0083048A">
        <w:rPr>
          <w:rFonts w:asciiTheme="minorHAnsi" w:hAnsiTheme="minorHAnsi"/>
          <w:lang w:val="sq-AL"/>
        </w:rPr>
        <w:t>Ndërmarrja e paketës për studentët ku synimi kryesor, ka qenë i fokusuar në financimin me bursa i studentëve me notën mesatare 9 deri në 10-të, i studentëve nga kategorive sociale në nevojë, si dhe përjashtimi 100 % nga tarifa vjetore e shkollimit apo reduktimi në masën 50% nga tarifa vjetore e shkollimit për studentët e ciklit të dytë. Për vitin akademik 2021-2022 kanë përfituar bursa dhe mbështetje financiare, nëpërmjet akomodimit në shtëpitë e trajtimit të studentëve të rreth 41,000 studentëve, shoqëruar me një kosto rreth 3.2 milardë lekë për 4 mujorin e parë të vitit 2022</w:t>
      </w:r>
      <w:r w:rsidR="00990CDF" w:rsidRPr="0083048A">
        <w:rPr>
          <w:rFonts w:asciiTheme="minorHAnsi" w:hAnsiTheme="minorHAnsi"/>
          <w:i/>
          <w:lang w:val="sq-AL"/>
        </w:rPr>
        <w:t xml:space="preserve">. </w:t>
      </w:r>
    </w:p>
    <w:p w:rsidR="0083048A" w:rsidRPr="0083048A" w:rsidRDefault="0083048A" w:rsidP="0083048A">
      <w:pPr>
        <w:autoSpaceDE w:val="0"/>
        <w:autoSpaceDN w:val="0"/>
        <w:adjustRightInd w:val="0"/>
        <w:ind w:left="720"/>
        <w:contextualSpacing/>
        <w:jc w:val="both"/>
        <w:rPr>
          <w:rFonts w:asciiTheme="minorHAnsi" w:hAnsiTheme="minorHAnsi"/>
          <w: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190" w:name="_Toc11134227"/>
      <w:bookmarkEnd w:id="187"/>
      <w:bookmarkEnd w:id="188"/>
      <w:r w:rsidRPr="00BF005F">
        <w:rPr>
          <w:rFonts w:asciiTheme="minorHAnsi" w:hAnsiTheme="minorHAnsi"/>
          <w:b/>
          <w:noProof/>
          <w:color w:val="0070C0"/>
          <w:lang w:val="sq-AL"/>
        </w:rPr>
        <w:lastRenderedPageBreak/>
        <w:t>BUJQËSIA DHE ZHVILLIMI RURAL</w:t>
      </w:r>
      <w:bookmarkEnd w:id="190"/>
    </w:p>
    <w:p w:rsidR="00990CDF" w:rsidRPr="00BF005F" w:rsidRDefault="00990CDF" w:rsidP="006F25E7">
      <w:pPr>
        <w:spacing w:line="276" w:lineRule="auto"/>
        <w:rPr>
          <w:rFonts w:asciiTheme="minorHAnsi" w:eastAsia="MS Mincho" w:hAnsiTheme="minorHAnsi"/>
          <w:lang w:val="sq-AL"/>
        </w:rPr>
      </w:pPr>
      <w:r w:rsidRPr="00BF005F">
        <w:rPr>
          <w:rFonts w:asciiTheme="minorHAnsi" w:eastAsia="MS Mincho" w:hAnsiTheme="minorHAnsi"/>
          <w:lang w:val="sq-AL"/>
        </w:rPr>
        <w:t>Performanca e treguesve buxhetorë për shtatë programet e Ministrisë së Bujqësisë dhe Zhvillimit Rural, paraqitet si më poshtë:</w:t>
      </w:r>
    </w:p>
    <w:p w:rsidR="00990CDF" w:rsidRPr="00BF005F" w:rsidRDefault="009B6CFE" w:rsidP="00201FE1">
      <w:pPr>
        <w:pStyle w:val="Caption"/>
        <w:spacing w:before="240" w:after="0" w:line="276" w:lineRule="auto"/>
        <w:rPr>
          <w:rFonts w:asciiTheme="minorHAnsi" w:hAnsiTheme="minorHAnsi"/>
          <w:b w:val="0"/>
          <w:bCs w:val="0"/>
          <w:i/>
          <w:noProof/>
          <w:color w:val="auto"/>
          <w:sz w:val="24"/>
          <w:szCs w:val="24"/>
          <w:lang w:val="sq-AL"/>
        </w:rPr>
      </w:pPr>
      <w:bookmarkStart w:id="191" w:name="_Toc107496776"/>
      <w:r w:rsidRPr="009B6CFE">
        <w:rPr>
          <w:rFonts w:asciiTheme="minorHAnsi" w:hAnsiTheme="minorHAnsi"/>
          <w:b w:val="0"/>
          <w:bCs w:val="0"/>
          <w:i/>
          <w:noProof/>
          <w:color w:val="auto"/>
          <w:sz w:val="24"/>
          <w:szCs w:val="24"/>
          <w:lang w:val="sq-AL"/>
        </w:rPr>
        <w:t xml:space="preserve">Tabela </w:t>
      </w:r>
      <w:r w:rsidRPr="009B6CFE">
        <w:rPr>
          <w:rFonts w:asciiTheme="minorHAnsi" w:hAnsiTheme="minorHAnsi"/>
          <w:b w:val="0"/>
          <w:bCs w:val="0"/>
          <w:i/>
          <w:noProof/>
          <w:color w:val="auto"/>
          <w:sz w:val="24"/>
          <w:szCs w:val="24"/>
          <w:lang w:val="sq-AL"/>
        </w:rPr>
        <w:fldChar w:fldCharType="begin"/>
      </w:r>
      <w:r w:rsidRPr="009B6CFE">
        <w:rPr>
          <w:rFonts w:asciiTheme="minorHAnsi" w:hAnsiTheme="minorHAnsi"/>
          <w:b w:val="0"/>
          <w:bCs w:val="0"/>
          <w:i/>
          <w:noProof/>
          <w:color w:val="auto"/>
          <w:sz w:val="24"/>
          <w:szCs w:val="24"/>
          <w:lang w:val="sq-AL"/>
        </w:rPr>
        <w:instrText xml:space="preserve"> SEQ Tabela \* ARABIC </w:instrText>
      </w:r>
      <w:r w:rsidRPr="009B6CFE">
        <w:rPr>
          <w:rFonts w:asciiTheme="minorHAnsi" w:hAnsiTheme="minorHAnsi"/>
          <w:b w:val="0"/>
          <w:bCs w:val="0"/>
          <w:i/>
          <w:noProof/>
          <w:color w:val="auto"/>
          <w:sz w:val="24"/>
          <w:szCs w:val="24"/>
          <w:lang w:val="sq-AL"/>
        </w:rPr>
        <w:fldChar w:fldCharType="separate"/>
      </w:r>
      <w:r w:rsidR="003B2B9B">
        <w:rPr>
          <w:rFonts w:asciiTheme="minorHAnsi" w:hAnsiTheme="minorHAnsi"/>
          <w:b w:val="0"/>
          <w:bCs w:val="0"/>
          <w:i/>
          <w:noProof/>
          <w:color w:val="auto"/>
          <w:sz w:val="24"/>
          <w:szCs w:val="24"/>
          <w:lang w:val="sq-AL"/>
        </w:rPr>
        <w:t>40</w:t>
      </w:r>
      <w:r w:rsidRPr="009B6CFE">
        <w:rPr>
          <w:rFonts w:asciiTheme="minorHAnsi" w:hAnsiTheme="minorHAnsi"/>
          <w:b w:val="0"/>
          <w:bCs w:val="0"/>
          <w:i/>
          <w:noProof/>
          <w:color w:val="auto"/>
          <w:sz w:val="24"/>
          <w:szCs w:val="24"/>
          <w:lang w:val="sq-AL"/>
        </w:rPr>
        <w:fldChar w:fldCharType="end"/>
      </w:r>
      <w:r w:rsidR="000447C4">
        <w:rPr>
          <w:rFonts w:asciiTheme="minorHAnsi" w:hAnsiTheme="minorHAnsi"/>
          <w:b w:val="0"/>
          <w:bCs w:val="0"/>
          <w:i/>
          <w:noProof/>
          <w:color w:val="auto"/>
          <w:sz w:val="24"/>
          <w:szCs w:val="24"/>
          <w:lang w:val="sq-AL"/>
        </w:rPr>
        <w:t>:</w:t>
      </w:r>
      <w:r w:rsidR="00990CDF" w:rsidRPr="00BF005F">
        <w:rPr>
          <w:rFonts w:asciiTheme="minorHAnsi" w:hAnsiTheme="minorHAnsi"/>
          <w:b w:val="0"/>
          <w:bCs w:val="0"/>
          <w:i/>
          <w:noProof/>
          <w:color w:val="auto"/>
          <w:sz w:val="24"/>
          <w:szCs w:val="24"/>
          <w:lang w:val="sq-AL"/>
        </w:rPr>
        <w:t xml:space="preserve"> Bujqësia dhe Zhvillimi Rural</w:t>
      </w:r>
      <w:bookmarkEnd w:id="191"/>
    </w:p>
    <w:p w:rsidR="00990CDF" w:rsidRPr="00BF005F" w:rsidRDefault="00990CDF" w:rsidP="006F25E7">
      <w:pPr>
        <w:spacing w:line="276" w:lineRule="auto"/>
        <w:jc w:val="right"/>
        <w:rPr>
          <w:rFonts w:asciiTheme="minorHAnsi" w:hAnsiTheme="minorHAnsi"/>
          <w:bCs/>
          <w:i/>
          <w:lang w:val="sq-AL"/>
        </w:rPr>
      </w:pPr>
      <w:r w:rsidRPr="00BF005F">
        <w:rPr>
          <w:rFonts w:asciiTheme="minorHAnsi" w:hAnsiTheme="minorHAnsi"/>
          <w:bCs/>
          <w:i/>
          <w:lang w:val="sq-AL"/>
        </w:rPr>
        <w:t>Në mijë lekë</w:t>
      </w:r>
    </w:p>
    <w:tbl>
      <w:tblPr>
        <w:tblStyle w:val="ListTable3-Accent521"/>
        <w:tblW w:w="0" w:type="auto"/>
        <w:jc w:val="center"/>
        <w:tblBorders>
          <w:insideH w:val="single" w:sz="4" w:space="0" w:color="4BACC6"/>
          <w:insideV w:val="single" w:sz="4" w:space="0" w:color="4BACC6"/>
        </w:tblBorders>
        <w:tblLook w:val="0000" w:firstRow="0" w:lastRow="0" w:firstColumn="0" w:lastColumn="0" w:noHBand="0" w:noVBand="0"/>
      </w:tblPr>
      <w:tblGrid>
        <w:gridCol w:w="436"/>
        <w:gridCol w:w="3552"/>
        <w:gridCol w:w="948"/>
        <w:gridCol w:w="952"/>
        <w:gridCol w:w="948"/>
        <w:gridCol w:w="952"/>
        <w:gridCol w:w="880"/>
        <w:gridCol w:w="952"/>
      </w:tblGrid>
      <w:tr w:rsidR="00F351FE" w:rsidRPr="00F351FE" w:rsidTr="00BA6F6C">
        <w:trPr>
          <w:cnfStyle w:val="000000100000" w:firstRow="0" w:lastRow="0" w:firstColumn="0" w:lastColumn="0" w:oddVBand="0" w:evenVBand="0" w:oddHBand="1" w:evenHBand="0" w:firstRowFirstColumn="0" w:firstRowLastColumn="0" w:lastRowFirstColumn="0" w:lastRowLastColumn="0"/>
          <w:trHeight w:val="202"/>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single" w:sz="4" w:space="0" w:color="4F81BD" w:themeColor="accent1"/>
            </w:tcBorders>
            <w:shd w:val="clear" w:color="auto" w:fill="B6DDE8" w:themeFill="accent5" w:themeFillTint="66"/>
          </w:tcPr>
          <w:p w:rsidR="00F351FE" w:rsidRPr="00F351FE" w:rsidRDefault="00F351FE" w:rsidP="00BA6F6C">
            <w:pPr>
              <w:jc w:val="center"/>
              <w:rPr>
                <w:rFonts w:asciiTheme="minorHAnsi" w:hAnsiTheme="minorHAnsi"/>
                <w:b/>
                <w:sz w:val="18"/>
                <w:szCs w:val="18"/>
                <w:lang w:val="sq-AL"/>
              </w:rPr>
            </w:pPr>
          </w:p>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NR</w:t>
            </w:r>
          </w:p>
        </w:tc>
        <w:tc>
          <w:tcPr>
            <w:tcW w:w="0" w:type="auto"/>
            <w:vMerge w:val="restart"/>
            <w:shd w:val="clear" w:color="auto" w:fill="B6DDE8" w:themeFill="accent5" w:themeFillTint="66"/>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p>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Plani 2022</w:t>
            </w:r>
          </w:p>
        </w:tc>
        <w:tc>
          <w:tcPr>
            <w:tcW w:w="0" w:type="auto"/>
            <w:gridSpan w:val="2"/>
            <w:shd w:val="clear" w:color="auto" w:fill="B6DDE8" w:themeFill="accent5" w:themeFillTint="66"/>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Fakti 4M 2022</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 e realizimit</w:t>
            </w:r>
          </w:p>
        </w:tc>
      </w:tr>
      <w:tr w:rsidR="00F351FE" w:rsidRPr="00F351FE" w:rsidTr="00BA6F6C">
        <w:trPr>
          <w:trHeight w:val="188"/>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hemeFill="accent5" w:themeFillTint="66"/>
          </w:tcPr>
          <w:p w:rsidR="00F351FE" w:rsidRPr="00F351FE" w:rsidRDefault="00F351FE" w:rsidP="00BA6F6C">
            <w:pPr>
              <w:jc w:val="both"/>
              <w:rPr>
                <w:rFonts w:asciiTheme="minorHAnsi" w:hAnsiTheme="minorHAnsi"/>
                <w:b/>
                <w:sz w:val="18"/>
                <w:szCs w:val="18"/>
                <w:lang w:val="sq-AL"/>
              </w:rPr>
            </w:pPr>
          </w:p>
        </w:tc>
        <w:tc>
          <w:tcPr>
            <w:tcW w:w="0" w:type="auto"/>
            <w:vMerge/>
            <w:shd w:val="clear" w:color="auto" w:fill="B6DDE8" w:themeFill="accent5" w:themeFillTint="66"/>
          </w:tcPr>
          <w:p w:rsidR="00F351FE" w:rsidRPr="00F351FE" w:rsidRDefault="00F351FE" w:rsidP="00BA6F6C">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shd w:val="clear" w:color="auto" w:fill="B6DDE8" w:themeFill="accent5" w:themeFillTint="66"/>
          </w:tcPr>
          <w:p w:rsidR="00F351FE" w:rsidRPr="00F351FE" w:rsidRDefault="00F351FE" w:rsidP="00BA6F6C">
            <w:pPr>
              <w:jc w:val="both"/>
              <w:rPr>
                <w:rFonts w:asciiTheme="minorHAnsi" w:hAnsiTheme="minorHAnsi"/>
                <w:b/>
                <w:sz w:val="18"/>
                <w:szCs w:val="18"/>
                <w:lang w:val="sq-AL"/>
              </w:rPr>
            </w:pPr>
            <w:r w:rsidRPr="00F351FE">
              <w:rPr>
                <w:rFonts w:asciiTheme="minorHAnsi" w:hAnsiTheme="minorHAnsi"/>
                <w:b/>
                <w:sz w:val="18"/>
                <w:szCs w:val="18"/>
                <w:lang w:val="sq-AL"/>
              </w:rPr>
              <w:t>Korrente</w:t>
            </w:r>
          </w:p>
        </w:tc>
        <w:tc>
          <w:tcPr>
            <w:tcW w:w="0" w:type="auto"/>
            <w:tcBorders>
              <w:bottom w:val="single" w:sz="4" w:space="0" w:color="4F81BD" w:themeColor="accent1"/>
            </w:tcBorders>
            <w:shd w:val="clear" w:color="auto" w:fill="B6DDE8" w:themeFill="accent5" w:themeFillTint="66"/>
          </w:tcPr>
          <w:p w:rsidR="00F351FE" w:rsidRPr="00F351FE" w:rsidRDefault="00F351FE" w:rsidP="00BA6F6C">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shd w:val="clear" w:color="auto" w:fill="B6DDE8" w:themeFill="accent5" w:themeFillTint="66"/>
          </w:tcPr>
          <w:p w:rsidR="00F351FE" w:rsidRPr="00F351FE" w:rsidRDefault="00F351FE" w:rsidP="00BA6F6C">
            <w:pPr>
              <w:jc w:val="both"/>
              <w:rPr>
                <w:rFonts w:asciiTheme="minorHAnsi" w:hAnsiTheme="minorHAnsi"/>
                <w:b/>
                <w:sz w:val="18"/>
                <w:szCs w:val="18"/>
                <w:lang w:val="sq-AL"/>
              </w:rPr>
            </w:pPr>
            <w:r w:rsidRPr="00F351FE">
              <w:rPr>
                <w:rFonts w:asciiTheme="minorHAnsi" w:hAnsiTheme="minorHAnsi"/>
                <w:b/>
                <w:sz w:val="18"/>
                <w:szCs w:val="18"/>
                <w:lang w:val="sq-AL"/>
              </w:rPr>
              <w:t>Korrente</w:t>
            </w:r>
          </w:p>
        </w:tc>
        <w:tc>
          <w:tcPr>
            <w:tcW w:w="0" w:type="auto"/>
            <w:tcBorders>
              <w:bottom w:val="single" w:sz="4" w:space="0" w:color="4F81BD" w:themeColor="accent1"/>
            </w:tcBorders>
            <w:shd w:val="clear" w:color="auto" w:fill="B6DDE8" w:themeFill="accent5" w:themeFillTint="66"/>
          </w:tcPr>
          <w:p w:rsidR="00F351FE" w:rsidRPr="00F351FE" w:rsidRDefault="00F351FE" w:rsidP="00BA6F6C">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F351FE" w:rsidRPr="00F351FE" w:rsidRDefault="00F351FE" w:rsidP="00BA6F6C">
            <w:pPr>
              <w:jc w:val="both"/>
              <w:rPr>
                <w:rFonts w:asciiTheme="minorHAnsi" w:hAnsiTheme="minorHAnsi"/>
                <w:b/>
                <w:sz w:val="18"/>
                <w:szCs w:val="18"/>
                <w:lang w:val="sq-AL"/>
              </w:rPr>
            </w:pPr>
            <w:r w:rsidRPr="00F351FE">
              <w:rPr>
                <w:rFonts w:asciiTheme="minorHAnsi" w:hAnsiTheme="minorHAnsi"/>
                <w:b/>
                <w:sz w:val="18"/>
                <w:szCs w:val="18"/>
                <w:lang w:val="sq-AL"/>
              </w:rPr>
              <w:t>Korrente</w:t>
            </w:r>
          </w:p>
        </w:tc>
        <w:tc>
          <w:tcPr>
            <w:tcW w:w="0" w:type="auto"/>
            <w:tcBorders>
              <w:bottom w:val="single" w:sz="4" w:space="0" w:color="4F81BD" w:themeColor="accent1"/>
            </w:tcBorders>
            <w:shd w:val="clear" w:color="auto" w:fill="B6DDE8" w:themeFill="accent5" w:themeFillTint="66"/>
          </w:tcPr>
          <w:p w:rsidR="00F351FE" w:rsidRPr="00F351FE" w:rsidRDefault="00F351FE" w:rsidP="00BA6F6C">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Investime</w:t>
            </w:r>
          </w:p>
        </w:tc>
      </w:tr>
      <w:tr w:rsidR="00F351FE" w:rsidRPr="00F351FE" w:rsidTr="00BA6F6C">
        <w:trPr>
          <w:cnfStyle w:val="000000100000" w:firstRow="0" w:lastRow="0" w:firstColumn="0" w:lastColumn="0" w:oddVBand="0" w:evenVBand="0" w:oddHBand="1" w:evenHBand="0" w:firstRowFirstColumn="0" w:firstRowLastColumn="0" w:lastRowFirstColumn="0" w:lastRowLastColumn="0"/>
          <w:trHeight w:val="246"/>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w:t>
            </w:r>
          </w:p>
        </w:tc>
        <w:tc>
          <w:tcPr>
            <w:tcW w:w="0" w:type="auto"/>
            <w:tcBorders>
              <w:right w:val="single" w:sz="4" w:space="0" w:color="4F81BD" w:themeColor="accent1"/>
            </w:tcBorders>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303,394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auto"/>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131,442</w:t>
            </w:r>
          </w:p>
        </w:tc>
        <w:tc>
          <w:tcPr>
            <w:tcW w:w="0" w:type="auto"/>
            <w:tcBorders>
              <w:top w:val="single" w:sz="4" w:space="0" w:color="auto"/>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auto"/>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43.3</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0.0</w:t>
            </w:r>
          </w:p>
        </w:tc>
      </w:tr>
      <w:tr w:rsidR="00F351FE" w:rsidRPr="00F351FE" w:rsidTr="00BA6F6C">
        <w:trPr>
          <w:trHeight w:val="231"/>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2.</w:t>
            </w:r>
          </w:p>
        </w:tc>
        <w:tc>
          <w:tcPr>
            <w:tcW w:w="0" w:type="auto"/>
            <w:tcBorders>
              <w:right w:val="single" w:sz="4" w:space="0" w:color="4F81BD" w:themeColor="accent1"/>
            </w:tcBorders>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Siguria ushqimore dhe mbrojtja e konsumatorit</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1,519,231</w:t>
            </w:r>
          </w:p>
        </w:tc>
        <w:tc>
          <w:tcPr>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690,523</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363,037</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16,597</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23.9</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2.4</w:t>
            </w:r>
          </w:p>
        </w:tc>
      </w:tr>
      <w:tr w:rsidR="00F351FE" w:rsidRPr="00F351FE" w:rsidTr="00BA6F6C">
        <w:trPr>
          <w:cnfStyle w:val="000000100000" w:firstRow="0" w:lastRow="0" w:firstColumn="0" w:lastColumn="0" w:oddVBand="0" w:evenVBand="0" w:oddHBand="1" w:evenHBand="0" w:firstRowFirstColumn="0" w:firstRowLastColumn="0" w:lastRowFirstColumn="0" w:lastRowLastColumn="0"/>
          <w:trHeight w:val="292"/>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w:t>
            </w:r>
          </w:p>
        </w:tc>
        <w:tc>
          <w:tcPr>
            <w:tcW w:w="0" w:type="auto"/>
            <w:tcBorders>
              <w:right w:val="single" w:sz="4" w:space="0" w:color="4F81BD" w:themeColor="accent1"/>
            </w:tcBorders>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Mbështetje për Peshkimin</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126,570</w:t>
            </w:r>
          </w:p>
        </w:tc>
        <w:tc>
          <w:tcPr>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201,132</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30,389</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16,661</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24.0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8.3</w:t>
            </w:r>
          </w:p>
        </w:tc>
      </w:tr>
      <w:tr w:rsidR="00F351FE" w:rsidRPr="00F351FE" w:rsidTr="00BA6F6C">
        <w:trPr>
          <w:trHeight w:val="353"/>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4.</w:t>
            </w:r>
          </w:p>
        </w:tc>
        <w:tc>
          <w:tcPr>
            <w:tcW w:w="0" w:type="auto"/>
            <w:tcBorders>
              <w:right w:val="single" w:sz="4" w:space="0" w:color="4F81BD" w:themeColor="accent1"/>
            </w:tcBorders>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Menaxhimi i infrastrukturës se kullimit dhe ujitjes</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621,740</w:t>
            </w:r>
          </w:p>
        </w:tc>
        <w:tc>
          <w:tcPr>
            <w:tcW w:w="0" w:type="auto"/>
            <w:tcBorders>
              <w:top w:val="nil"/>
              <w:left w:val="single" w:sz="4" w:space="0" w:color="auto"/>
              <w:bottom w:val="single" w:sz="4" w:space="0" w:color="auto"/>
              <w:right w:val="single" w:sz="4" w:space="0" w:color="auto"/>
            </w:tcBorders>
            <w:shd w:val="clear" w:color="000000" w:fill="FFFFFF"/>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992,841</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204,025</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152,467</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32.8</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15.4</w:t>
            </w:r>
          </w:p>
        </w:tc>
      </w:tr>
      <w:tr w:rsidR="00F351FE" w:rsidRPr="00F351FE" w:rsidTr="00BA6F6C">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5.</w:t>
            </w:r>
          </w:p>
        </w:tc>
        <w:tc>
          <w:tcPr>
            <w:tcW w:w="0" w:type="auto"/>
            <w:tcBorders>
              <w:bottom w:val="single" w:sz="4" w:space="0" w:color="4F81BD" w:themeColor="accent1"/>
              <w:right w:val="single" w:sz="4" w:space="0" w:color="4F81BD" w:themeColor="accent1"/>
            </w:tcBorders>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Zhvillimi Rural duke mbësht. Prodh. Bujq, Blek, Agroind dhe Market.</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3,594,824</w:t>
            </w:r>
          </w:p>
        </w:tc>
        <w:tc>
          <w:tcPr>
            <w:tcW w:w="0" w:type="auto"/>
            <w:tcBorders>
              <w:top w:val="nil"/>
              <w:left w:val="single" w:sz="4" w:space="0" w:color="auto"/>
              <w:bottom w:val="single" w:sz="4" w:space="0" w:color="auto"/>
              <w:right w:val="single" w:sz="4" w:space="0" w:color="auto"/>
            </w:tcBorders>
            <w:shd w:val="clear" w:color="000000" w:fill="FFFFFF"/>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3,359,599</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194,702</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573,716</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5.4</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17.1</w:t>
            </w:r>
          </w:p>
        </w:tc>
      </w:tr>
      <w:tr w:rsidR="00F351FE" w:rsidRPr="00F351FE" w:rsidTr="00BA6F6C">
        <w:trPr>
          <w:trHeight w:val="231"/>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6.</w:t>
            </w:r>
          </w:p>
        </w:tc>
        <w:tc>
          <w:tcPr>
            <w:tcW w:w="0" w:type="auto"/>
            <w:tcBorders>
              <w:top w:val="single" w:sz="4" w:space="0" w:color="4F81BD" w:themeColor="accent1"/>
              <w:right w:val="single" w:sz="4" w:space="0" w:color="4F81BD" w:themeColor="accent1"/>
            </w:tcBorders>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Këshillimi dhe Informacioni Bujqësor</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441,450</w:t>
            </w:r>
          </w:p>
        </w:tc>
        <w:tc>
          <w:tcPr>
            <w:tcW w:w="0" w:type="auto"/>
            <w:tcBorders>
              <w:top w:val="nil"/>
              <w:left w:val="single" w:sz="4" w:space="0" w:color="auto"/>
              <w:bottom w:val="single" w:sz="4" w:space="0" w:color="auto"/>
              <w:right w:val="single" w:sz="4" w:space="0" w:color="auto"/>
            </w:tcBorders>
            <w:shd w:val="clear" w:color="000000" w:fill="FFFFFF"/>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170,000</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139,032</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250</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31.5</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0.1</w:t>
            </w:r>
          </w:p>
        </w:tc>
      </w:tr>
      <w:tr w:rsidR="00F351FE" w:rsidRPr="00F351FE" w:rsidTr="00BA6F6C">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7.</w:t>
            </w:r>
          </w:p>
        </w:tc>
        <w:tc>
          <w:tcPr>
            <w:tcW w:w="0" w:type="auto"/>
            <w:tcBorders>
              <w:right w:val="single" w:sz="4" w:space="0" w:color="4F81BD" w:themeColor="accent1"/>
            </w:tcBorders>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Menaxhimi qëndrueshëm i tokës bujqësore</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18,000</w:t>
            </w:r>
          </w:p>
        </w:tc>
        <w:tc>
          <w:tcPr>
            <w:tcW w:w="0" w:type="auto"/>
            <w:tcBorders>
              <w:top w:val="nil"/>
              <w:left w:val="single" w:sz="4" w:space="0" w:color="auto"/>
              <w:bottom w:val="single" w:sz="4" w:space="0" w:color="auto"/>
              <w:right w:val="single" w:sz="4" w:space="0" w:color="auto"/>
            </w:tcBorders>
            <w:shd w:val="clear" w:color="000000" w:fill="FFFFFF"/>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0</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sz w:val="18"/>
                <w:szCs w:val="18"/>
                <w:lang w:val="sq-AL"/>
              </w:rPr>
            </w:pPr>
            <w:r w:rsidRPr="00F351FE">
              <w:rPr>
                <w:rFonts w:asciiTheme="minorHAnsi" w:hAnsiTheme="minorHAnsi"/>
                <w:sz w:val="18"/>
                <w:szCs w:val="18"/>
                <w:lang w:val="sq-AL"/>
              </w:rPr>
              <w:t>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vAlign w:val="center"/>
          </w:tcPr>
          <w:p w:rsidR="00F351FE" w:rsidRPr="00F351FE" w:rsidRDefault="00F351FE" w:rsidP="00BA6F6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F351FE">
              <w:rPr>
                <w:rFonts w:asciiTheme="minorHAnsi" w:hAnsiTheme="minorHAnsi"/>
                <w:sz w:val="18"/>
                <w:szCs w:val="18"/>
                <w:lang w:val="sq-AL"/>
              </w:rPr>
              <w:t>-</w:t>
            </w:r>
          </w:p>
        </w:tc>
      </w:tr>
      <w:tr w:rsidR="00F351FE" w:rsidRPr="00F351FE" w:rsidTr="00BA6F6C">
        <w:trPr>
          <w:trHeight w:val="215"/>
          <w:jc w:val="center"/>
        </w:trPr>
        <w:tc>
          <w:tcPr>
            <w:cnfStyle w:val="000010000000" w:firstRow="0" w:lastRow="0" w:firstColumn="0" w:lastColumn="0" w:oddVBand="1" w:evenVBand="0" w:oddHBand="0" w:evenHBand="0" w:firstRowFirstColumn="0" w:firstRowLastColumn="0" w:lastRowFirstColumn="0" w:lastRowLastColumn="0"/>
            <w:tcW w:w="0" w:type="auto"/>
          </w:tcPr>
          <w:p w:rsidR="00F351FE" w:rsidRPr="00F351FE" w:rsidRDefault="00F351FE" w:rsidP="00BA6F6C">
            <w:pPr>
              <w:jc w:val="center"/>
              <w:rPr>
                <w:rFonts w:asciiTheme="minorHAnsi" w:hAnsiTheme="minorHAnsi"/>
                <w:b/>
                <w:sz w:val="18"/>
                <w:szCs w:val="18"/>
                <w:lang w:val="sq-AL"/>
              </w:rPr>
            </w:pPr>
          </w:p>
        </w:tc>
        <w:tc>
          <w:tcPr>
            <w:tcW w:w="0" w:type="auto"/>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6,625,209</w:t>
            </w:r>
          </w:p>
        </w:tc>
        <w:tc>
          <w:tcPr>
            <w:tcW w:w="0" w:type="auto"/>
            <w:tcBorders>
              <w:top w:val="nil"/>
              <w:left w:val="single" w:sz="4" w:space="0" w:color="auto"/>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5,419,095</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1,062,626</w:t>
            </w:r>
          </w:p>
        </w:tc>
        <w:tc>
          <w:tcPr>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759,690</w:t>
            </w:r>
          </w:p>
        </w:tc>
        <w:tc>
          <w:tcPr>
            <w:cnfStyle w:val="000010000000" w:firstRow="0" w:lastRow="0" w:firstColumn="0" w:lastColumn="0" w:oddVBand="1" w:evenVBand="0" w:oddHBand="0" w:evenHBand="0" w:firstRowFirstColumn="0" w:firstRowLastColumn="0" w:lastRowFirstColumn="0" w:lastRowLastColumn="0"/>
            <w:tcW w:w="0" w:type="auto"/>
            <w:tcBorders>
              <w:top w:val="nil"/>
              <w:left w:val="nil"/>
              <w:bottom w:val="single" w:sz="4" w:space="0" w:color="auto"/>
              <w:right w:val="single" w:sz="4" w:space="0" w:color="auto"/>
            </w:tcBorders>
            <w:shd w:val="clear" w:color="auto" w:fill="auto"/>
            <w:vAlign w:val="center"/>
          </w:tcPr>
          <w:p w:rsidR="00F351FE" w:rsidRPr="00F351FE" w:rsidRDefault="00F351FE" w:rsidP="00BA6F6C">
            <w:pPr>
              <w:jc w:val="center"/>
              <w:rPr>
                <w:rFonts w:asciiTheme="minorHAnsi" w:hAnsiTheme="minorHAnsi"/>
                <w:b/>
                <w:sz w:val="18"/>
                <w:szCs w:val="18"/>
                <w:lang w:val="sq-AL"/>
              </w:rPr>
            </w:pPr>
            <w:r w:rsidRPr="00F351FE">
              <w:rPr>
                <w:rFonts w:asciiTheme="minorHAnsi" w:hAnsiTheme="minorHAnsi"/>
                <w:b/>
                <w:sz w:val="18"/>
                <w:szCs w:val="18"/>
                <w:lang w:val="sq-AL"/>
              </w:rPr>
              <w:t>16.0</w:t>
            </w:r>
          </w:p>
        </w:tc>
        <w:tc>
          <w:tcPr>
            <w:tcW w:w="0" w:type="auto"/>
            <w:tcBorders>
              <w:top w:val="single" w:sz="4" w:space="0" w:color="4F81BD" w:themeColor="accent1"/>
              <w:left w:val="single" w:sz="4" w:space="0" w:color="4F81BD" w:themeColor="accent1"/>
              <w:bottom w:val="single" w:sz="4" w:space="0" w:color="auto"/>
              <w:right w:val="single" w:sz="4" w:space="0" w:color="4F81BD" w:themeColor="accent1"/>
            </w:tcBorders>
            <w:shd w:val="clear" w:color="auto" w:fill="auto"/>
            <w:vAlign w:val="center"/>
          </w:tcPr>
          <w:p w:rsidR="00F351FE" w:rsidRPr="00F351FE" w:rsidRDefault="00F351FE" w:rsidP="00BA6F6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F351FE">
              <w:rPr>
                <w:rFonts w:asciiTheme="minorHAnsi" w:hAnsiTheme="minorHAnsi"/>
                <w:b/>
                <w:sz w:val="18"/>
                <w:szCs w:val="18"/>
                <w:lang w:val="sq-AL"/>
              </w:rPr>
              <w:t>14.0</w:t>
            </w:r>
          </w:p>
        </w:tc>
      </w:tr>
    </w:tbl>
    <w:p w:rsidR="00990CDF" w:rsidRPr="00BF005F" w:rsidRDefault="00990CDF" w:rsidP="006F25E7">
      <w:pPr>
        <w:spacing w:line="276" w:lineRule="auto"/>
        <w:jc w:val="center"/>
        <w:rPr>
          <w:rFonts w:asciiTheme="minorHAnsi" w:hAnsiTheme="minorHAnsi"/>
          <w:color w:val="FF0000"/>
          <w:lang w:val="sq-AL"/>
        </w:rPr>
      </w:pPr>
    </w:p>
    <w:p w:rsidR="00990CDF" w:rsidRPr="00F351FE" w:rsidRDefault="00990CDF" w:rsidP="006F25E7">
      <w:pPr>
        <w:spacing w:line="276" w:lineRule="auto"/>
        <w:jc w:val="both"/>
        <w:rPr>
          <w:rFonts w:asciiTheme="minorHAnsi" w:eastAsia="MS Mincho" w:hAnsiTheme="minorHAnsi"/>
          <w:lang w:val="sq-AL"/>
        </w:rPr>
      </w:pPr>
      <w:r w:rsidRPr="00F351FE">
        <w:rPr>
          <w:rFonts w:asciiTheme="minorHAnsi" w:eastAsia="MS Mincho" w:hAnsiTheme="minorHAnsi"/>
          <w:lang w:val="sq-AL"/>
        </w:rPr>
        <w:t xml:space="preserve">Në programin e </w:t>
      </w:r>
      <w:r w:rsidRPr="00F351FE">
        <w:rPr>
          <w:rFonts w:asciiTheme="minorHAnsi" w:eastAsia="MS Mincho" w:hAnsiTheme="minorHAnsi"/>
          <w:b/>
          <w:lang w:val="sq-AL"/>
        </w:rPr>
        <w:t>“Zhvillimit rural duke mbështetur prodhimin Bujqësor, Blegtoral, Agroindustrial dhe Marketingun”</w:t>
      </w:r>
      <w:r w:rsidRPr="00F351FE">
        <w:rPr>
          <w:rFonts w:asciiTheme="minorHAnsi" w:eastAsia="MS Mincho" w:hAnsiTheme="minorHAnsi"/>
          <w:lang w:val="sq-AL"/>
        </w:rPr>
        <w:t xml:space="preserve">, janë realizuar produkte me një </w:t>
      </w:r>
      <w:r w:rsidR="00F351FE" w:rsidRPr="00F351FE">
        <w:rPr>
          <w:rFonts w:asciiTheme="minorHAnsi" w:eastAsia="MS Mincho" w:hAnsiTheme="minorHAnsi"/>
          <w:lang w:val="sq-AL"/>
        </w:rPr>
        <w:t>kosto faktike prej 768.4 milionë lekë, të tilla si</w:t>
      </w:r>
      <w:r w:rsidRPr="00F351FE">
        <w:rPr>
          <w:rFonts w:asciiTheme="minorHAnsi" w:eastAsia="MS Mincho" w:hAnsiTheme="minorHAnsi"/>
          <w:lang w:val="sq-AL"/>
        </w:rPr>
        <w:t>:</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 xml:space="preserve">Hartimi i bazës ligjore për masat mbështetëse të Programit të Bujqësisë dhe Zhvillimit Rural për 4 mujorin e parë të vitit 2022 , VKM “Për përcaktimin e kritereve bazë, të sektorëve që do të mbështeten dhe të masës së përfitimit nga fondi i programit për bujqësinë dhe zhvillimin rural, për vitin 2022” si dhe udhëzimi me bashkë firmosje midis MBZHR dhe MFE “Për kriteret procedurat dhe mënyrën e administrimit te fondit te programit për bujqësinë dhe zhvillimin rural.” Lidhur me masat mbështetëse, ka përfunduar procesi i aplikimit, ka filluar puna për vlerësimin e aplikimeve, shqyrtimin dhe disbursimin. </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Kanë aplikuar gjithsej 61 654 fermerë deri tani janë shqyrtuar 22 412 aplikime, nga të cilat 18 136 për skemën e naftës. Numri më i madh i aplikimeve rreth 80%, e zë skema e naftës, e më pas me 11.4% skema e matrikullimit të bagëtive, 5% skema e bletarisë.</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Janë paguar rreth 16 887 përfitues dhe janë shpërndarë rreth 3.5 milion litra naftë.</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 xml:space="preserve">Programi IPARD II është në fazën e përfundimit të vlerësimit dhe disbursimit të aplikimeve, të thirrjes së dytë dhe të tretë. Aktualisht janë disbursuar 50 kontrata. Është miratuar IPARD III dhe ka filluar puna për akreditimin e masave. </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Organizimi i 2 aktiviteteve promovuese ;</w:t>
      </w:r>
    </w:p>
    <w:p w:rsidR="00F351FE" w:rsidRPr="00F351FE"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Certifikimi dhe testimi i rreth 340 mijë fara dhe fidanë;</w:t>
      </w:r>
    </w:p>
    <w:p w:rsidR="00990CDF" w:rsidRPr="00201FE1" w:rsidRDefault="00F351FE" w:rsidP="003F6B21">
      <w:pPr>
        <w:numPr>
          <w:ilvl w:val="0"/>
          <w:numId w:val="15"/>
        </w:numPr>
        <w:contextualSpacing/>
        <w:jc w:val="both"/>
        <w:rPr>
          <w:rFonts w:asciiTheme="minorHAnsi" w:eastAsia="MS Mincho" w:hAnsiTheme="minorHAnsi"/>
          <w:i/>
          <w:lang w:val="sq-AL"/>
        </w:rPr>
      </w:pPr>
      <w:r w:rsidRPr="00F351FE">
        <w:rPr>
          <w:rFonts w:asciiTheme="minorHAnsi" w:eastAsia="MS Mincho" w:hAnsiTheme="minorHAnsi"/>
          <w:i/>
          <w:lang w:val="sq-AL"/>
        </w:rPr>
        <w:t>Degustimi i rreth 71 mostrave të cigareve</w:t>
      </w:r>
      <w:r w:rsidR="00990CDF" w:rsidRPr="00201FE1">
        <w:rPr>
          <w:rFonts w:asciiTheme="minorHAnsi" w:eastAsia="MS Mincho" w:hAnsiTheme="minorHAnsi"/>
          <w:i/>
          <w:lang w:val="sq-AL"/>
        </w:rPr>
        <w:t>.</w:t>
      </w:r>
    </w:p>
    <w:p w:rsidR="00990CDF" w:rsidRPr="00BF005F" w:rsidRDefault="00990CDF" w:rsidP="006F25E7">
      <w:pPr>
        <w:spacing w:before="240" w:line="276" w:lineRule="auto"/>
        <w:jc w:val="both"/>
        <w:rPr>
          <w:rFonts w:asciiTheme="minorHAnsi" w:eastAsia="MS Mincho" w:hAnsiTheme="minorHAnsi"/>
          <w:lang w:val="sq-AL"/>
        </w:rPr>
      </w:pPr>
      <w:r w:rsidRPr="00F351FE">
        <w:rPr>
          <w:rFonts w:asciiTheme="minorHAnsi" w:eastAsia="MS Mincho" w:hAnsiTheme="minorHAnsi"/>
          <w:lang w:val="sq-AL"/>
        </w:rPr>
        <w:t xml:space="preserve">Në programin </w:t>
      </w:r>
      <w:r w:rsidRPr="00F351FE">
        <w:rPr>
          <w:rFonts w:asciiTheme="minorHAnsi" w:eastAsia="MS Mincho" w:hAnsiTheme="minorHAnsi"/>
          <w:b/>
          <w:lang w:val="sq-AL"/>
        </w:rPr>
        <w:t>“Siguria ushqimore dhe mbrojtja e konsumatorit”</w:t>
      </w:r>
      <w:r w:rsidRPr="00F351FE">
        <w:rPr>
          <w:rFonts w:asciiTheme="minorHAnsi" w:eastAsia="MS Mincho" w:hAnsiTheme="minorHAnsi"/>
          <w:lang w:val="sq-AL"/>
        </w:rPr>
        <w:t>, janë realizuar për 4 mujorin e</w:t>
      </w:r>
      <w:r w:rsidRPr="00BF005F">
        <w:rPr>
          <w:rFonts w:asciiTheme="minorHAnsi" w:eastAsia="MS Mincho" w:hAnsiTheme="minorHAnsi"/>
          <w:lang w:val="sq-AL"/>
        </w:rPr>
        <w:t xml:space="preserve"> parë produkte me një kosto faktike prej </w:t>
      </w:r>
      <w:r w:rsidR="00F351FE" w:rsidRPr="00F351FE">
        <w:rPr>
          <w:rFonts w:asciiTheme="minorHAnsi" w:eastAsia="MS Mincho" w:hAnsiTheme="minorHAnsi"/>
          <w:lang w:val="sq-AL"/>
        </w:rPr>
        <w:t>379.6 milionë lekë, ku ndër to përmendim</w:t>
      </w:r>
      <w:r w:rsidRPr="00BF005F">
        <w:rPr>
          <w:rFonts w:asciiTheme="minorHAnsi" w:eastAsia="MS Mincho" w:hAnsiTheme="minorHAnsi"/>
          <w:lang w:val="sq-AL"/>
        </w:rPr>
        <w:t xml:space="preserve">: </w:t>
      </w:r>
    </w:p>
    <w:p w:rsidR="00F351FE" w:rsidRPr="00F351FE" w:rsidRDefault="00F351FE" w:rsidP="003F6B21">
      <w:pPr>
        <w:numPr>
          <w:ilvl w:val="0"/>
          <w:numId w:val="16"/>
        </w:numPr>
        <w:contextualSpacing/>
        <w:jc w:val="both"/>
        <w:rPr>
          <w:rFonts w:asciiTheme="minorHAnsi" w:eastAsia="MS Mincho" w:hAnsiTheme="minorHAnsi"/>
          <w:i/>
          <w:lang w:val="sq-AL"/>
        </w:rPr>
      </w:pPr>
      <w:r w:rsidRPr="00F351FE">
        <w:rPr>
          <w:rFonts w:asciiTheme="minorHAnsi" w:eastAsia="MS Mincho" w:hAnsiTheme="minorHAnsi"/>
          <w:i/>
          <w:lang w:val="sq-AL"/>
        </w:rPr>
        <w:t xml:space="preserve">Janë kryer 4 152 kontrolle në fermat e kafshëve të gjalla, farmacitë veterinare dhe depot farmaceutike; </w:t>
      </w:r>
    </w:p>
    <w:p w:rsidR="00F351FE" w:rsidRPr="00F351FE" w:rsidRDefault="00F351FE" w:rsidP="003F6B21">
      <w:pPr>
        <w:numPr>
          <w:ilvl w:val="0"/>
          <w:numId w:val="16"/>
        </w:numPr>
        <w:contextualSpacing/>
        <w:jc w:val="both"/>
        <w:rPr>
          <w:rFonts w:asciiTheme="minorHAnsi" w:eastAsia="MS Mincho" w:hAnsiTheme="minorHAnsi"/>
          <w:i/>
          <w:lang w:val="sq-AL"/>
        </w:rPr>
      </w:pPr>
      <w:r w:rsidRPr="00F351FE">
        <w:rPr>
          <w:rFonts w:asciiTheme="minorHAnsi" w:eastAsia="MS Mincho" w:hAnsiTheme="minorHAnsi"/>
          <w:i/>
          <w:lang w:val="sq-AL"/>
        </w:rPr>
        <w:t>Janë realizuar 10 395 analiza nga ISUV në kuadër të monitorimit të mbetjeve në kafshët e gjalla dhe molusqet bivale;</w:t>
      </w:r>
    </w:p>
    <w:p w:rsidR="00F351FE" w:rsidRPr="00F351FE" w:rsidRDefault="00F351FE" w:rsidP="003F6B21">
      <w:pPr>
        <w:numPr>
          <w:ilvl w:val="0"/>
          <w:numId w:val="16"/>
        </w:numPr>
        <w:contextualSpacing/>
        <w:jc w:val="both"/>
        <w:rPr>
          <w:rFonts w:asciiTheme="minorHAnsi" w:eastAsia="MS Mincho" w:hAnsiTheme="minorHAnsi"/>
          <w:i/>
          <w:lang w:val="sq-AL"/>
        </w:rPr>
      </w:pPr>
      <w:r w:rsidRPr="00F351FE">
        <w:rPr>
          <w:rFonts w:asciiTheme="minorHAnsi" w:eastAsia="MS Mincho" w:hAnsiTheme="minorHAnsi"/>
          <w:i/>
          <w:lang w:val="sq-AL"/>
        </w:rPr>
        <w:t>Janë realizuar për vitin 2022 në të gjithë territorin e vendit deri në fund të muajit prill 34 590 inspektime në fushën e sigurisë ushqimore;</w:t>
      </w:r>
    </w:p>
    <w:p w:rsidR="00990CDF" w:rsidRPr="00201FE1" w:rsidRDefault="00F351FE" w:rsidP="003F6B21">
      <w:pPr>
        <w:numPr>
          <w:ilvl w:val="0"/>
          <w:numId w:val="16"/>
        </w:numPr>
        <w:contextualSpacing/>
        <w:jc w:val="both"/>
        <w:rPr>
          <w:rFonts w:asciiTheme="minorHAnsi" w:eastAsia="MS Mincho" w:hAnsiTheme="minorHAnsi"/>
          <w:i/>
          <w:lang w:val="sq-AL"/>
        </w:rPr>
      </w:pPr>
      <w:r w:rsidRPr="00F351FE">
        <w:rPr>
          <w:rFonts w:asciiTheme="minorHAnsi" w:eastAsia="MS Mincho" w:hAnsiTheme="minorHAnsi"/>
          <w:i/>
          <w:lang w:val="sq-AL"/>
        </w:rPr>
        <w:t>Autoritetit Kombëtar Veterinar dhe Mbrojtjes të Bimëve, me fokus shëndetin dhe mirëqenien e kafshëve dhe shëndetin e bimëve ka kryer 4.933 inspektime në terren</w:t>
      </w:r>
      <w:r w:rsidR="00990CDF" w:rsidRPr="00201FE1">
        <w:rPr>
          <w:rFonts w:asciiTheme="minorHAnsi" w:eastAsia="MS Mincho" w:hAnsiTheme="minorHAnsi"/>
          <w:i/>
          <w:lang w:val="sq-AL"/>
        </w:rPr>
        <w:t>.</w:t>
      </w:r>
    </w:p>
    <w:p w:rsidR="00990CDF" w:rsidRPr="00BF005F" w:rsidRDefault="00990CDF" w:rsidP="006F25E7">
      <w:pPr>
        <w:spacing w:before="240" w:line="276" w:lineRule="auto"/>
        <w:jc w:val="both"/>
        <w:rPr>
          <w:rFonts w:asciiTheme="minorHAnsi" w:hAnsiTheme="minorHAnsi"/>
          <w:lang w:val="sq-AL"/>
        </w:rPr>
      </w:pPr>
      <w:r w:rsidRPr="00BF005F">
        <w:rPr>
          <w:rFonts w:asciiTheme="minorHAnsi" w:hAnsiTheme="minorHAnsi"/>
          <w:lang w:val="sq-AL"/>
        </w:rPr>
        <w:lastRenderedPageBreak/>
        <w:t>Në programin “</w:t>
      </w:r>
      <w:r w:rsidRPr="00BF005F">
        <w:rPr>
          <w:rFonts w:asciiTheme="minorHAnsi" w:hAnsiTheme="minorHAnsi"/>
          <w:b/>
          <w:lang w:val="sq-AL"/>
        </w:rPr>
        <w:t>Infrastruktura e ujitjes dhe kullimit</w:t>
      </w:r>
      <w:r w:rsidRPr="00BF005F">
        <w:rPr>
          <w:rFonts w:asciiTheme="minorHAnsi" w:hAnsiTheme="minorHAnsi"/>
          <w:lang w:val="sq-AL"/>
        </w:rPr>
        <w:t xml:space="preserve">”, janë parashikuar disa produkte dhe janë realizuar një pjesë e tyre me një kosto totale prej </w:t>
      </w:r>
      <w:r w:rsidR="00F351FE" w:rsidRPr="00F351FE">
        <w:rPr>
          <w:rFonts w:asciiTheme="minorHAnsi" w:hAnsiTheme="minorHAnsi"/>
          <w:lang w:val="sq-AL"/>
        </w:rPr>
        <w:t>356.4 milionë lekë, ndër to përmendim</w:t>
      </w:r>
      <w:r w:rsidRPr="00BF005F">
        <w:rPr>
          <w:rFonts w:asciiTheme="minorHAnsi" w:hAnsiTheme="minorHAnsi"/>
          <w:lang w:val="sq-AL"/>
        </w:rPr>
        <w:t>:</w:t>
      </w:r>
    </w:p>
    <w:p w:rsidR="00F351FE" w:rsidRPr="00F351FE" w:rsidRDefault="00F351FE" w:rsidP="003F6B21">
      <w:pPr>
        <w:numPr>
          <w:ilvl w:val="0"/>
          <w:numId w:val="17"/>
        </w:numPr>
        <w:shd w:val="clear" w:color="auto" w:fill="FFFFFF"/>
        <w:contextualSpacing/>
        <w:jc w:val="both"/>
        <w:rPr>
          <w:rFonts w:asciiTheme="minorHAnsi" w:hAnsiTheme="minorHAnsi"/>
          <w:bCs/>
          <w:i/>
          <w:lang w:val="sq-AL" w:eastAsia="en-GB"/>
        </w:rPr>
      </w:pPr>
      <w:r w:rsidRPr="00F351FE">
        <w:rPr>
          <w:rFonts w:asciiTheme="minorHAnsi" w:hAnsiTheme="minorHAnsi"/>
          <w:bCs/>
          <w:i/>
          <w:lang w:val="sq-AL" w:eastAsia="en-GB"/>
        </w:rPr>
        <w:t>Janë punuar rreth 8 000 hektar sipërfaqe kulluese me rrjetin kryesor të pastruar;</w:t>
      </w:r>
    </w:p>
    <w:p w:rsidR="00F351FE" w:rsidRPr="00F351FE" w:rsidRDefault="00F351FE" w:rsidP="003F6B21">
      <w:pPr>
        <w:numPr>
          <w:ilvl w:val="0"/>
          <w:numId w:val="17"/>
        </w:numPr>
        <w:shd w:val="clear" w:color="auto" w:fill="FFFFFF"/>
        <w:contextualSpacing/>
        <w:jc w:val="both"/>
        <w:rPr>
          <w:rFonts w:asciiTheme="minorHAnsi" w:hAnsiTheme="minorHAnsi"/>
          <w:bCs/>
          <w:i/>
          <w:lang w:val="sq-AL" w:eastAsia="en-GB"/>
        </w:rPr>
      </w:pPr>
      <w:r w:rsidRPr="00F351FE">
        <w:rPr>
          <w:rFonts w:asciiTheme="minorHAnsi" w:hAnsiTheme="minorHAnsi"/>
          <w:bCs/>
          <w:i/>
          <w:lang w:val="sq-AL" w:eastAsia="en-GB"/>
        </w:rPr>
        <w:t>Rreth 7 000 hektar sipërfaqe ujitëse me rrjet kryesor ujitës te mirëmbajtur;</w:t>
      </w:r>
    </w:p>
    <w:p w:rsidR="00F351FE" w:rsidRPr="00F351FE" w:rsidRDefault="00F351FE" w:rsidP="003F6B21">
      <w:pPr>
        <w:numPr>
          <w:ilvl w:val="0"/>
          <w:numId w:val="17"/>
        </w:numPr>
        <w:shd w:val="clear" w:color="auto" w:fill="FFFFFF"/>
        <w:contextualSpacing/>
        <w:jc w:val="both"/>
        <w:rPr>
          <w:rFonts w:asciiTheme="minorHAnsi" w:hAnsiTheme="minorHAnsi"/>
          <w:bCs/>
          <w:i/>
          <w:lang w:val="sq-AL" w:eastAsia="en-GB"/>
        </w:rPr>
      </w:pPr>
      <w:r w:rsidRPr="00F351FE">
        <w:rPr>
          <w:rFonts w:asciiTheme="minorHAnsi" w:hAnsiTheme="minorHAnsi"/>
          <w:bCs/>
          <w:i/>
          <w:lang w:val="sq-AL" w:eastAsia="en-GB"/>
        </w:rPr>
        <w:t>Mirëmbajtje për funksionimin normal të 27 hidroforëve për kullimin e rreth 70 000 hektarëve;</w:t>
      </w:r>
    </w:p>
    <w:p w:rsidR="00990CDF" w:rsidRPr="00201FE1" w:rsidRDefault="00F351FE" w:rsidP="003F6B21">
      <w:pPr>
        <w:numPr>
          <w:ilvl w:val="0"/>
          <w:numId w:val="17"/>
        </w:numPr>
        <w:shd w:val="clear" w:color="auto" w:fill="FFFFFF"/>
        <w:contextualSpacing/>
        <w:jc w:val="both"/>
        <w:rPr>
          <w:rFonts w:asciiTheme="minorHAnsi" w:hAnsiTheme="minorHAnsi"/>
          <w:bCs/>
          <w:i/>
          <w:lang w:val="sq-AL" w:eastAsia="en-GB"/>
        </w:rPr>
      </w:pPr>
      <w:r w:rsidRPr="00F351FE">
        <w:rPr>
          <w:rFonts w:asciiTheme="minorHAnsi" w:hAnsiTheme="minorHAnsi"/>
          <w:bCs/>
          <w:i/>
          <w:lang w:val="sq-AL" w:eastAsia="en-GB"/>
        </w:rPr>
        <w:t>Në lidhje me projektet e investimeve për rehabilitimin e infrastrukturës së ujitjes, investimi aktualisht nga 29 objekte, 10 prej tyre janë objekte në vazhdim, ndërsa për 19 objekte të tjerë janë në procedurë prokurimi</w:t>
      </w:r>
      <w:r w:rsidR="00990CDF" w:rsidRPr="00201FE1">
        <w:rPr>
          <w:rFonts w:asciiTheme="minorHAnsi" w:hAnsiTheme="minorHAnsi"/>
          <w:bCs/>
          <w:i/>
          <w:lang w:val="sq-AL" w:eastAsia="en-GB"/>
        </w:rPr>
        <w:t>.</w:t>
      </w:r>
    </w:p>
    <w:p w:rsidR="001B20EB" w:rsidRDefault="001B20EB" w:rsidP="006F25E7">
      <w:pPr>
        <w:shd w:val="clear" w:color="auto" w:fill="FFFFFF"/>
        <w:spacing w:line="276" w:lineRule="auto"/>
        <w:ind w:left="720"/>
        <w:jc w:val="both"/>
        <w:rPr>
          <w:rFonts w:asciiTheme="minorHAnsi" w:hAnsiTheme="minorHAnsi"/>
          <w:bCs/>
          <w:lang w:val="sq-AL" w:eastAsia="en-GB"/>
        </w:rPr>
      </w:pPr>
    </w:p>
    <w:p w:rsidR="00201FE1" w:rsidRPr="00BF005F" w:rsidRDefault="00201FE1" w:rsidP="006F25E7">
      <w:pPr>
        <w:shd w:val="clear" w:color="auto" w:fill="FFFFFF"/>
        <w:spacing w:line="276" w:lineRule="auto"/>
        <w:ind w:left="720"/>
        <w:jc w:val="both"/>
        <w:rPr>
          <w:rFonts w:asciiTheme="minorHAnsi" w:hAnsiTheme="minorHAnsi"/>
          <w:bCs/>
          <w:lang w:val="sq-AL" w:eastAsia="en-GB"/>
        </w:rPr>
      </w:pPr>
    </w:p>
    <w:p w:rsidR="00990CDF" w:rsidRPr="00545CF4" w:rsidRDefault="00990CDF" w:rsidP="006F25E7">
      <w:pPr>
        <w:spacing w:before="120" w:after="120" w:line="276" w:lineRule="auto"/>
        <w:jc w:val="both"/>
        <w:rPr>
          <w:rFonts w:asciiTheme="minorHAnsi" w:hAnsiTheme="minorHAnsi"/>
          <w:b/>
          <w:noProof/>
          <w:color w:val="0070C0"/>
          <w:lang w:val="sq-AL"/>
        </w:rPr>
      </w:pPr>
      <w:bookmarkStart w:id="192" w:name="_Toc10033297"/>
      <w:bookmarkStart w:id="193" w:name="_Toc10721433"/>
      <w:bookmarkStart w:id="194" w:name="_Toc11134228"/>
      <w:r w:rsidRPr="00545CF4">
        <w:rPr>
          <w:rFonts w:asciiTheme="minorHAnsi" w:hAnsiTheme="minorHAnsi"/>
          <w:b/>
          <w:noProof/>
          <w:color w:val="0070C0"/>
          <w:lang w:val="sq-AL"/>
        </w:rPr>
        <w:t>INFRASTRUKTURA DHE ENERGJIA</w:t>
      </w:r>
      <w:bookmarkEnd w:id="192"/>
      <w:bookmarkEnd w:id="193"/>
      <w:bookmarkEnd w:id="194"/>
    </w:p>
    <w:p w:rsidR="00990CDF" w:rsidRPr="00BF005F" w:rsidRDefault="00FF1FE6" w:rsidP="006F25E7">
      <w:pPr>
        <w:spacing w:line="276" w:lineRule="auto"/>
        <w:jc w:val="both"/>
        <w:rPr>
          <w:rFonts w:asciiTheme="minorHAnsi" w:hAnsiTheme="minorHAnsi"/>
          <w:lang w:val="sq-AL"/>
        </w:rPr>
      </w:pPr>
      <w:r w:rsidRPr="00C472AD">
        <w:rPr>
          <w:rFonts w:ascii="Calibri" w:hAnsi="Calibri"/>
          <w:lang w:val="sq-AL"/>
        </w:rPr>
        <w:t>Performanca e treguesve buxhetorë për 4 mujorin e parë të vitit 2022 për 12 programet e Ministrisë së Infrastrukturës dhe Energjisë, paraqitet si më poshtë</w:t>
      </w:r>
      <w:r w:rsidR="00990CDF" w:rsidRPr="00BF005F">
        <w:rPr>
          <w:rFonts w:asciiTheme="minorHAnsi" w:hAnsiTheme="minorHAnsi"/>
          <w:lang w:val="sq-AL"/>
        </w:rPr>
        <w:t>:</w:t>
      </w:r>
    </w:p>
    <w:p w:rsidR="00990CDF" w:rsidRPr="00BF005F" w:rsidRDefault="00990CDF" w:rsidP="00201FE1">
      <w:pPr>
        <w:spacing w:before="240" w:line="276" w:lineRule="auto"/>
        <w:rPr>
          <w:rFonts w:asciiTheme="minorHAnsi" w:hAnsiTheme="minorHAnsi"/>
          <w:i/>
          <w:noProof/>
        </w:rPr>
      </w:pPr>
      <w:bookmarkStart w:id="195" w:name="_Toc107496777"/>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B2B9B">
        <w:rPr>
          <w:rFonts w:asciiTheme="minorHAnsi" w:hAnsiTheme="minorHAnsi"/>
          <w:i/>
          <w:noProof/>
        </w:rPr>
        <w:t>41</w:t>
      </w:r>
      <w:r w:rsidRPr="00BF005F">
        <w:rPr>
          <w:rFonts w:asciiTheme="minorHAnsi" w:hAnsiTheme="minorHAnsi"/>
          <w:i/>
          <w:noProof/>
        </w:rPr>
        <w:fldChar w:fldCharType="end"/>
      </w:r>
      <w:r w:rsidRPr="00BF005F">
        <w:rPr>
          <w:rFonts w:asciiTheme="minorHAnsi" w:hAnsiTheme="minorHAnsi"/>
          <w:i/>
          <w:noProof/>
        </w:rPr>
        <w:t>: Infrastruktura dhe Energjia</w:t>
      </w:r>
      <w:bookmarkEnd w:id="195"/>
    </w:p>
    <w:p w:rsidR="00990CDF" w:rsidRPr="00BF005F" w:rsidRDefault="00990CDF" w:rsidP="006F25E7">
      <w:pPr>
        <w:spacing w:line="276" w:lineRule="auto"/>
        <w:ind w:left="5760" w:firstLine="720"/>
        <w:jc w:val="center"/>
        <w:rPr>
          <w:rFonts w:asciiTheme="minorHAnsi" w:hAnsiTheme="minorHAnsi"/>
          <w:bCs/>
          <w:i/>
          <w:iCs/>
          <w:lang w:val="sq-AL"/>
        </w:rPr>
      </w:pPr>
      <w:r w:rsidRPr="00BF005F">
        <w:rPr>
          <w:rFonts w:asciiTheme="minorHAnsi" w:hAnsiTheme="minorHAnsi"/>
          <w:bCs/>
          <w:i/>
          <w:iCs/>
          <w:lang w:val="sq-AL"/>
        </w:rPr>
        <w:t>Në mijë lekë</w:t>
      </w:r>
    </w:p>
    <w:tbl>
      <w:tblPr>
        <w:tblStyle w:val="TableGridLight1121"/>
        <w:tblW w:w="0" w:type="auto"/>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1E0" w:firstRow="1" w:lastRow="1" w:firstColumn="1" w:lastColumn="1" w:noHBand="0" w:noVBand="0"/>
      </w:tblPr>
      <w:tblGrid>
        <w:gridCol w:w="504"/>
        <w:gridCol w:w="2970"/>
        <w:gridCol w:w="990"/>
        <w:gridCol w:w="1111"/>
        <w:gridCol w:w="990"/>
        <w:gridCol w:w="1081"/>
        <w:gridCol w:w="888"/>
        <w:gridCol w:w="961"/>
      </w:tblGrid>
      <w:tr w:rsidR="00FF1FE6" w:rsidRPr="00C472AD" w:rsidTr="00545CF4">
        <w:trPr>
          <w:trHeight w:val="382"/>
          <w:jc w:val="center"/>
        </w:trPr>
        <w:tc>
          <w:tcPr>
            <w:tcW w:w="504" w:type="dxa"/>
            <w:vMerge w:val="restart"/>
            <w:shd w:val="clear" w:color="auto" w:fill="4BACC6"/>
          </w:tcPr>
          <w:p w:rsidR="00FF1FE6" w:rsidRPr="00C472AD" w:rsidRDefault="00FF1FE6" w:rsidP="00FF1FE6">
            <w:pPr>
              <w:jc w:val="center"/>
              <w:rPr>
                <w:rFonts w:ascii="Calibri" w:hAnsi="Calibri"/>
                <w:b/>
                <w:sz w:val="18"/>
                <w:lang w:val="sq-AL"/>
              </w:rPr>
            </w:pPr>
          </w:p>
          <w:p w:rsidR="00FF1FE6" w:rsidRPr="00C472AD" w:rsidRDefault="00FF1FE6" w:rsidP="00FF1FE6">
            <w:pPr>
              <w:jc w:val="center"/>
              <w:rPr>
                <w:rFonts w:ascii="Calibri" w:hAnsi="Calibri"/>
                <w:b/>
                <w:sz w:val="18"/>
                <w:lang w:val="sq-AL"/>
              </w:rPr>
            </w:pPr>
            <w:r w:rsidRPr="00C472AD">
              <w:rPr>
                <w:rFonts w:ascii="Calibri" w:hAnsi="Calibri"/>
                <w:b/>
                <w:sz w:val="18"/>
                <w:lang w:val="sq-AL"/>
              </w:rPr>
              <w:t>NR</w:t>
            </w:r>
          </w:p>
        </w:tc>
        <w:tc>
          <w:tcPr>
            <w:tcW w:w="2970" w:type="dxa"/>
            <w:vMerge w:val="restart"/>
            <w:shd w:val="clear" w:color="auto" w:fill="4BACC6"/>
          </w:tcPr>
          <w:p w:rsidR="00FF1FE6" w:rsidRPr="00C472AD" w:rsidRDefault="00FF1FE6" w:rsidP="00FF1FE6">
            <w:pPr>
              <w:jc w:val="center"/>
              <w:rPr>
                <w:rFonts w:ascii="Calibri" w:hAnsi="Calibri"/>
                <w:b/>
                <w:sz w:val="18"/>
                <w:lang w:val="sq-AL"/>
              </w:rPr>
            </w:pPr>
          </w:p>
          <w:p w:rsidR="00FF1FE6" w:rsidRPr="00C472AD" w:rsidRDefault="00FF1FE6" w:rsidP="00FF1FE6">
            <w:pPr>
              <w:jc w:val="center"/>
              <w:rPr>
                <w:rFonts w:ascii="Calibri" w:hAnsi="Calibri"/>
                <w:b/>
                <w:sz w:val="18"/>
                <w:lang w:val="sq-AL"/>
              </w:rPr>
            </w:pPr>
            <w:r w:rsidRPr="00C472AD">
              <w:rPr>
                <w:rFonts w:ascii="Calibri" w:hAnsi="Calibri"/>
                <w:b/>
                <w:sz w:val="18"/>
                <w:lang w:val="sq-AL"/>
              </w:rPr>
              <w:t>Emërtimi i Programit</w:t>
            </w:r>
          </w:p>
        </w:tc>
        <w:tc>
          <w:tcPr>
            <w:tcW w:w="2101" w:type="dxa"/>
            <w:gridSpan w:val="2"/>
            <w:tcBorders>
              <w:bottom w:val="nil"/>
            </w:tcBorders>
            <w:shd w:val="clear" w:color="auto" w:fill="4BACC6"/>
          </w:tcPr>
          <w:p w:rsidR="00FF1FE6" w:rsidRPr="00C472AD" w:rsidRDefault="00FF1FE6" w:rsidP="00FF1FE6">
            <w:pPr>
              <w:ind w:left="80"/>
              <w:jc w:val="center"/>
              <w:rPr>
                <w:rFonts w:ascii="Calibri" w:hAnsi="Calibri"/>
                <w:b/>
                <w:sz w:val="18"/>
                <w:lang w:val="sq-AL"/>
              </w:rPr>
            </w:pPr>
            <w:r w:rsidRPr="00C472AD">
              <w:rPr>
                <w:rFonts w:ascii="Calibri" w:hAnsi="Calibri"/>
                <w:b/>
                <w:sz w:val="18"/>
                <w:lang w:val="sq-AL"/>
              </w:rPr>
              <w:t>Plani 2022</w:t>
            </w:r>
          </w:p>
        </w:tc>
        <w:tc>
          <w:tcPr>
            <w:tcW w:w="2071" w:type="dxa"/>
            <w:gridSpan w:val="2"/>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sz w:val="18"/>
                <w:lang w:val="sq-AL"/>
              </w:rPr>
              <w:t>Fakti 4-mujori 2022</w:t>
            </w:r>
          </w:p>
        </w:tc>
        <w:tc>
          <w:tcPr>
            <w:tcW w:w="1849" w:type="dxa"/>
            <w:gridSpan w:val="2"/>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bCs/>
                <w:sz w:val="18"/>
                <w:lang w:val="sq-AL"/>
              </w:rPr>
              <w:t>Përqindja  e realizimit</w:t>
            </w:r>
          </w:p>
        </w:tc>
      </w:tr>
      <w:tr w:rsidR="00FF1FE6" w:rsidRPr="00C472AD" w:rsidTr="00545CF4">
        <w:trPr>
          <w:trHeight w:val="304"/>
          <w:jc w:val="center"/>
        </w:trPr>
        <w:tc>
          <w:tcPr>
            <w:tcW w:w="504" w:type="dxa"/>
            <w:vMerge/>
            <w:shd w:val="clear" w:color="auto" w:fill="4BACC6"/>
          </w:tcPr>
          <w:p w:rsidR="00FF1FE6" w:rsidRPr="00C472AD" w:rsidRDefault="00FF1FE6" w:rsidP="00FF1FE6">
            <w:pPr>
              <w:jc w:val="center"/>
              <w:rPr>
                <w:rFonts w:ascii="Calibri" w:hAnsi="Calibri"/>
                <w:b/>
                <w:sz w:val="18"/>
                <w:lang w:val="sq-AL"/>
              </w:rPr>
            </w:pPr>
          </w:p>
        </w:tc>
        <w:tc>
          <w:tcPr>
            <w:tcW w:w="2970" w:type="dxa"/>
            <w:vMerge/>
            <w:shd w:val="clear" w:color="auto" w:fill="4BACC6"/>
          </w:tcPr>
          <w:p w:rsidR="00FF1FE6" w:rsidRPr="00C472AD" w:rsidRDefault="00FF1FE6" w:rsidP="00FF1FE6">
            <w:pPr>
              <w:jc w:val="center"/>
              <w:rPr>
                <w:rFonts w:ascii="Calibri" w:hAnsi="Calibri"/>
                <w:b/>
                <w:sz w:val="18"/>
                <w:lang w:val="sq-AL"/>
              </w:rPr>
            </w:pPr>
          </w:p>
        </w:tc>
        <w:tc>
          <w:tcPr>
            <w:tcW w:w="990" w:type="dxa"/>
            <w:shd w:val="clear" w:color="auto" w:fill="4BACC6"/>
          </w:tcPr>
          <w:p w:rsidR="00FF1FE6" w:rsidRPr="00C472AD" w:rsidRDefault="00FF1FE6" w:rsidP="00FF1FE6">
            <w:pPr>
              <w:ind w:left="80"/>
              <w:jc w:val="center"/>
              <w:rPr>
                <w:rFonts w:ascii="Calibri" w:hAnsi="Calibri"/>
                <w:b/>
                <w:sz w:val="18"/>
                <w:lang w:val="sq-AL"/>
              </w:rPr>
            </w:pPr>
            <w:r w:rsidRPr="00C472AD">
              <w:rPr>
                <w:rFonts w:ascii="Calibri" w:hAnsi="Calibri"/>
                <w:b/>
                <w:sz w:val="18"/>
                <w:lang w:val="sq-AL"/>
              </w:rPr>
              <w:t>Korrente</w:t>
            </w:r>
          </w:p>
        </w:tc>
        <w:tc>
          <w:tcPr>
            <w:tcW w:w="1111" w:type="dxa"/>
            <w:shd w:val="clear" w:color="auto" w:fill="4BACC6"/>
          </w:tcPr>
          <w:p w:rsidR="00FF1FE6" w:rsidRPr="00C472AD" w:rsidRDefault="00FF1FE6" w:rsidP="00FF1FE6">
            <w:pPr>
              <w:ind w:left="80"/>
              <w:jc w:val="center"/>
              <w:rPr>
                <w:rFonts w:ascii="Calibri" w:hAnsi="Calibri"/>
                <w:b/>
                <w:sz w:val="18"/>
                <w:lang w:val="sq-AL"/>
              </w:rPr>
            </w:pPr>
            <w:r w:rsidRPr="00C472AD">
              <w:rPr>
                <w:rFonts w:ascii="Calibri" w:hAnsi="Calibri"/>
                <w:b/>
                <w:sz w:val="18"/>
                <w:lang w:val="sq-AL"/>
              </w:rPr>
              <w:t>Investime</w:t>
            </w:r>
          </w:p>
        </w:tc>
        <w:tc>
          <w:tcPr>
            <w:tcW w:w="990" w:type="dxa"/>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sz w:val="18"/>
                <w:lang w:val="sq-AL"/>
              </w:rPr>
              <w:t>Korrente</w:t>
            </w:r>
          </w:p>
        </w:tc>
        <w:tc>
          <w:tcPr>
            <w:tcW w:w="1081" w:type="dxa"/>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sz w:val="18"/>
                <w:lang w:val="sq-AL"/>
              </w:rPr>
              <w:t>Investime</w:t>
            </w:r>
          </w:p>
        </w:tc>
        <w:tc>
          <w:tcPr>
            <w:tcW w:w="888" w:type="dxa"/>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sz w:val="18"/>
                <w:lang w:val="sq-AL"/>
              </w:rPr>
              <w:t>Korrente</w:t>
            </w:r>
          </w:p>
        </w:tc>
        <w:tc>
          <w:tcPr>
            <w:tcW w:w="961" w:type="dxa"/>
            <w:shd w:val="clear" w:color="auto" w:fill="4BACC6"/>
          </w:tcPr>
          <w:p w:rsidR="00FF1FE6" w:rsidRPr="00C472AD" w:rsidRDefault="00FF1FE6" w:rsidP="00FF1FE6">
            <w:pPr>
              <w:jc w:val="center"/>
              <w:rPr>
                <w:rFonts w:ascii="Calibri" w:hAnsi="Calibri"/>
                <w:b/>
                <w:sz w:val="18"/>
                <w:lang w:val="sq-AL"/>
              </w:rPr>
            </w:pPr>
            <w:r w:rsidRPr="00C472AD">
              <w:rPr>
                <w:rFonts w:ascii="Calibri" w:hAnsi="Calibri"/>
                <w:b/>
                <w:sz w:val="18"/>
                <w:lang w:val="sq-AL"/>
              </w:rPr>
              <w:t>Investime</w:t>
            </w:r>
          </w:p>
        </w:tc>
      </w:tr>
      <w:tr w:rsidR="00FF1FE6" w:rsidRPr="00C472AD" w:rsidTr="00545CF4">
        <w:trPr>
          <w:trHeight w:val="337"/>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Planifikim, Menaxhim, Administrim</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483,668</w:t>
            </w:r>
          </w:p>
        </w:tc>
        <w:tc>
          <w:tcPr>
            <w:tcW w:w="111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26,786</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149,093</w:t>
            </w:r>
          </w:p>
        </w:tc>
        <w:tc>
          <w:tcPr>
            <w:tcW w:w="108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tcPr>
          <w:p w:rsidR="00FF1FE6" w:rsidRPr="00C472AD" w:rsidRDefault="00FF1FE6" w:rsidP="00FF1FE6">
            <w:pPr>
              <w:jc w:val="center"/>
              <w:rPr>
                <w:rFonts w:ascii="Calibri" w:hAnsi="Calibri"/>
                <w:sz w:val="18"/>
                <w:lang w:val="sq-AL"/>
              </w:rPr>
            </w:pPr>
            <w:r w:rsidRPr="00C472AD">
              <w:rPr>
                <w:rFonts w:ascii="Calibri" w:hAnsi="Calibri"/>
                <w:sz w:val="18"/>
                <w:lang w:val="sq-AL"/>
              </w:rPr>
              <w:t>31</w:t>
            </w:r>
          </w:p>
        </w:tc>
        <w:tc>
          <w:tcPr>
            <w:tcW w:w="96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r>
      <w:tr w:rsidR="00FF1FE6" w:rsidRPr="00C472AD" w:rsidTr="00545CF4">
        <w:trPr>
          <w:trHeight w:val="337"/>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Financimi i huaj</w:t>
            </w:r>
          </w:p>
        </w:tc>
        <w:tc>
          <w:tcPr>
            <w:tcW w:w="990" w:type="dxa"/>
          </w:tcPr>
          <w:p w:rsidR="00FF1FE6" w:rsidRPr="00C472AD" w:rsidRDefault="00FF1FE6" w:rsidP="00FF1FE6">
            <w:pPr>
              <w:jc w:val="center"/>
              <w:rPr>
                <w:rFonts w:ascii="Calibri" w:hAnsi="Calibri"/>
                <w:sz w:val="18"/>
                <w:lang w:val="sq-AL"/>
              </w:rPr>
            </w:pPr>
          </w:p>
        </w:tc>
        <w:tc>
          <w:tcPr>
            <w:tcW w:w="111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990" w:type="dxa"/>
          </w:tcPr>
          <w:p w:rsidR="00FF1FE6" w:rsidRPr="00C472AD" w:rsidRDefault="00FF1FE6" w:rsidP="00FF1FE6">
            <w:pPr>
              <w:jc w:val="center"/>
              <w:rPr>
                <w:rFonts w:ascii="Calibri" w:hAnsi="Calibri"/>
                <w:sz w:val="18"/>
                <w:lang w:val="sq-AL"/>
              </w:rPr>
            </w:pPr>
          </w:p>
        </w:tc>
        <w:tc>
          <w:tcPr>
            <w:tcW w:w="108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tcPr>
          <w:p w:rsidR="00FF1FE6" w:rsidRPr="00C472AD" w:rsidRDefault="00FF1FE6" w:rsidP="00FF1FE6">
            <w:pPr>
              <w:jc w:val="center"/>
              <w:rPr>
                <w:rFonts w:ascii="Calibri" w:hAnsi="Calibri"/>
                <w:sz w:val="18"/>
                <w:lang w:val="sq-AL"/>
              </w:rPr>
            </w:pPr>
          </w:p>
        </w:tc>
        <w:tc>
          <w:tcPr>
            <w:tcW w:w="96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r>
      <w:tr w:rsidR="00FF1FE6" w:rsidRPr="00C472AD" w:rsidTr="00545CF4">
        <w:trPr>
          <w:trHeight w:val="337"/>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Transporti Rrugor</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2,552,794</w:t>
            </w:r>
          </w:p>
        </w:tc>
        <w:tc>
          <w:tcPr>
            <w:tcW w:w="111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15,575,164</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376,699</w:t>
            </w:r>
          </w:p>
        </w:tc>
        <w:tc>
          <w:tcPr>
            <w:tcW w:w="108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3,380,462</w:t>
            </w:r>
          </w:p>
        </w:tc>
        <w:tc>
          <w:tcPr>
            <w:tcW w:w="888"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15</w:t>
            </w:r>
          </w:p>
        </w:tc>
        <w:tc>
          <w:tcPr>
            <w:tcW w:w="961"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22</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contextualSpacing/>
              <w:jc w:val="right"/>
              <w:rPr>
                <w:rFonts w:ascii="Calibri" w:hAnsi="Calibri"/>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4,580,132</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1,468,250</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32</w:t>
            </w:r>
          </w:p>
        </w:tc>
      </w:tr>
      <w:tr w:rsidR="00FF1FE6" w:rsidRPr="00C472AD" w:rsidTr="00545CF4">
        <w:trPr>
          <w:trHeight w:val="337"/>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3.</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Mbështetje për Energjinë</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52,811</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200,000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21,567</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64,078</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41</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32</w:t>
            </w:r>
          </w:p>
        </w:tc>
      </w:tr>
      <w:tr w:rsidR="00FF1FE6" w:rsidRPr="00C472AD" w:rsidTr="00545CF4">
        <w:trPr>
          <w:trHeight w:val="245"/>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2,780,000</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90,322</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w:t>
            </w:r>
          </w:p>
        </w:tc>
      </w:tr>
      <w:tr w:rsidR="00FF1FE6" w:rsidRPr="00C472AD" w:rsidTr="00545CF4">
        <w:trPr>
          <w:trHeight w:val="345"/>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4.</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Furnizimi me ujë dhe Kanalizime</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449,418</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7,118,185</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17,864</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39,509</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w:t>
            </w:r>
          </w:p>
        </w:tc>
      </w:tr>
      <w:tr w:rsidR="00FF1FE6" w:rsidRPr="00C472AD" w:rsidTr="00545CF4">
        <w:trPr>
          <w:trHeight w:val="190"/>
          <w:jc w:val="center"/>
        </w:trPr>
        <w:tc>
          <w:tcPr>
            <w:tcW w:w="504" w:type="dxa"/>
          </w:tcPr>
          <w:p w:rsidR="00FF1FE6" w:rsidRPr="00C472AD" w:rsidRDefault="00FF1FE6" w:rsidP="00FF1FE6">
            <w:pPr>
              <w:jc w:val="center"/>
              <w:rPr>
                <w:rFonts w:ascii="Calibri" w:hAnsi="Calibri"/>
                <w:b/>
                <w:sz w:val="18"/>
                <w:lang w:val="sq-AL"/>
              </w:rPr>
            </w:pPr>
          </w:p>
        </w:tc>
        <w:tc>
          <w:tcPr>
            <w:tcW w:w="2970" w:type="dxa"/>
          </w:tcPr>
          <w:p w:rsidR="00FF1FE6" w:rsidRPr="00C472AD" w:rsidRDefault="00FF1FE6" w:rsidP="00FF1FE6">
            <w:pPr>
              <w:jc w:val="right"/>
              <w:rPr>
                <w:rFonts w:ascii="Calibri" w:hAnsi="Calibri"/>
                <w:b/>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b/>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6,669,274</w:t>
            </w:r>
          </w:p>
        </w:tc>
        <w:tc>
          <w:tcPr>
            <w:tcW w:w="990" w:type="dxa"/>
            <w:shd w:val="clear" w:color="auto" w:fill="auto"/>
          </w:tcPr>
          <w:p w:rsidR="00FF1FE6" w:rsidRPr="00C472AD" w:rsidRDefault="00FF1FE6" w:rsidP="00FF1FE6">
            <w:pPr>
              <w:jc w:val="center"/>
              <w:rPr>
                <w:rFonts w:ascii="Calibri" w:hAnsi="Calibri"/>
                <w:b/>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619,837</w:t>
            </w:r>
          </w:p>
        </w:tc>
        <w:tc>
          <w:tcPr>
            <w:tcW w:w="888" w:type="dxa"/>
            <w:shd w:val="clear" w:color="auto" w:fill="auto"/>
          </w:tcPr>
          <w:p w:rsidR="00FF1FE6" w:rsidRPr="00C472AD" w:rsidRDefault="00FF1FE6" w:rsidP="00FF1FE6">
            <w:pPr>
              <w:jc w:val="center"/>
              <w:rPr>
                <w:rFonts w:ascii="Calibri" w:hAnsi="Calibri"/>
                <w:b/>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9</w:t>
            </w:r>
          </w:p>
        </w:tc>
      </w:tr>
      <w:tr w:rsidR="00FF1FE6" w:rsidRPr="00C472AD" w:rsidTr="00545CF4">
        <w:trPr>
          <w:trHeight w:val="314"/>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5.</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Menaximi i Mbetjeve Urbane</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180,000</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1,067,042</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178,310</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99</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476,000</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6.</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Transporti Hekurudhor</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413,201</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400,000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134,198</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84,616</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32</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21</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1,958,349</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4,575</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0.2</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7.</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Transporti Detar</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105,513</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80,000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28,282</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1,291</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27</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 xml:space="preserve">                               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10,000</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85</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8.</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Transporti Ajror</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19,793</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71,200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2,560</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13</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9.</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Planifikimi Urban</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65,402</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94,000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15,531</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12,844</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24</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14</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10.</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Mbështetje për Rrjetet e Komunikacionit</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4,000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p>
        </w:tc>
        <w:tc>
          <w:tcPr>
            <w:tcW w:w="2970" w:type="dxa"/>
          </w:tcPr>
          <w:p w:rsidR="00FF1FE6" w:rsidRPr="00C472AD" w:rsidRDefault="00FF1FE6" w:rsidP="00FF1FE6">
            <w:pPr>
              <w:jc w:val="right"/>
              <w:rPr>
                <w:rFonts w:ascii="Calibri" w:hAnsi="Calibri"/>
                <w:sz w:val="18"/>
                <w:lang w:val="sq-AL"/>
              </w:rPr>
            </w:pPr>
            <w:r w:rsidRPr="00C472AD">
              <w:rPr>
                <w:rFonts w:ascii="Calibri" w:hAnsi="Calibri"/>
                <w:sz w:val="18"/>
                <w:lang w:val="sq-AL"/>
              </w:rPr>
              <w:t>Financimi i huaj</w:t>
            </w:r>
          </w:p>
        </w:tc>
        <w:tc>
          <w:tcPr>
            <w:tcW w:w="990" w:type="dxa"/>
          </w:tcPr>
          <w:p w:rsidR="00FF1FE6" w:rsidRPr="00C472AD" w:rsidRDefault="00FF1FE6" w:rsidP="00FF1FE6">
            <w:pPr>
              <w:jc w:val="center"/>
              <w:rPr>
                <w:rFonts w:ascii="Calibri" w:hAnsi="Calibri"/>
                <w:sz w:val="18"/>
                <w:lang w:val="sq-AL"/>
              </w:rPr>
            </w:pP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20,000</w:t>
            </w:r>
          </w:p>
        </w:tc>
        <w:tc>
          <w:tcPr>
            <w:tcW w:w="990" w:type="dxa"/>
            <w:shd w:val="clear" w:color="auto" w:fill="auto"/>
          </w:tcPr>
          <w:p w:rsidR="00FF1FE6" w:rsidRPr="00C472AD" w:rsidRDefault="00FF1FE6" w:rsidP="00FF1FE6">
            <w:pPr>
              <w:jc w:val="center"/>
              <w:rPr>
                <w:rFonts w:ascii="Calibri" w:hAnsi="Calibri"/>
                <w:sz w:val="18"/>
                <w:lang w:val="sq-AL"/>
              </w:rPr>
            </w:pP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0</w:t>
            </w:r>
          </w:p>
        </w:tc>
        <w:tc>
          <w:tcPr>
            <w:tcW w:w="888" w:type="dxa"/>
            <w:shd w:val="clear" w:color="auto" w:fill="auto"/>
          </w:tcPr>
          <w:p w:rsidR="00FF1FE6" w:rsidRPr="00C472AD" w:rsidRDefault="00FF1FE6" w:rsidP="00FF1FE6">
            <w:pPr>
              <w:jc w:val="center"/>
              <w:rPr>
                <w:rFonts w:ascii="Calibri" w:hAnsi="Calibri"/>
                <w:sz w:val="18"/>
                <w:lang w:val="sq-AL"/>
              </w:rPr>
            </w:pP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11.</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Mbeshtetje per Burimet natyrore</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216,921</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91,000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63,009</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24,429</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29</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27</w:t>
            </w:r>
          </w:p>
        </w:tc>
      </w:tr>
      <w:tr w:rsidR="00FF1FE6" w:rsidRPr="00C472AD" w:rsidTr="00545CF4">
        <w:trPr>
          <w:trHeight w:val="249"/>
          <w:jc w:val="center"/>
        </w:trPr>
        <w:tc>
          <w:tcPr>
            <w:tcW w:w="504" w:type="dxa"/>
          </w:tcPr>
          <w:p w:rsidR="00FF1FE6" w:rsidRPr="00C472AD" w:rsidRDefault="00FF1FE6" w:rsidP="00FF1FE6">
            <w:pPr>
              <w:jc w:val="center"/>
              <w:rPr>
                <w:rFonts w:ascii="Calibri" w:hAnsi="Calibri"/>
                <w:sz w:val="18"/>
                <w:lang w:val="sq-AL"/>
              </w:rPr>
            </w:pPr>
            <w:r w:rsidRPr="00C472AD">
              <w:rPr>
                <w:rFonts w:ascii="Calibri" w:hAnsi="Calibri"/>
                <w:sz w:val="18"/>
                <w:lang w:val="sq-AL"/>
              </w:rPr>
              <w:t>12.</w:t>
            </w:r>
          </w:p>
        </w:tc>
        <w:tc>
          <w:tcPr>
            <w:tcW w:w="2970" w:type="dxa"/>
          </w:tcPr>
          <w:p w:rsidR="00FF1FE6" w:rsidRPr="00C472AD" w:rsidRDefault="00FF1FE6" w:rsidP="00FF1FE6">
            <w:pPr>
              <w:rPr>
                <w:rFonts w:ascii="Calibri" w:hAnsi="Calibri"/>
                <w:sz w:val="18"/>
                <w:lang w:val="sq-AL"/>
              </w:rPr>
            </w:pPr>
            <w:r w:rsidRPr="00C472AD">
              <w:rPr>
                <w:rFonts w:ascii="Calibri" w:hAnsi="Calibri"/>
                <w:sz w:val="18"/>
                <w:lang w:val="sq-AL"/>
              </w:rPr>
              <w:t>Mbeshtetje per Industrine</w:t>
            </w:r>
          </w:p>
        </w:tc>
        <w:tc>
          <w:tcPr>
            <w:tcW w:w="990" w:type="dxa"/>
          </w:tcPr>
          <w:p w:rsidR="00FF1FE6" w:rsidRPr="00C472AD" w:rsidRDefault="00FF1FE6" w:rsidP="00FF1FE6">
            <w:pPr>
              <w:jc w:val="center"/>
              <w:rPr>
                <w:rFonts w:ascii="Calibri" w:hAnsi="Calibri"/>
                <w:sz w:val="18"/>
                <w:lang w:val="sq-AL"/>
              </w:rPr>
            </w:pPr>
            <w:r w:rsidRPr="00C472AD">
              <w:rPr>
                <w:rFonts w:ascii="Calibri" w:hAnsi="Calibri"/>
                <w:sz w:val="18"/>
                <w:lang w:val="sq-AL"/>
              </w:rPr>
              <w:t>267,032</w:t>
            </w:r>
          </w:p>
        </w:tc>
        <w:tc>
          <w:tcPr>
            <w:tcW w:w="111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64,000</w:t>
            </w:r>
          </w:p>
        </w:tc>
        <w:tc>
          <w:tcPr>
            <w:tcW w:w="990"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80,871</w:t>
            </w:r>
          </w:p>
        </w:tc>
        <w:tc>
          <w:tcPr>
            <w:tcW w:w="108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17,352</w:t>
            </w:r>
          </w:p>
        </w:tc>
        <w:tc>
          <w:tcPr>
            <w:tcW w:w="888"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30</w:t>
            </w:r>
          </w:p>
        </w:tc>
        <w:tc>
          <w:tcPr>
            <w:tcW w:w="961" w:type="dxa"/>
            <w:shd w:val="clear" w:color="auto" w:fill="auto"/>
          </w:tcPr>
          <w:p w:rsidR="00FF1FE6" w:rsidRPr="00C472AD" w:rsidRDefault="00FF1FE6" w:rsidP="00FF1FE6">
            <w:pPr>
              <w:jc w:val="center"/>
              <w:rPr>
                <w:rFonts w:ascii="Calibri" w:hAnsi="Calibri"/>
                <w:sz w:val="18"/>
                <w:lang w:val="sq-AL"/>
              </w:rPr>
            </w:pPr>
            <w:r w:rsidRPr="00C472AD">
              <w:rPr>
                <w:rFonts w:ascii="Calibri" w:hAnsi="Calibri"/>
                <w:sz w:val="18"/>
                <w:lang w:val="sq-AL"/>
              </w:rPr>
              <w:t>27</w:t>
            </w:r>
          </w:p>
        </w:tc>
      </w:tr>
      <w:tr w:rsidR="00FF1FE6" w:rsidRPr="00FF1FE6" w:rsidTr="00545CF4">
        <w:trPr>
          <w:trHeight w:val="249"/>
          <w:jc w:val="center"/>
        </w:trPr>
        <w:tc>
          <w:tcPr>
            <w:tcW w:w="3474" w:type="dxa"/>
            <w:gridSpan w:val="2"/>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Totali</w:t>
            </w:r>
          </w:p>
        </w:tc>
        <w:tc>
          <w:tcPr>
            <w:tcW w:w="990" w:type="dxa"/>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4,806,551</w:t>
            </w:r>
          </w:p>
        </w:tc>
        <w:tc>
          <w:tcPr>
            <w:tcW w:w="1111" w:type="dxa"/>
            <w:shd w:val="clear" w:color="auto" w:fill="auto"/>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41,285,132</w:t>
            </w:r>
          </w:p>
        </w:tc>
        <w:tc>
          <w:tcPr>
            <w:tcW w:w="990" w:type="dxa"/>
            <w:shd w:val="clear" w:color="auto" w:fill="auto"/>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1,067,984</w:t>
            </w:r>
          </w:p>
        </w:tc>
        <w:tc>
          <w:tcPr>
            <w:tcW w:w="1081" w:type="dxa"/>
            <w:shd w:val="clear" w:color="auto" w:fill="auto"/>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5,807,651</w:t>
            </w:r>
          </w:p>
        </w:tc>
        <w:tc>
          <w:tcPr>
            <w:tcW w:w="888" w:type="dxa"/>
            <w:shd w:val="clear" w:color="auto" w:fill="auto"/>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22</w:t>
            </w:r>
          </w:p>
        </w:tc>
        <w:tc>
          <w:tcPr>
            <w:tcW w:w="961" w:type="dxa"/>
            <w:shd w:val="clear" w:color="auto" w:fill="auto"/>
          </w:tcPr>
          <w:p w:rsidR="00FF1FE6" w:rsidRPr="00FF1FE6" w:rsidRDefault="00FF1FE6" w:rsidP="00FF1FE6">
            <w:pPr>
              <w:jc w:val="center"/>
              <w:rPr>
                <w:rFonts w:ascii="Calibri" w:hAnsi="Calibri"/>
                <w:b/>
                <w:sz w:val="19"/>
                <w:szCs w:val="19"/>
                <w:lang w:val="sq-AL"/>
              </w:rPr>
            </w:pPr>
            <w:r w:rsidRPr="00FF1FE6">
              <w:rPr>
                <w:rFonts w:ascii="Calibri" w:hAnsi="Calibri"/>
                <w:b/>
                <w:sz w:val="19"/>
                <w:szCs w:val="19"/>
                <w:lang w:val="sq-AL"/>
              </w:rPr>
              <w:t>14</w:t>
            </w:r>
          </w:p>
        </w:tc>
      </w:tr>
    </w:tbl>
    <w:p w:rsidR="00990CDF" w:rsidRPr="00BF005F" w:rsidRDefault="00990CDF" w:rsidP="00FF1FE6">
      <w:pPr>
        <w:spacing w:line="276" w:lineRule="auto"/>
        <w:jc w:val="center"/>
        <w:rPr>
          <w:rFonts w:asciiTheme="minorHAnsi" w:eastAsia="MS Mincho" w:hAnsiTheme="minorHAnsi"/>
          <w:b/>
          <w:lang w:val="sq-AL"/>
        </w:rPr>
      </w:pPr>
    </w:p>
    <w:p w:rsidR="00366E24" w:rsidRDefault="00366E24" w:rsidP="001F113C">
      <w:pPr>
        <w:spacing w:line="276" w:lineRule="auto"/>
        <w:contextualSpacing/>
        <w:jc w:val="both"/>
        <w:rPr>
          <w:rFonts w:asciiTheme="minorHAnsi" w:hAnsiTheme="minorHAnsi"/>
          <w:lang w:val="sq-AL"/>
        </w:rPr>
      </w:pPr>
      <w:r>
        <w:rPr>
          <w:rFonts w:asciiTheme="minorHAnsi" w:hAnsiTheme="minorHAnsi"/>
          <w:lang w:val="sq-AL"/>
        </w:rPr>
        <w:t>P</w:t>
      </w:r>
      <w:r w:rsidR="00990CDF" w:rsidRPr="00BF005F">
        <w:rPr>
          <w:rFonts w:asciiTheme="minorHAnsi" w:hAnsiTheme="minorHAnsi"/>
          <w:lang w:val="sq-AL"/>
        </w:rPr>
        <w:t>rogrami</w:t>
      </w:r>
      <w:r w:rsidR="00990CDF" w:rsidRPr="00BF005F">
        <w:rPr>
          <w:rFonts w:asciiTheme="minorHAnsi" w:hAnsiTheme="minorHAnsi"/>
          <w:b/>
          <w:lang w:val="sq-AL"/>
        </w:rPr>
        <w:t xml:space="preserve"> “Transporti Rrugor</w:t>
      </w:r>
      <w:r w:rsidR="00990CDF" w:rsidRPr="00BF005F">
        <w:rPr>
          <w:rFonts w:asciiTheme="minorHAnsi" w:hAnsiTheme="minorHAnsi"/>
          <w:lang w:val="sq-AL"/>
        </w:rPr>
        <w:t xml:space="preserve">” </w:t>
      </w:r>
      <w:r>
        <w:rPr>
          <w:rFonts w:asciiTheme="minorHAnsi" w:hAnsiTheme="minorHAnsi"/>
          <w:lang w:val="sq-AL"/>
        </w:rPr>
        <w:t>synon:</w:t>
      </w:r>
    </w:p>
    <w:p w:rsidR="00366E24" w:rsidRPr="00366E24" w:rsidRDefault="00366E24" w:rsidP="003F6B21">
      <w:pPr>
        <w:numPr>
          <w:ilvl w:val="0"/>
          <w:numId w:val="6"/>
        </w:numPr>
        <w:jc w:val="both"/>
        <w:rPr>
          <w:rFonts w:ascii="Calibri" w:hAnsi="Calibri"/>
          <w:i/>
          <w:lang w:val="sq-AL"/>
        </w:rPr>
      </w:pPr>
      <w:r w:rsidRPr="00366E24">
        <w:rPr>
          <w:rFonts w:ascii="Calibri" w:hAnsi="Calibri"/>
          <w:i/>
          <w:lang w:val="sq-AL"/>
        </w:rPr>
        <w:t xml:space="preserve">Zhvillimin më tej të sistemit kombëtar të transportit, </w:t>
      </w:r>
    </w:p>
    <w:p w:rsidR="00366E24" w:rsidRPr="00366E24" w:rsidRDefault="00366E24" w:rsidP="003F6B21">
      <w:pPr>
        <w:numPr>
          <w:ilvl w:val="0"/>
          <w:numId w:val="6"/>
        </w:numPr>
        <w:jc w:val="both"/>
        <w:rPr>
          <w:rFonts w:ascii="Calibri" w:hAnsi="Calibri"/>
          <w:i/>
          <w:lang w:val="sq-AL"/>
        </w:rPr>
      </w:pPr>
      <w:r w:rsidRPr="00366E24">
        <w:rPr>
          <w:rFonts w:ascii="Calibri" w:hAnsi="Calibri"/>
          <w:i/>
          <w:lang w:val="sq-AL"/>
        </w:rPr>
        <w:t>Përmirësimin e ndjeshëm të qëndrueshmërisë, ndërlidhjes, ndërveprimit dhe integrimin e tij me gjerë, me sistemin ndërkombëtar dhe evropian të transportit dhe rajonin,</w:t>
      </w:r>
    </w:p>
    <w:p w:rsidR="00366E24" w:rsidRDefault="00366E24" w:rsidP="003F6B21">
      <w:pPr>
        <w:numPr>
          <w:ilvl w:val="0"/>
          <w:numId w:val="6"/>
        </w:numPr>
        <w:jc w:val="both"/>
        <w:rPr>
          <w:rFonts w:ascii="Calibri" w:hAnsi="Calibri"/>
          <w:i/>
          <w:lang w:val="sq-AL"/>
        </w:rPr>
      </w:pPr>
      <w:r w:rsidRPr="00366E24">
        <w:rPr>
          <w:rFonts w:ascii="Calibri" w:hAnsi="Calibri"/>
          <w:i/>
          <w:lang w:val="sq-AL"/>
        </w:rPr>
        <w:t xml:space="preserve">Mbulimin me financim dhe zgjerimin, rritjen e standarteve dhe mirëmbajtjen e rrjetit kombëtar të rrugëve, me synim krijimin e një transporti të qëndrueshëm. </w:t>
      </w:r>
    </w:p>
    <w:p w:rsidR="000357A0" w:rsidRPr="00C472AD" w:rsidRDefault="000357A0" w:rsidP="000357A0">
      <w:pPr>
        <w:spacing w:line="276" w:lineRule="auto"/>
        <w:contextualSpacing/>
        <w:jc w:val="both"/>
        <w:rPr>
          <w:rFonts w:ascii="Calibri" w:hAnsi="Calibri"/>
          <w:lang w:val="sq-AL"/>
        </w:rPr>
      </w:pPr>
      <w:r w:rsidRPr="00C472AD">
        <w:rPr>
          <w:rFonts w:ascii="Calibri" w:hAnsi="Calibri"/>
          <w:lang w:val="sq-AL"/>
        </w:rPr>
        <w:lastRenderedPageBreak/>
        <w:t xml:space="preserve">Qëllimi i programit është realizuar nëpërmjet dy objektivave specifikisht, Ndërtim dhe rehabilitim sipas standarteve të projektimit, rrugë të rrjetit kombëtar dhe Sistemim asfaltim e riveshje për rrugë të rrjetit kombëtar. Produktet që kanë kontribuar në realizimin e këtyre objektivave </w:t>
      </w:r>
      <w:r>
        <w:rPr>
          <w:rFonts w:ascii="Calibri" w:hAnsi="Calibri"/>
          <w:lang w:val="sq-AL"/>
        </w:rPr>
        <w:t>janë</w:t>
      </w:r>
      <w:r w:rsidRPr="00C472AD">
        <w:rPr>
          <w:rFonts w:ascii="Calibri" w:hAnsi="Calibri"/>
          <w:lang w:val="sq-AL"/>
        </w:rPr>
        <w:t>:</w:t>
      </w:r>
    </w:p>
    <w:p w:rsidR="000357A0" w:rsidRPr="000357A0" w:rsidRDefault="000357A0" w:rsidP="000357A0">
      <w:pPr>
        <w:spacing w:line="276" w:lineRule="auto"/>
        <w:contextualSpacing/>
        <w:jc w:val="both"/>
        <w:rPr>
          <w:rFonts w:ascii="Calibri" w:hAnsi="Calibri"/>
          <w:sz w:val="8"/>
          <w:szCs w:val="8"/>
          <w:lang w:val="sq-AL"/>
        </w:rPr>
      </w:pPr>
    </w:p>
    <w:p w:rsidR="000357A0" w:rsidRPr="00C472AD" w:rsidRDefault="000357A0" w:rsidP="000357A0">
      <w:pPr>
        <w:spacing w:line="276" w:lineRule="auto"/>
        <w:contextualSpacing/>
        <w:jc w:val="both"/>
        <w:rPr>
          <w:rFonts w:ascii="Calibri" w:hAnsi="Calibri"/>
          <w:lang w:val="sq-AL"/>
        </w:rPr>
      </w:pPr>
      <w:r w:rsidRPr="00C472AD">
        <w:rPr>
          <w:rFonts w:ascii="Calibri" w:hAnsi="Calibri"/>
          <w:lang w:val="sq-AL"/>
        </w:rPr>
        <w:t xml:space="preserve">Për objektivin </w:t>
      </w:r>
      <w:r w:rsidRPr="00C472AD">
        <w:rPr>
          <w:rFonts w:ascii="Calibri" w:hAnsi="Calibri"/>
          <w:b/>
          <w:i/>
          <w:lang w:val="sq-AL"/>
        </w:rPr>
        <w:t>“</w:t>
      </w:r>
      <w:r w:rsidRPr="00C472AD">
        <w:rPr>
          <w:rFonts w:ascii="Calibri" w:hAnsi="Calibri"/>
          <w:b/>
          <w:lang w:val="sq-AL"/>
        </w:rPr>
        <w:t>Ndërtim dhe rehabilitim sipas standarteve të projektimit, rrugë të rrjetit kombëtar</w:t>
      </w:r>
      <w:r w:rsidRPr="00C472AD">
        <w:rPr>
          <w:rFonts w:ascii="Calibri" w:hAnsi="Calibri"/>
          <w:b/>
          <w:i/>
          <w:lang w:val="sq-AL"/>
        </w:rPr>
        <w:t>”</w:t>
      </w:r>
      <w:r w:rsidRPr="00C472AD">
        <w:rPr>
          <w:rFonts w:ascii="Calibri" w:hAnsi="Calibri"/>
          <w:lang w:val="sq-AL"/>
        </w:rPr>
        <w:t xml:space="preserve">, janë realizuar fondet në vlerën 1.2 miliard lekë apo 27% e planit të akorduar për vitin 2022. Disa nga produktet kryesore të realizuara përgjatë periudhës 4 mujore janë:   </w:t>
      </w:r>
    </w:p>
    <w:p w:rsidR="000357A0" w:rsidRPr="000357A0" w:rsidRDefault="000357A0" w:rsidP="003F6B21">
      <w:pPr>
        <w:numPr>
          <w:ilvl w:val="0"/>
          <w:numId w:val="11"/>
        </w:numPr>
        <w:ind w:left="360"/>
        <w:contextualSpacing/>
        <w:jc w:val="both"/>
        <w:rPr>
          <w:rFonts w:ascii="Calibri" w:hAnsi="Calibri"/>
          <w:lang w:val="sq-AL"/>
        </w:rPr>
      </w:pPr>
      <w:r w:rsidRPr="000357A0">
        <w:rPr>
          <w:rFonts w:ascii="Calibri" w:hAnsi="Calibri"/>
          <w:lang w:val="sq-AL"/>
        </w:rPr>
        <w:t>Tipi i rrugës A2’ 2x2 me trotuar dhe ndriçim, për të cilin fondet e planifikuara për 4 mujorin e parë të vitit 2022 paraqiten të realizuar në masën 65 milionë lekë apo 22% e fondeve të planifikuara për këtë qëllim. Disa nga objektet e rëndësishme, që janë në proces:</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"Përfundim i punimeve të mbetura dhe plotësimi me rrugë dytësore nyja e Milotit";</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i unazës së Jashtme Tiranë pjesa verilindore (seg Kth Saukut-Bregu i lumit) Loti2;</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"Rikualifikim i akseve rrugore Unaza Lindore Loti 2 , Loti 3";</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rruga By Pass Perëndimor Shkodër, Loti 1 + shtesë punimesh;</w:t>
      </w:r>
    </w:p>
    <w:p w:rsidR="000357A0" w:rsidRPr="000357A0" w:rsidRDefault="000357A0" w:rsidP="000357A0">
      <w:pPr>
        <w:spacing w:line="276" w:lineRule="auto"/>
        <w:contextualSpacing/>
        <w:jc w:val="both"/>
        <w:rPr>
          <w:rFonts w:ascii="Calibri" w:hAnsi="Calibri"/>
          <w:i/>
          <w:sz w:val="12"/>
          <w:szCs w:val="12"/>
          <w:lang w:val="sq-AL"/>
        </w:rPr>
      </w:pPr>
    </w:p>
    <w:p w:rsidR="000357A0" w:rsidRPr="000357A0" w:rsidRDefault="000357A0" w:rsidP="003F6B21">
      <w:pPr>
        <w:numPr>
          <w:ilvl w:val="0"/>
          <w:numId w:val="11"/>
        </w:numPr>
        <w:ind w:left="360"/>
        <w:contextualSpacing/>
        <w:jc w:val="both"/>
        <w:rPr>
          <w:rFonts w:ascii="Calibri" w:hAnsi="Calibri"/>
          <w:lang w:val="sq-AL"/>
        </w:rPr>
      </w:pPr>
      <w:r w:rsidRPr="000357A0">
        <w:rPr>
          <w:rFonts w:ascii="Calibri" w:hAnsi="Calibri"/>
          <w:lang w:val="sq-AL"/>
        </w:rPr>
        <w:t>Rruga tip B1’ me dy korsi, për të cilën janë realizuar fondet në masën prej 133 milionë lekë ose 24% ndaj totalit të planifikuar për vitin 2021.  Objekti, në të cilin punohet me ritme të parashikuara është:</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Rruga Kardhiq-Delvinë Loti 4, shtesë punimesh, Loti 7 dhe Loti 8, "</w:t>
      </w:r>
    </w:p>
    <w:p w:rsidR="000357A0" w:rsidRPr="000357A0" w:rsidRDefault="000357A0" w:rsidP="000357A0">
      <w:pPr>
        <w:ind w:left="360"/>
        <w:contextualSpacing/>
        <w:jc w:val="both"/>
        <w:rPr>
          <w:rFonts w:ascii="Calibri" w:hAnsi="Calibri"/>
          <w:sz w:val="12"/>
          <w:szCs w:val="12"/>
          <w:lang w:val="sq-AL"/>
        </w:rPr>
      </w:pPr>
    </w:p>
    <w:p w:rsidR="000357A0" w:rsidRPr="000357A0" w:rsidRDefault="000357A0" w:rsidP="003F6B21">
      <w:pPr>
        <w:numPr>
          <w:ilvl w:val="0"/>
          <w:numId w:val="11"/>
        </w:numPr>
        <w:ind w:left="360"/>
        <w:contextualSpacing/>
        <w:jc w:val="both"/>
        <w:rPr>
          <w:rFonts w:ascii="Calibri" w:hAnsi="Calibri"/>
          <w:lang w:val="sq-AL"/>
        </w:rPr>
      </w:pPr>
      <w:r w:rsidRPr="000357A0">
        <w:rPr>
          <w:rFonts w:ascii="Calibri" w:hAnsi="Calibri"/>
          <w:lang w:val="sq-AL"/>
        </w:rPr>
        <w:t>Për rrugën tip C2 me dy korsi, janë realizuar fondet përgjatë 4 mujorit të parë të vitit 2022 në masën 298 milionë lekë ose 14% e fondeve të planifikuara. Disa nga objektet e rëndësishme, në të cilat punohet normalisht dhe që janë në proces janë:</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By Pass Tepelenë Loti 1+shtesë punimesh;</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rruga Korcë – Ersekë, Loti 2 (pjesa e parë) dhe pjesa e dytë;</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rruga Palas – Dhërmi;</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Rikonstruksion i rrugës Dukaj - Sinanaj, Tepelenë;</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i rrugës, lidhja e Autostradës Milot - Morinë me Aeroportin e Kukësit;</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Zgjerim i rrugës Elbasan – Qafë – Thanë (Faza I)</w:t>
      </w:r>
    </w:p>
    <w:p w:rsidR="000357A0" w:rsidRPr="00C472AD" w:rsidRDefault="000357A0" w:rsidP="003F6B21">
      <w:pPr>
        <w:numPr>
          <w:ilvl w:val="1"/>
          <w:numId w:val="12"/>
        </w:numPr>
        <w:ind w:left="990"/>
        <w:contextualSpacing/>
        <w:jc w:val="both"/>
        <w:rPr>
          <w:rFonts w:ascii="Calibri" w:hAnsi="Calibri"/>
          <w:i/>
          <w:lang w:val="sq-AL"/>
        </w:rPr>
      </w:pPr>
      <w:r w:rsidRPr="00C472AD">
        <w:rPr>
          <w:rFonts w:ascii="Calibri" w:hAnsi="Calibri"/>
          <w:i/>
          <w:lang w:val="sq-AL"/>
        </w:rPr>
        <w:t>Ndërtim  rruga lidhëse e Aeroportit Ndërkombëtar të Vlorës (VIA)-Autostrada Fier-Vlorë.</w:t>
      </w:r>
    </w:p>
    <w:p w:rsidR="000357A0" w:rsidRPr="000357A0" w:rsidRDefault="000357A0" w:rsidP="000357A0">
      <w:pPr>
        <w:spacing w:line="276" w:lineRule="auto"/>
        <w:contextualSpacing/>
        <w:jc w:val="both"/>
        <w:rPr>
          <w:rFonts w:ascii="Calibri" w:hAnsi="Calibri"/>
          <w:sz w:val="12"/>
          <w:szCs w:val="12"/>
          <w:lang w:val="sq-AL"/>
        </w:rPr>
      </w:pPr>
    </w:p>
    <w:p w:rsidR="000357A0" w:rsidRPr="000357A0" w:rsidRDefault="000357A0" w:rsidP="003F6B21">
      <w:pPr>
        <w:numPr>
          <w:ilvl w:val="0"/>
          <w:numId w:val="11"/>
        </w:numPr>
        <w:ind w:left="360"/>
        <w:contextualSpacing/>
        <w:jc w:val="both"/>
        <w:rPr>
          <w:rFonts w:ascii="Calibri" w:hAnsi="Calibri"/>
          <w:lang w:val="sq-AL"/>
        </w:rPr>
      </w:pPr>
      <w:r w:rsidRPr="000357A0">
        <w:rPr>
          <w:rFonts w:ascii="Calibri" w:hAnsi="Calibri"/>
          <w:lang w:val="sq-AL"/>
        </w:rPr>
        <w:t>Për rrugën Tip A e modifikuar, janë realizuar fondet në masën 81 milionë lekë ose 86% e fondeve të planifikuara për këtë qëllim. Objekti që përfshihen në këtë kategori rruge është Ndërtim rruga Porto Romano Durrës, Loti 3.</w:t>
      </w:r>
    </w:p>
    <w:p w:rsidR="000357A0" w:rsidRPr="000357A0" w:rsidRDefault="000357A0" w:rsidP="000357A0">
      <w:pPr>
        <w:spacing w:line="276" w:lineRule="auto"/>
        <w:contextualSpacing/>
        <w:jc w:val="both"/>
        <w:rPr>
          <w:rFonts w:ascii="Calibri" w:hAnsi="Calibri"/>
          <w:sz w:val="12"/>
          <w:szCs w:val="12"/>
          <w:lang w:val="sq-AL"/>
        </w:rPr>
      </w:pPr>
    </w:p>
    <w:p w:rsidR="000357A0" w:rsidRPr="00C472AD" w:rsidRDefault="000357A0" w:rsidP="000357A0">
      <w:pPr>
        <w:spacing w:line="276" w:lineRule="auto"/>
        <w:contextualSpacing/>
        <w:jc w:val="both"/>
        <w:rPr>
          <w:rFonts w:ascii="Calibri" w:hAnsi="Calibri"/>
          <w:lang w:val="sq-AL"/>
        </w:rPr>
      </w:pPr>
      <w:r w:rsidRPr="00C472AD">
        <w:rPr>
          <w:rFonts w:ascii="Calibri" w:hAnsi="Calibri"/>
          <w:lang w:val="sq-AL"/>
        </w:rPr>
        <w:t xml:space="preserve">Lidhur me objektivin </w:t>
      </w:r>
      <w:r w:rsidRPr="00C472AD">
        <w:rPr>
          <w:rFonts w:ascii="Calibri" w:hAnsi="Calibri"/>
          <w:b/>
          <w:lang w:val="sq-AL"/>
        </w:rPr>
        <w:t>“Sinjalistikë dhe siguri rrugore”</w:t>
      </w:r>
      <w:r w:rsidRPr="00C472AD">
        <w:rPr>
          <w:rFonts w:ascii="Calibri" w:hAnsi="Calibri"/>
          <w:lang w:val="sq-AL"/>
        </w:rPr>
        <w:t xml:space="preserve">, nuk ka patur realizim përgjatë 4 mujorit të parë të vitit 2022. </w:t>
      </w:r>
    </w:p>
    <w:p w:rsidR="000357A0" w:rsidRPr="000357A0" w:rsidRDefault="000357A0" w:rsidP="000357A0">
      <w:pPr>
        <w:spacing w:line="276" w:lineRule="auto"/>
        <w:jc w:val="both"/>
        <w:rPr>
          <w:rFonts w:ascii="Calibri" w:hAnsi="Calibri"/>
          <w:sz w:val="16"/>
          <w:lang w:val="sq-AL"/>
        </w:rPr>
      </w:pPr>
    </w:p>
    <w:p w:rsidR="00990CDF" w:rsidRPr="001F113C" w:rsidRDefault="00990CDF" w:rsidP="006F25E7">
      <w:pPr>
        <w:spacing w:line="276" w:lineRule="auto"/>
        <w:contextualSpacing/>
        <w:jc w:val="both"/>
        <w:rPr>
          <w:rFonts w:asciiTheme="minorHAnsi" w:hAnsiTheme="minorHAnsi"/>
          <w:b/>
          <w:sz w:val="8"/>
          <w:szCs w:val="8"/>
          <w:lang w:val="sq-AL"/>
        </w:rPr>
      </w:pP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b/>
          <w:lang w:val="sq-AL"/>
        </w:rPr>
        <w:t>Për programin “Furnizimi me Ujë dhe Kanalizime</w:t>
      </w:r>
      <w:r w:rsidRPr="00BF005F">
        <w:rPr>
          <w:rFonts w:asciiTheme="minorHAnsi" w:hAnsiTheme="minorHAnsi"/>
          <w:lang w:val="sq-AL"/>
        </w:rPr>
        <w:t xml:space="preserve">” </w:t>
      </w:r>
      <w:r w:rsidR="000357A0" w:rsidRPr="00C472AD">
        <w:rPr>
          <w:rFonts w:ascii="Calibri" w:hAnsi="Calibri"/>
          <w:lang w:val="sq-AL"/>
        </w:rPr>
        <w:t xml:space="preserve">përgjatë 4 mujorit të parë të vitit 2022  është realizuar qëllimi i cili konsiston në ofrimin e </w:t>
      </w:r>
      <w:r w:rsidR="000357A0" w:rsidRPr="00C472AD">
        <w:rPr>
          <w:rFonts w:ascii="Calibri" w:hAnsi="Calibri"/>
          <w:i/>
          <w:lang w:val="sq-AL"/>
        </w:rPr>
        <w:t>Shërbimit me furnizim me ujë dhe kanalizime për të gjithë popullsinë me cilësi dhe sipas standarteve ndërkombëtare</w:t>
      </w:r>
      <w:r w:rsidR="000357A0" w:rsidRPr="00C472AD">
        <w:rPr>
          <w:rFonts w:ascii="Calibri" w:hAnsi="Calibri"/>
          <w:lang w:val="sq-AL"/>
        </w:rPr>
        <w:t>. Qëllimi i politikës së programit është realizuar nëpërmjet përmbushjes së objektivit i cili synon mbulimin e plotë dhe më cilësi me shërbim të furnizimit me ujë në të gjithë zonën e shërbimit të shoqërive UK,  si edhe nëpërmjet produkteve të paraqitur si më poshtë</w:t>
      </w:r>
      <w:r w:rsidRPr="00BF005F">
        <w:rPr>
          <w:rFonts w:asciiTheme="minorHAnsi" w:hAnsiTheme="minorHAnsi"/>
          <w:lang w:val="sq-AL"/>
        </w:rPr>
        <w:t>:</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Realizimi i 5,415 ml linja të reja ujësjellësi për furnizimin me ujë, shoqëruar me një kosto prej 220 milionë lekë.</w:t>
      </w:r>
    </w:p>
    <w:p w:rsidR="00990CDF" w:rsidRPr="000357A0" w:rsidRDefault="000357A0" w:rsidP="003F6B21">
      <w:pPr>
        <w:numPr>
          <w:ilvl w:val="0"/>
          <w:numId w:val="13"/>
        </w:numPr>
        <w:contextualSpacing/>
        <w:jc w:val="both"/>
        <w:rPr>
          <w:rFonts w:asciiTheme="minorHAnsi" w:hAnsiTheme="minorHAnsi"/>
          <w:i/>
          <w:lang w:val="sq-AL"/>
        </w:rPr>
      </w:pPr>
      <w:r w:rsidRPr="000357A0">
        <w:rPr>
          <w:rFonts w:ascii="Calibri" w:hAnsi="Calibri"/>
          <w:i/>
          <w:lang w:val="sq-AL"/>
        </w:rPr>
        <w:t>U realizua rreth 7% e sasisë së planifikuar për vitin 2022 për produktin “Kanalizimi i Ri”</w:t>
      </w:r>
      <w:r w:rsidR="00990CDF" w:rsidRPr="000357A0">
        <w:rPr>
          <w:rFonts w:asciiTheme="minorHAnsi" w:hAnsiTheme="minorHAnsi"/>
          <w:i/>
          <w:lang w:val="sq-AL"/>
        </w:rPr>
        <w:t>.</w:t>
      </w:r>
    </w:p>
    <w:p w:rsidR="000357A0" w:rsidRDefault="000357A0" w:rsidP="006F25E7">
      <w:pPr>
        <w:spacing w:line="276" w:lineRule="auto"/>
        <w:contextualSpacing/>
        <w:jc w:val="both"/>
        <w:rPr>
          <w:rFonts w:asciiTheme="minorHAnsi" w:hAnsiTheme="minorHAnsi"/>
          <w:b/>
          <w:sz w:val="16"/>
          <w:lang w:val="sq-AL"/>
        </w:rPr>
      </w:pPr>
    </w:p>
    <w:p w:rsidR="00545CF4" w:rsidRPr="000357A0" w:rsidRDefault="00545CF4" w:rsidP="006F25E7">
      <w:pPr>
        <w:spacing w:line="276" w:lineRule="auto"/>
        <w:contextualSpacing/>
        <w:jc w:val="both"/>
        <w:rPr>
          <w:rFonts w:asciiTheme="minorHAnsi" w:hAnsiTheme="minorHAnsi"/>
          <w:b/>
          <w:sz w:val="16"/>
          <w:lang w:val="sq-AL"/>
        </w:rPr>
      </w:pPr>
    </w:p>
    <w:p w:rsidR="000357A0" w:rsidRDefault="00990CDF" w:rsidP="00545CF4">
      <w:pPr>
        <w:contextualSpacing/>
        <w:jc w:val="both"/>
        <w:rPr>
          <w:rFonts w:ascii="Calibri" w:hAnsi="Calibri"/>
          <w:i/>
          <w:lang w:val="sq-AL"/>
        </w:rPr>
      </w:pPr>
      <w:r w:rsidRPr="00BF005F">
        <w:rPr>
          <w:rFonts w:asciiTheme="minorHAnsi" w:hAnsiTheme="minorHAnsi"/>
          <w:b/>
          <w:lang w:val="sq-AL"/>
        </w:rPr>
        <w:lastRenderedPageBreak/>
        <w:t xml:space="preserve">Në programin “Mbështetje për </w:t>
      </w:r>
      <w:r w:rsidRPr="00BF005F">
        <w:rPr>
          <w:rFonts w:asciiTheme="minorHAnsi" w:hAnsiTheme="minorHAnsi"/>
          <w:b/>
          <w:bCs/>
          <w:lang w:val="sq-AL"/>
        </w:rPr>
        <w:t>Burimet Natyrore</w:t>
      </w:r>
      <w:r w:rsidRPr="00BF005F">
        <w:rPr>
          <w:rFonts w:asciiTheme="minorHAnsi" w:hAnsiTheme="minorHAnsi"/>
          <w:b/>
          <w:lang w:val="sq-AL"/>
        </w:rPr>
        <w:t>”</w:t>
      </w:r>
      <w:r w:rsidRPr="00BF005F">
        <w:rPr>
          <w:rFonts w:asciiTheme="minorHAnsi" w:hAnsiTheme="minorHAnsi"/>
          <w:lang w:val="sq-AL"/>
        </w:rPr>
        <w:t xml:space="preserve"> </w:t>
      </w:r>
      <w:r w:rsidR="000357A0" w:rsidRPr="00C472AD">
        <w:rPr>
          <w:rFonts w:ascii="Calibri" w:hAnsi="Calibri"/>
          <w:lang w:val="sq-AL"/>
        </w:rPr>
        <w:t>përgjatë 4 mujorit të parë të vitit 2022, është realizuar qëllimi i cili lidhet me “</w:t>
      </w:r>
      <w:r w:rsidR="000357A0" w:rsidRPr="00C472AD">
        <w:rPr>
          <w:rFonts w:ascii="Calibri" w:hAnsi="Calibri"/>
          <w:bCs/>
          <w:i/>
          <w:lang w:val="sq-AL"/>
        </w:rPr>
        <w:t>Realizimin e politikave te promovimit, mbikqyrjes, monitorimit dhe transparencës në fushën e gjeologjisë, minierave, ambientit dhe ujërave</w:t>
      </w:r>
      <w:r w:rsidR="000357A0" w:rsidRPr="00C472AD">
        <w:rPr>
          <w:rFonts w:ascii="Calibri" w:hAnsi="Calibri"/>
          <w:lang w:val="sq-AL"/>
        </w:rPr>
        <w:t xml:space="preserve">”. Qëllimi i programit u realizuar përmes 2 objektivave të cilat janë </w:t>
      </w:r>
      <w:r w:rsidR="000357A0" w:rsidRPr="00C472AD">
        <w:rPr>
          <w:rFonts w:ascii="Calibri" w:hAnsi="Calibri"/>
          <w:i/>
          <w:lang w:val="sq-AL"/>
        </w:rPr>
        <w:t xml:space="preserve">“Shfrytëzimi me efiçencë i burimeve natyrore minerare nga shoqëritë e licensuara për këtë veprimtari nëppërmjet zbatimit të kushteve tekniko-profesionale dhe mjedisore sipas standarteve europiane” si dhe “Promovimi i burimeve hidrologjike dhe minerare të pashfrytëzuara”. </w:t>
      </w:r>
    </w:p>
    <w:p w:rsidR="000357A0" w:rsidRDefault="000357A0" w:rsidP="000357A0">
      <w:pPr>
        <w:spacing w:line="276" w:lineRule="auto"/>
        <w:contextualSpacing/>
        <w:jc w:val="both"/>
        <w:rPr>
          <w:rFonts w:ascii="Calibri" w:hAnsi="Calibri"/>
          <w:i/>
          <w:lang w:val="sq-AL"/>
        </w:rPr>
      </w:pPr>
    </w:p>
    <w:p w:rsidR="00990CDF" w:rsidRPr="000357A0" w:rsidRDefault="000357A0" w:rsidP="000357A0">
      <w:pPr>
        <w:spacing w:line="276" w:lineRule="auto"/>
        <w:contextualSpacing/>
        <w:jc w:val="both"/>
        <w:rPr>
          <w:rFonts w:ascii="Calibri" w:hAnsi="Calibri"/>
          <w:lang w:val="sq-AL"/>
        </w:rPr>
      </w:pPr>
      <w:r w:rsidRPr="00C472AD">
        <w:rPr>
          <w:rFonts w:ascii="Calibri" w:hAnsi="Calibri"/>
          <w:lang w:val="sq-AL"/>
        </w:rPr>
        <w:t>Produktet që kanë kontribuar në realizimin e tyre paraqiten të renditura sa më poshtë</w:t>
      </w:r>
      <w:r w:rsidR="00990CDF" w:rsidRPr="00BF005F">
        <w:rPr>
          <w:rFonts w:asciiTheme="minorHAnsi" w:hAnsiTheme="minorHAnsi"/>
          <w:lang w:val="sq-AL"/>
        </w:rPr>
        <w:t>:</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Janë përditësuar 695 të dhëna të lejeve minerare gjeohapsinor, me kosto prej 1 milionë lekë.</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U realizua mbikqyrja e 360 burimeve të shfrytëzimit minerare, metalore dhe jo metalore, me kosto prej 3.8 milionë lekë.</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Është realizuar promovimi i minerave të rinj dhe kërkimeve teknologjike e mjedisore me një kosto prej 0.8 milionë lekë.</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Është kryer monitorimi i Fenomeneve të post shfrytezimit në minierat e mbyllura me një kosto prej 1.6 milionë lekë.</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Është realizuar projekti i studimit mbi zonimin minerar dhe hartimit të planit vjetor dhe 3-vjecar minerar, me një kosto prej rreth 1 milionë lekë.</w:t>
      </w:r>
    </w:p>
    <w:p w:rsidR="00990CDF"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U realizua projekti mbi “Raportin vjetor të gjëndjes mjedisore në industrinë minerare dhe metalurgji”, me një kosto prej 1 milionë lekë</w:t>
      </w:r>
    </w:p>
    <w:p w:rsidR="000357A0" w:rsidRPr="000357A0" w:rsidRDefault="000357A0" w:rsidP="006F25E7">
      <w:pPr>
        <w:spacing w:line="276" w:lineRule="auto"/>
        <w:contextualSpacing/>
        <w:jc w:val="both"/>
        <w:rPr>
          <w:rFonts w:asciiTheme="minorHAnsi" w:hAnsiTheme="minorHAnsi"/>
          <w:b/>
          <w:sz w:val="16"/>
          <w:lang w:val="sq-AL"/>
        </w:rPr>
      </w:pPr>
    </w:p>
    <w:p w:rsidR="000357A0" w:rsidRPr="00C472AD" w:rsidRDefault="000357A0" w:rsidP="00545CF4">
      <w:pPr>
        <w:contextualSpacing/>
        <w:jc w:val="both"/>
        <w:rPr>
          <w:rFonts w:ascii="Calibri" w:hAnsi="Calibri"/>
          <w:lang w:val="sq-AL"/>
        </w:rPr>
      </w:pPr>
      <w:r w:rsidRPr="00C472AD">
        <w:rPr>
          <w:rFonts w:ascii="Calibri" w:hAnsi="Calibri"/>
          <w:b/>
          <w:lang w:val="sq-AL"/>
        </w:rPr>
        <w:t xml:space="preserve">Me programin “Mbështetje për Energjinë” </w:t>
      </w:r>
      <w:r w:rsidRPr="00C472AD">
        <w:rPr>
          <w:rFonts w:ascii="Calibri" w:hAnsi="Calibri"/>
          <w:lang w:val="sq-AL"/>
        </w:rPr>
        <w:t>është realizuar qëllimi i programit i cili konsiston në “</w:t>
      </w:r>
      <w:r w:rsidRPr="00C472AD">
        <w:rPr>
          <w:rFonts w:ascii="Calibri" w:hAnsi="Calibri"/>
          <w:i/>
          <w:lang w:val="sq-AL"/>
        </w:rPr>
        <w:t xml:space="preserve">Krijimin e kushteve dhe mundësive për zhvillimin e politikave dhe strategjive për një ecuri të qëndrueshme dhe të sigurt të sektorit të energjisë, në zbatim të programit dhe prioriteteve të qeverisë”. </w:t>
      </w:r>
      <w:r w:rsidRPr="00C472AD">
        <w:rPr>
          <w:rFonts w:ascii="Calibri" w:hAnsi="Calibri"/>
          <w:lang w:val="sq-AL"/>
        </w:rPr>
        <w:t>Qëllimi është arritur nëpërmjet realizimit të produketeve të paraqitur si më poshtë:</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Monitorime të kryera në sektorin energjitik</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 xml:space="preserve">Kryerjes së 16 studimeve për përmirësimin e sektorit energjitik, përmirësimin e efiçencës së energjisë, zhvillimin e burimeve të rinovueshme apo 16% e sasisë së planifikuar për vitin 2022. </w:t>
      </w:r>
    </w:p>
    <w:p w:rsidR="000357A0" w:rsidRPr="000357A0" w:rsidRDefault="000357A0" w:rsidP="003F6B21">
      <w:pPr>
        <w:numPr>
          <w:ilvl w:val="0"/>
          <w:numId w:val="13"/>
        </w:numPr>
        <w:contextualSpacing/>
        <w:jc w:val="both"/>
        <w:rPr>
          <w:rFonts w:ascii="Calibri" w:hAnsi="Calibri"/>
          <w:i/>
          <w:lang w:val="sq-AL"/>
        </w:rPr>
      </w:pPr>
      <w:r w:rsidRPr="000357A0">
        <w:rPr>
          <w:rFonts w:ascii="Calibri" w:hAnsi="Calibri"/>
          <w:i/>
          <w:lang w:val="sq-AL"/>
        </w:rPr>
        <w:t>Promovimin e efiçencës së energjisë.</w:t>
      </w:r>
    </w:p>
    <w:p w:rsidR="00990CDF" w:rsidRDefault="00990CDF" w:rsidP="006F25E7">
      <w:pPr>
        <w:spacing w:line="276" w:lineRule="auto"/>
        <w:contextualSpacing/>
        <w:jc w:val="both"/>
        <w:rPr>
          <w:rFonts w:asciiTheme="minorHAnsi" w:eastAsia="Calibri" w:hAnsiTheme="minorHAnsi"/>
          <w:lang w:val="sq-AL"/>
        </w:rPr>
      </w:pPr>
    </w:p>
    <w:p w:rsidR="001F113C" w:rsidRPr="00BF005F" w:rsidRDefault="001F113C" w:rsidP="006F25E7">
      <w:pPr>
        <w:spacing w:line="276" w:lineRule="auto"/>
        <w:contextualSpacing/>
        <w:jc w:val="both"/>
        <w:rPr>
          <w:rFonts w:asciiTheme="minorHAnsi" w:eastAsia="Calibri" w:hAnsiTheme="minorHAnsi"/>
          <w:lang w:val="sq-AL"/>
        </w:rPr>
      </w:pPr>
    </w:p>
    <w:p w:rsidR="00990CDF" w:rsidRPr="00BF005F" w:rsidRDefault="002C0E6D" w:rsidP="006F25E7">
      <w:pPr>
        <w:spacing w:before="120" w:after="120" w:line="276" w:lineRule="auto"/>
        <w:jc w:val="both"/>
        <w:rPr>
          <w:rFonts w:asciiTheme="minorHAnsi" w:hAnsiTheme="minorHAnsi"/>
          <w:b/>
          <w:noProof/>
          <w:color w:val="0070C0"/>
          <w:lang w:val="sq-AL"/>
        </w:rPr>
      </w:pPr>
      <w:bookmarkStart w:id="196" w:name="_Toc10033298"/>
      <w:bookmarkStart w:id="197" w:name="_Toc10721434"/>
      <w:bookmarkStart w:id="198" w:name="_Toc11134229"/>
      <w:r>
        <w:rPr>
          <w:rFonts w:asciiTheme="minorHAnsi" w:hAnsiTheme="minorHAnsi"/>
          <w:b/>
          <w:noProof/>
          <w:color w:val="0070C0"/>
          <w:lang w:val="sq-AL"/>
        </w:rPr>
        <w:t>Turizmi d</w:t>
      </w:r>
      <w:r w:rsidRPr="00BF005F">
        <w:rPr>
          <w:rFonts w:asciiTheme="minorHAnsi" w:hAnsiTheme="minorHAnsi"/>
          <w:b/>
          <w:noProof/>
          <w:color w:val="0070C0"/>
          <w:lang w:val="sq-AL"/>
        </w:rPr>
        <w:t>he Mjedisi</w:t>
      </w:r>
      <w:bookmarkEnd w:id="196"/>
      <w:bookmarkEnd w:id="197"/>
      <w:bookmarkEnd w:id="198"/>
    </w:p>
    <w:p w:rsidR="00990CDF" w:rsidRPr="00BF005F" w:rsidRDefault="00990CDF" w:rsidP="006F25E7">
      <w:pPr>
        <w:spacing w:line="276" w:lineRule="auto"/>
        <w:jc w:val="both"/>
        <w:rPr>
          <w:rFonts w:asciiTheme="minorHAnsi" w:hAnsiTheme="minorHAnsi"/>
          <w:color w:val="000000"/>
          <w:lang w:val="sq-AL"/>
        </w:rPr>
      </w:pPr>
      <w:r w:rsidRPr="00BF005F">
        <w:rPr>
          <w:rFonts w:asciiTheme="minorHAnsi" w:hAnsiTheme="minorHAnsi"/>
          <w:color w:val="000000"/>
          <w:lang w:val="sq-AL"/>
        </w:rPr>
        <w:t>Performanca e treguesve buxhetorë për katër programet kryesore në Ministrinë e Mjedisit dhe Turizmit paraqitet si më poshtë:</w:t>
      </w:r>
      <w:r w:rsidRPr="00BF005F">
        <w:rPr>
          <w:rFonts w:asciiTheme="minorHAnsi" w:hAnsiTheme="minorHAnsi"/>
          <w:color w:val="000000"/>
          <w:lang w:val="sq-AL"/>
        </w:rPr>
        <w:tab/>
      </w:r>
      <w:r w:rsidRPr="00BF005F">
        <w:rPr>
          <w:rFonts w:asciiTheme="minorHAnsi" w:hAnsiTheme="minorHAnsi"/>
          <w:color w:val="000000"/>
          <w:lang w:val="sq-AL"/>
        </w:rPr>
        <w:tab/>
      </w:r>
    </w:p>
    <w:p w:rsidR="00990CDF" w:rsidRPr="001F113C" w:rsidRDefault="00990CDF" w:rsidP="006F25E7">
      <w:pPr>
        <w:spacing w:line="276" w:lineRule="auto"/>
        <w:jc w:val="both"/>
        <w:rPr>
          <w:rFonts w:asciiTheme="minorHAnsi" w:hAnsiTheme="minorHAnsi"/>
          <w:color w:val="000000"/>
          <w:sz w:val="8"/>
          <w:szCs w:val="8"/>
          <w:lang w:val="sq-AL"/>
        </w:rPr>
      </w:pPr>
    </w:p>
    <w:p w:rsidR="00990CDF" w:rsidRPr="001F113C" w:rsidRDefault="00990CDF" w:rsidP="006F25E7">
      <w:pPr>
        <w:spacing w:line="276" w:lineRule="auto"/>
        <w:rPr>
          <w:rFonts w:asciiTheme="minorHAnsi" w:hAnsiTheme="minorHAnsi"/>
          <w:i/>
          <w:iCs/>
          <w:color w:val="4F81BD" w:themeColor="accent1"/>
          <w:sz w:val="22"/>
          <w:lang w:val="sq-AL"/>
        </w:rPr>
      </w:pPr>
      <w:bookmarkStart w:id="199" w:name="_Toc107496778"/>
      <w:r w:rsidRPr="001F113C">
        <w:rPr>
          <w:rFonts w:asciiTheme="minorHAnsi" w:hAnsiTheme="minorHAnsi"/>
          <w:i/>
          <w:noProof/>
          <w:sz w:val="22"/>
          <w:lang w:val="sq-AL"/>
        </w:rPr>
        <w:t xml:space="preserve">Tabela </w:t>
      </w:r>
      <w:r w:rsidRPr="001F113C">
        <w:rPr>
          <w:rFonts w:asciiTheme="minorHAnsi" w:hAnsiTheme="minorHAnsi"/>
          <w:i/>
          <w:noProof/>
          <w:sz w:val="22"/>
        </w:rPr>
        <w:fldChar w:fldCharType="begin"/>
      </w:r>
      <w:r w:rsidRPr="001F113C">
        <w:rPr>
          <w:rFonts w:asciiTheme="minorHAnsi" w:hAnsiTheme="minorHAnsi"/>
          <w:i/>
          <w:noProof/>
          <w:sz w:val="22"/>
          <w:lang w:val="sq-AL"/>
        </w:rPr>
        <w:instrText xml:space="preserve"> SEQ Tabela \* ARABIC </w:instrText>
      </w:r>
      <w:r w:rsidRPr="001F113C">
        <w:rPr>
          <w:rFonts w:asciiTheme="minorHAnsi" w:hAnsiTheme="minorHAnsi"/>
          <w:i/>
          <w:noProof/>
          <w:sz w:val="22"/>
        </w:rPr>
        <w:fldChar w:fldCharType="separate"/>
      </w:r>
      <w:r w:rsidR="003B2B9B">
        <w:rPr>
          <w:rFonts w:asciiTheme="minorHAnsi" w:hAnsiTheme="minorHAnsi"/>
          <w:i/>
          <w:noProof/>
          <w:sz w:val="22"/>
          <w:lang w:val="sq-AL"/>
        </w:rPr>
        <w:t>42</w:t>
      </w:r>
      <w:r w:rsidRPr="001F113C">
        <w:rPr>
          <w:rFonts w:asciiTheme="minorHAnsi" w:hAnsiTheme="minorHAnsi"/>
          <w:i/>
          <w:noProof/>
          <w:sz w:val="22"/>
        </w:rPr>
        <w:fldChar w:fldCharType="end"/>
      </w:r>
      <w:r w:rsidRPr="001F113C">
        <w:rPr>
          <w:rFonts w:asciiTheme="minorHAnsi" w:hAnsiTheme="minorHAnsi"/>
          <w:i/>
          <w:noProof/>
          <w:sz w:val="22"/>
          <w:lang w:val="sq-AL"/>
        </w:rPr>
        <w:t>: TURIZMI DHE MJEDISI</w:t>
      </w:r>
      <w:bookmarkEnd w:id="199"/>
      <w:r w:rsidRPr="001F113C">
        <w:rPr>
          <w:rFonts w:asciiTheme="minorHAnsi" w:hAnsiTheme="minorHAnsi"/>
          <w:b/>
          <w:bCs/>
          <w:color w:val="000000"/>
          <w:sz w:val="22"/>
          <w:lang w:val="sq-AL"/>
        </w:rPr>
        <w:tab/>
        <w:t xml:space="preserve"> </w:t>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i/>
          <w:iCs/>
          <w:color w:val="4F81BD" w:themeColor="accent1"/>
          <w:sz w:val="22"/>
          <w:lang w:val="sq-AL"/>
        </w:rPr>
        <w:t xml:space="preserve"> </w:t>
      </w:r>
    </w:p>
    <w:p w:rsidR="00990CDF" w:rsidRPr="001F113C" w:rsidRDefault="00990CDF" w:rsidP="006F25E7">
      <w:pPr>
        <w:spacing w:line="276" w:lineRule="auto"/>
        <w:jc w:val="right"/>
        <w:rPr>
          <w:rFonts w:asciiTheme="minorHAnsi" w:hAnsiTheme="minorHAnsi"/>
          <w:color w:val="000000"/>
          <w:sz w:val="22"/>
          <w:lang w:val="sq-AL"/>
        </w:rPr>
      </w:pPr>
      <w:r w:rsidRPr="001F113C">
        <w:rPr>
          <w:rFonts w:asciiTheme="minorHAnsi" w:hAnsiTheme="minorHAnsi"/>
          <w:bCs/>
          <w:i/>
          <w:iCs/>
          <w:sz w:val="22"/>
          <w:lang w:val="sq-AL"/>
        </w:rPr>
        <w:t>Në mijë lekë</w:t>
      </w:r>
    </w:p>
    <w:tbl>
      <w:tblPr>
        <w:tblW w:w="9031" w:type="dxa"/>
        <w:jc w:val="center"/>
        <w:tblLook w:val="04A0" w:firstRow="1" w:lastRow="0" w:firstColumn="1" w:lastColumn="0" w:noHBand="0" w:noVBand="1"/>
      </w:tblPr>
      <w:tblGrid>
        <w:gridCol w:w="526"/>
        <w:gridCol w:w="2380"/>
        <w:gridCol w:w="960"/>
        <w:gridCol w:w="1115"/>
        <w:gridCol w:w="990"/>
        <w:gridCol w:w="1044"/>
        <w:gridCol w:w="1064"/>
        <w:gridCol w:w="952"/>
      </w:tblGrid>
      <w:tr w:rsidR="003D7725" w:rsidRPr="00C472AD" w:rsidTr="00545CF4">
        <w:trPr>
          <w:trHeight w:val="250"/>
          <w:jc w:val="center"/>
        </w:trPr>
        <w:tc>
          <w:tcPr>
            <w:tcW w:w="526" w:type="dxa"/>
            <w:vMerge w:val="restart"/>
            <w:tcBorders>
              <w:top w:val="single" w:sz="8" w:space="0" w:color="4BACC6"/>
              <w:left w:val="single" w:sz="8" w:space="0" w:color="4BACC6"/>
              <w:bottom w:val="nil"/>
              <w:right w:val="single" w:sz="8" w:space="0" w:color="4BACC6"/>
            </w:tcBorders>
            <w:shd w:val="clear" w:color="000000" w:fill="4BACC6"/>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NR</w:t>
            </w:r>
          </w:p>
        </w:tc>
        <w:tc>
          <w:tcPr>
            <w:tcW w:w="2380" w:type="dxa"/>
            <w:vMerge w:val="restart"/>
            <w:tcBorders>
              <w:top w:val="single" w:sz="8" w:space="0" w:color="4BACC6"/>
              <w:left w:val="single" w:sz="8" w:space="0" w:color="4BACC6"/>
              <w:bottom w:val="nil"/>
              <w:right w:val="single" w:sz="8" w:space="0" w:color="4BACC6"/>
            </w:tcBorders>
            <w:shd w:val="clear" w:color="000000" w:fill="4BACC6"/>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Emërtimi i Programit</w:t>
            </w:r>
          </w:p>
        </w:tc>
        <w:tc>
          <w:tcPr>
            <w:tcW w:w="2075"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Plani 2022</w:t>
            </w:r>
          </w:p>
        </w:tc>
        <w:tc>
          <w:tcPr>
            <w:tcW w:w="2034"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Fakti 4M 2022</w:t>
            </w:r>
          </w:p>
        </w:tc>
        <w:tc>
          <w:tcPr>
            <w:tcW w:w="2016"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Përqindja  e realizimit</w:t>
            </w:r>
          </w:p>
        </w:tc>
      </w:tr>
      <w:tr w:rsidR="003D7725" w:rsidRPr="00C472AD" w:rsidTr="00545CF4">
        <w:trPr>
          <w:trHeight w:val="268"/>
          <w:jc w:val="center"/>
        </w:trPr>
        <w:tc>
          <w:tcPr>
            <w:tcW w:w="526" w:type="dxa"/>
            <w:vMerge/>
            <w:tcBorders>
              <w:top w:val="single" w:sz="8" w:space="0" w:color="4BACC6"/>
              <w:left w:val="single" w:sz="8" w:space="0" w:color="4BACC6"/>
              <w:bottom w:val="nil"/>
              <w:right w:val="single" w:sz="8" w:space="0" w:color="4BACC6"/>
            </w:tcBorders>
            <w:vAlign w:val="center"/>
            <w:hideMark/>
          </w:tcPr>
          <w:p w:rsidR="003D7725" w:rsidRPr="00C472AD" w:rsidRDefault="003D7725" w:rsidP="003D7725">
            <w:pPr>
              <w:rPr>
                <w:rFonts w:ascii="Calibri" w:hAnsi="Calibri"/>
                <w:b/>
                <w:bCs/>
                <w:sz w:val="18"/>
                <w:szCs w:val="18"/>
                <w:lang w:val="sq-AL"/>
              </w:rPr>
            </w:pPr>
          </w:p>
        </w:tc>
        <w:tc>
          <w:tcPr>
            <w:tcW w:w="2380" w:type="dxa"/>
            <w:vMerge/>
            <w:tcBorders>
              <w:top w:val="single" w:sz="8" w:space="0" w:color="4BACC6"/>
              <w:left w:val="single" w:sz="8" w:space="0" w:color="4BACC6"/>
              <w:bottom w:val="nil"/>
              <w:right w:val="single" w:sz="8" w:space="0" w:color="4BACC6"/>
            </w:tcBorders>
            <w:vAlign w:val="center"/>
            <w:hideMark/>
          </w:tcPr>
          <w:p w:rsidR="003D7725" w:rsidRPr="00C472AD" w:rsidRDefault="003D7725" w:rsidP="003D7725">
            <w:pPr>
              <w:rPr>
                <w:rFonts w:ascii="Calibri" w:hAnsi="Calibri"/>
                <w:b/>
                <w:bCs/>
                <w:sz w:val="18"/>
                <w:szCs w:val="18"/>
                <w:lang w:val="sq-AL"/>
              </w:rPr>
            </w:pPr>
          </w:p>
        </w:tc>
        <w:tc>
          <w:tcPr>
            <w:tcW w:w="960" w:type="dxa"/>
            <w:tcBorders>
              <w:top w:val="nil"/>
              <w:left w:val="nil"/>
              <w:bottom w:val="nil"/>
              <w:right w:val="nil"/>
            </w:tcBorders>
            <w:shd w:val="clear" w:color="auto" w:fill="auto"/>
            <w:vAlign w:val="center"/>
            <w:hideMark/>
          </w:tcPr>
          <w:p w:rsidR="003D7725" w:rsidRPr="00C472AD" w:rsidRDefault="003D7725" w:rsidP="003D7725">
            <w:pPr>
              <w:rPr>
                <w:rFonts w:ascii="Calibri" w:hAnsi="Calibri"/>
                <w:b/>
                <w:bCs/>
                <w:sz w:val="18"/>
                <w:szCs w:val="18"/>
                <w:lang w:val="sq-AL"/>
              </w:rPr>
            </w:pPr>
            <w:r w:rsidRPr="00C472AD">
              <w:rPr>
                <w:rFonts w:ascii="Calibri" w:hAnsi="Calibri"/>
                <w:b/>
                <w:bCs/>
                <w:sz w:val="18"/>
                <w:szCs w:val="18"/>
                <w:lang w:val="sq-AL"/>
              </w:rPr>
              <w:t>Korrente</w:t>
            </w:r>
          </w:p>
        </w:tc>
        <w:tc>
          <w:tcPr>
            <w:tcW w:w="1115" w:type="dxa"/>
            <w:tcBorders>
              <w:top w:val="nil"/>
              <w:left w:val="single" w:sz="8" w:space="0" w:color="4BACC6"/>
              <w:bottom w:val="nil"/>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Investime</w:t>
            </w:r>
          </w:p>
        </w:tc>
        <w:tc>
          <w:tcPr>
            <w:tcW w:w="990" w:type="dxa"/>
            <w:tcBorders>
              <w:top w:val="nil"/>
              <w:left w:val="nil"/>
              <w:bottom w:val="nil"/>
              <w:right w:val="nil"/>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Korrente</w:t>
            </w:r>
          </w:p>
        </w:tc>
        <w:tc>
          <w:tcPr>
            <w:tcW w:w="1044" w:type="dxa"/>
            <w:tcBorders>
              <w:top w:val="nil"/>
              <w:left w:val="single" w:sz="8" w:space="0" w:color="4BACC6"/>
              <w:bottom w:val="nil"/>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Investime</w:t>
            </w:r>
          </w:p>
        </w:tc>
        <w:tc>
          <w:tcPr>
            <w:tcW w:w="1064" w:type="dxa"/>
            <w:tcBorders>
              <w:top w:val="nil"/>
              <w:left w:val="nil"/>
              <w:bottom w:val="nil"/>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Korrente</w:t>
            </w:r>
          </w:p>
        </w:tc>
        <w:tc>
          <w:tcPr>
            <w:tcW w:w="952" w:type="dxa"/>
            <w:tcBorders>
              <w:top w:val="nil"/>
              <w:left w:val="nil"/>
              <w:bottom w:val="nil"/>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Investime</w:t>
            </w:r>
          </w:p>
        </w:tc>
      </w:tr>
      <w:tr w:rsidR="003D7725" w:rsidRPr="00C472AD" w:rsidTr="00545CF4">
        <w:trPr>
          <w:trHeight w:val="214"/>
          <w:jc w:val="center"/>
        </w:trPr>
        <w:tc>
          <w:tcPr>
            <w:tcW w:w="526" w:type="dxa"/>
            <w:tcBorders>
              <w:top w:val="single" w:sz="8" w:space="0" w:color="4BACC6"/>
              <w:left w:val="single" w:sz="8" w:space="0" w:color="4BACC6"/>
              <w:bottom w:val="single" w:sz="8" w:space="0" w:color="4BACC6"/>
              <w:right w:val="nil"/>
            </w:tcBorders>
            <w:shd w:val="clear" w:color="000000" w:fill="FFFFFF"/>
            <w:vAlign w:val="center"/>
            <w:hideMark/>
          </w:tcPr>
          <w:p w:rsidR="003D7725" w:rsidRPr="00C472AD" w:rsidRDefault="003D7725" w:rsidP="003D7725">
            <w:pPr>
              <w:jc w:val="right"/>
              <w:rPr>
                <w:rFonts w:ascii="Calibri" w:hAnsi="Calibri"/>
                <w:b/>
                <w:bCs/>
                <w:sz w:val="18"/>
                <w:szCs w:val="18"/>
                <w:lang w:val="sq-AL"/>
              </w:rPr>
            </w:pPr>
            <w:r w:rsidRPr="00C472AD">
              <w:rPr>
                <w:rFonts w:ascii="Calibri" w:hAnsi="Calibri"/>
                <w:b/>
                <w:bCs/>
                <w:sz w:val="18"/>
                <w:szCs w:val="18"/>
                <w:lang w:val="sq-AL"/>
              </w:rPr>
              <w:t>1</w:t>
            </w:r>
          </w:p>
        </w:tc>
        <w:tc>
          <w:tcPr>
            <w:tcW w:w="238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3D7725" w:rsidRPr="00C472AD" w:rsidRDefault="003D7725" w:rsidP="003D7725">
            <w:pPr>
              <w:rPr>
                <w:rFonts w:ascii="Calibri" w:hAnsi="Calibri"/>
                <w:sz w:val="18"/>
                <w:szCs w:val="18"/>
                <w:lang w:val="sq-AL"/>
              </w:rPr>
            </w:pPr>
            <w:r w:rsidRPr="00C472AD">
              <w:rPr>
                <w:rFonts w:ascii="Calibri" w:hAnsi="Calibri"/>
                <w:sz w:val="18"/>
                <w:szCs w:val="18"/>
                <w:lang w:val="sq-AL"/>
              </w:rPr>
              <w:t>Planifikim, Administrim</w:t>
            </w:r>
          </w:p>
        </w:tc>
        <w:tc>
          <w:tcPr>
            <w:tcW w:w="960"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174,807</w:t>
            </w:r>
          </w:p>
        </w:tc>
        <w:tc>
          <w:tcPr>
            <w:tcW w:w="1115"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2,000</w:t>
            </w:r>
          </w:p>
        </w:tc>
        <w:tc>
          <w:tcPr>
            <w:tcW w:w="990" w:type="dxa"/>
            <w:tcBorders>
              <w:top w:val="single" w:sz="8" w:space="0" w:color="4BACC6"/>
              <w:left w:val="nil"/>
              <w:bottom w:val="single" w:sz="8" w:space="0" w:color="4BACC6"/>
              <w:right w:val="nil"/>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68,524</w:t>
            </w:r>
          </w:p>
        </w:tc>
        <w:tc>
          <w:tcPr>
            <w:tcW w:w="1044"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w:t>
            </w:r>
          </w:p>
        </w:tc>
        <w:tc>
          <w:tcPr>
            <w:tcW w:w="1064"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39.2%</w:t>
            </w:r>
          </w:p>
        </w:tc>
        <w:tc>
          <w:tcPr>
            <w:tcW w:w="952" w:type="dxa"/>
            <w:tcBorders>
              <w:top w:val="single" w:sz="8" w:space="0" w:color="4BACC6"/>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0.0%</w:t>
            </w:r>
          </w:p>
        </w:tc>
      </w:tr>
      <w:tr w:rsidR="003D7725" w:rsidRPr="00C472AD" w:rsidTr="00545CF4">
        <w:trPr>
          <w:trHeight w:val="241"/>
          <w:jc w:val="center"/>
        </w:trPr>
        <w:tc>
          <w:tcPr>
            <w:tcW w:w="526" w:type="dxa"/>
            <w:tcBorders>
              <w:top w:val="nil"/>
              <w:left w:val="single" w:sz="8" w:space="0" w:color="4BACC6"/>
              <w:bottom w:val="nil"/>
              <w:right w:val="nil"/>
            </w:tcBorders>
            <w:shd w:val="clear" w:color="000000" w:fill="FFFFFF"/>
            <w:vAlign w:val="center"/>
            <w:hideMark/>
          </w:tcPr>
          <w:p w:rsidR="003D7725" w:rsidRPr="00C472AD" w:rsidRDefault="003D7725" w:rsidP="003D7725">
            <w:pPr>
              <w:jc w:val="right"/>
              <w:rPr>
                <w:rFonts w:ascii="Calibri" w:hAnsi="Calibri"/>
                <w:b/>
                <w:bCs/>
                <w:sz w:val="18"/>
                <w:szCs w:val="18"/>
                <w:lang w:val="sq-AL"/>
              </w:rPr>
            </w:pPr>
            <w:r w:rsidRPr="00C472AD">
              <w:rPr>
                <w:rFonts w:ascii="Calibri" w:hAnsi="Calibri"/>
                <w:b/>
                <w:bCs/>
                <w:sz w:val="18"/>
                <w:szCs w:val="18"/>
                <w:lang w:val="sq-AL"/>
              </w:rPr>
              <w:t>2</w:t>
            </w:r>
          </w:p>
        </w:tc>
        <w:tc>
          <w:tcPr>
            <w:tcW w:w="2380" w:type="dxa"/>
            <w:tcBorders>
              <w:top w:val="nil"/>
              <w:left w:val="single" w:sz="8" w:space="0" w:color="4BACC6"/>
              <w:bottom w:val="nil"/>
              <w:right w:val="single" w:sz="8" w:space="0" w:color="4BACC6"/>
            </w:tcBorders>
            <w:shd w:val="clear" w:color="auto" w:fill="auto"/>
            <w:vAlign w:val="center"/>
            <w:hideMark/>
          </w:tcPr>
          <w:p w:rsidR="003D7725" w:rsidRPr="00C472AD" w:rsidRDefault="003D7725" w:rsidP="003D7725">
            <w:pPr>
              <w:rPr>
                <w:rFonts w:ascii="Calibri" w:hAnsi="Calibri"/>
                <w:sz w:val="18"/>
                <w:szCs w:val="18"/>
                <w:lang w:val="sq-AL"/>
              </w:rPr>
            </w:pPr>
            <w:r w:rsidRPr="00C472AD">
              <w:rPr>
                <w:rFonts w:ascii="Calibri" w:hAnsi="Calibri"/>
                <w:sz w:val="18"/>
                <w:szCs w:val="18"/>
                <w:lang w:val="sq-AL"/>
              </w:rPr>
              <w:t>Mbrojtja e Mjedisit</w:t>
            </w:r>
          </w:p>
        </w:tc>
        <w:tc>
          <w:tcPr>
            <w:tcW w:w="960" w:type="dxa"/>
            <w:tcBorders>
              <w:top w:val="nil"/>
              <w:left w:val="nil"/>
              <w:bottom w:val="nil"/>
              <w:right w:val="nil"/>
            </w:tcBorders>
            <w:shd w:val="clear" w:color="000000" w:fill="FFFFFF"/>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422,308</w:t>
            </w:r>
          </w:p>
        </w:tc>
        <w:tc>
          <w:tcPr>
            <w:tcW w:w="1115" w:type="dxa"/>
            <w:tcBorders>
              <w:top w:val="nil"/>
              <w:left w:val="single" w:sz="8" w:space="0" w:color="4BACC6"/>
              <w:bottom w:val="nil"/>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120,000</w:t>
            </w:r>
          </w:p>
        </w:tc>
        <w:tc>
          <w:tcPr>
            <w:tcW w:w="990" w:type="dxa"/>
            <w:tcBorders>
              <w:top w:val="nil"/>
              <w:left w:val="nil"/>
              <w:bottom w:val="nil"/>
              <w:right w:val="nil"/>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130,182</w:t>
            </w:r>
          </w:p>
        </w:tc>
        <w:tc>
          <w:tcPr>
            <w:tcW w:w="1044" w:type="dxa"/>
            <w:tcBorders>
              <w:top w:val="nil"/>
              <w:left w:val="single" w:sz="8" w:space="0" w:color="4BACC6"/>
              <w:bottom w:val="nil"/>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10,816</w:t>
            </w:r>
          </w:p>
        </w:tc>
        <w:tc>
          <w:tcPr>
            <w:tcW w:w="1064" w:type="dxa"/>
            <w:tcBorders>
              <w:top w:val="nil"/>
              <w:left w:val="nil"/>
              <w:bottom w:val="nil"/>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30.8%</w:t>
            </w:r>
          </w:p>
        </w:tc>
        <w:tc>
          <w:tcPr>
            <w:tcW w:w="952" w:type="dxa"/>
            <w:tcBorders>
              <w:top w:val="nil"/>
              <w:left w:val="nil"/>
              <w:bottom w:val="nil"/>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9.0%</w:t>
            </w:r>
          </w:p>
        </w:tc>
      </w:tr>
      <w:tr w:rsidR="003D7725" w:rsidRPr="00C472AD" w:rsidTr="00545CF4">
        <w:trPr>
          <w:trHeight w:val="250"/>
          <w:jc w:val="center"/>
        </w:trPr>
        <w:tc>
          <w:tcPr>
            <w:tcW w:w="526" w:type="dxa"/>
            <w:tcBorders>
              <w:top w:val="single" w:sz="8" w:space="0" w:color="4BACC6"/>
              <w:left w:val="single" w:sz="8" w:space="0" w:color="4BACC6"/>
              <w:bottom w:val="single" w:sz="8" w:space="0" w:color="4BACC6"/>
              <w:right w:val="nil"/>
            </w:tcBorders>
            <w:shd w:val="clear" w:color="000000" w:fill="FFFFFF"/>
            <w:vAlign w:val="center"/>
            <w:hideMark/>
          </w:tcPr>
          <w:p w:rsidR="003D7725" w:rsidRPr="00C472AD" w:rsidRDefault="003D7725" w:rsidP="003D7725">
            <w:pPr>
              <w:rPr>
                <w:rFonts w:ascii="Calibri" w:hAnsi="Calibri"/>
                <w:b/>
                <w:bCs/>
                <w:sz w:val="18"/>
                <w:szCs w:val="18"/>
                <w:lang w:val="sq-AL"/>
              </w:rPr>
            </w:pPr>
            <w:r w:rsidRPr="00C472AD">
              <w:rPr>
                <w:rFonts w:ascii="Calibri" w:hAnsi="Calibri"/>
                <w:b/>
                <w:bCs/>
                <w:sz w:val="18"/>
                <w:szCs w:val="18"/>
                <w:lang w:val="sq-AL"/>
              </w:rPr>
              <w:t> </w:t>
            </w:r>
          </w:p>
        </w:tc>
        <w:tc>
          <w:tcPr>
            <w:tcW w:w="238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3D7725" w:rsidRPr="00C472AD" w:rsidRDefault="003D7725" w:rsidP="003D7725">
            <w:pPr>
              <w:rPr>
                <w:rFonts w:ascii="Calibri" w:hAnsi="Calibri"/>
                <w:i/>
                <w:iCs/>
                <w:sz w:val="18"/>
                <w:szCs w:val="18"/>
                <w:lang w:val="sq-AL"/>
              </w:rPr>
            </w:pPr>
            <w:r w:rsidRPr="00C472AD">
              <w:rPr>
                <w:rFonts w:ascii="Calibri" w:hAnsi="Calibri"/>
                <w:i/>
                <w:iCs/>
                <w:sz w:val="18"/>
                <w:szCs w:val="18"/>
                <w:lang w:val="sq-AL"/>
              </w:rPr>
              <w:t>Financimi i huaj</w:t>
            </w:r>
          </w:p>
        </w:tc>
        <w:tc>
          <w:tcPr>
            <w:tcW w:w="960"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1115"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390,000</w:t>
            </w:r>
          </w:p>
        </w:tc>
        <w:tc>
          <w:tcPr>
            <w:tcW w:w="990"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1044"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1,919</w:t>
            </w:r>
          </w:p>
        </w:tc>
        <w:tc>
          <w:tcPr>
            <w:tcW w:w="1064" w:type="dxa"/>
            <w:tcBorders>
              <w:top w:val="single" w:sz="8" w:space="0" w:color="4BACC6"/>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952" w:type="dxa"/>
            <w:tcBorders>
              <w:top w:val="single" w:sz="8" w:space="0" w:color="4BACC6"/>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i/>
                <w:iCs/>
                <w:sz w:val="18"/>
                <w:szCs w:val="18"/>
                <w:lang w:val="sq-AL"/>
              </w:rPr>
            </w:pPr>
            <w:r w:rsidRPr="00C472AD">
              <w:rPr>
                <w:rFonts w:ascii="Calibri" w:hAnsi="Calibri"/>
                <w:b/>
                <w:bCs/>
                <w:i/>
                <w:iCs/>
                <w:sz w:val="18"/>
                <w:szCs w:val="18"/>
                <w:lang w:val="sq-AL"/>
              </w:rPr>
              <w:t>0.5%</w:t>
            </w:r>
          </w:p>
        </w:tc>
      </w:tr>
      <w:tr w:rsidR="003D7725" w:rsidRPr="00C472AD" w:rsidTr="00545CF4">
        <w:trPr>
          <w:trHeight w:val="250"/>
          <w:jc w:val="center"/>
        </w:trPr>
        <w:tc>
          <w:tcPr>
            <w:tcW w:w="526" w:type="dxa"/>
            <w:tcBorders>
              <w:top w:val="nil"/>
              <w:left w:val="single" w:sz="8" w:space="0" w:color="4BACC6"/>
              <w:bottom w:val="single" w:sz="8" w:space="0" w:color="4BACC6"/>
              <w:right w:val="single" w:sz="8" w:space="0" w:color="4BACC6"/>
            </w:tcBorders>
            <w:shd w:val="clear" w:color="000000" w:fill="FFFFFF"/>
            <w:vAlign w:val="center"/>
            <w:hideMark/>
          </w:tcPr>
          <w:p w:rsidR="003D7725" w:rsidRPr="00C472AD" w:rsidRDefault="003D7725" w:rsidP="003D7725">
            <w:pPr>
              <w:jc w:val="right"/>
              <w:rPr>
                <w:rFonts w:ascii="Calibri" w:hAnsi="Calibri"/>
                <w:b/>
                <w:bCs/>
                <w:sz w:val="18"/>
                <w:szCs w:val="18"/>
                <w:lang w:val="sq-AL"/>
              </w:rPr>
            </w:pPr>
            <w:r w:rsidRPr="00C472AD">
              <w:rPr>
                <w:rFonts w:ascii="Calibri" w:hAnsi="Calibri"/>
                <w:b/>
                <w:bCs/>
                <w:sz w:val="18"/>
                <w:szCs w:val="18"/>
                <w:lang w:val="sq-AL"/>
              </w:rPr>
              <w:t>2</w:t>
            </w:r>
          </w:p>
        </w:tc>
        <w:tc>
          <w:tcPr>
            <w:tcW w:w="2380" w:type="dxa"/>
            <w:tcBorders>
              <w:top w:val="nil"/>
              <w:left w:val="nil"/>
              <w:bottom w:val="nil"/>
              <w:right w:val="single" w:sz="8" w:space="0" w:color="4BACC6"/>
            </w:tcBorders>
            <w:shd w:val="clear" w:color="auto" w:fill="auto"/>
            <w:vAlign w:val="center"/>
            <w:hideMark/>
          </w:tcPr>
          <w:p w:rsidR="003D7725" w:rsidRPr="00C472AD" w:rsidRDefault="003D7725" w:rsidP="003D7725">
            <w:pPr>
              <w:rPr>
                <w:rFonts w:ascii="Calibri" w:hAnsi="Calibri"/>
                <w:sz w:val="18"/>
                <w:szCs w:val="18"/>
                <w:lang w:val="sq-AL"/>
              </w:rPr>
            </w:pPr>
            <w:r w:rsidRPr="00C472AD">
              <w:rPr>
                <w:rFonts w:ascii="Calibri" w:hAnsi="Calibri"/>
                <w:sz w:val="18"/>
                <w:szCs w:val="18"/>
                <w:lang w:val="sq-AL"/>
              </w:rPr>
              <w:t>Administrimi i Pyjeve</w:t>
            </w:r>
          </w:p>
        </w:tc>
        <w:tc>
          <w:tcPr>
            <w:tcW w:w="96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325,539</w:t>
            </w:r>
          </w:p>
        </w:tc>
        <w:tc>
          <w:tcPr>
            <w:tcW w:w="1115"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39,500</w:t>
            </w:r>
          </w:p>
        </w:tc>
        <w:tc>
          <w:tcPr>
            <w:tcW w:w="99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95,361</w:t>
            </w:r>
          </w:p>
        </w:tc>
        <w:tc>
          <w:tcPr>
            <w:tcW w:w="104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w:t>
            </w:r>
          </w:p>
        </w:tc>
        <w:tc>
          <w:tcPr>
            <w:tcW w:w="106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29.3%</w:t>
            </w:r>
          </w:p>
        </w:tc>
        <w:tc>
          <w:tcPr>
            <w:tcW w:w="952" w:type="dxa"/>
            <w:tcBorders>
              <w:top w:val="nil"/>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0.0%</w:t>
            </w:r>
          </w:p>
        </w:tc>
      </w:tr>
      <w:tr w:rsidR="003D7725" w:rsidRPr="00C472AD" w:rsidTr="00545CF4">
        <w:trPr>
          <w:trHeight w:val="160"/>
          <w:jc w:val="center"/>
        </w:trPr>
        <w:tc>
          <w:tcPr>
            <w:tcW w:w="526" w:type="dxa"/>
            <w:tcBorders>
              <w:top w:val="nil"/>
              <w:left w:val="single" w:sz="8" w:space="0" w:color="4BACC6"/>
              <w:bottom w:val="nil"/>
              <w:right w:val="nil"/>
            </w:tcBorders>
            <w:shd w:val="clear" w:color="000000" w:fill="FFFFFF"/>
            <w:vAlign w:val="center"/>
            <w:hideMark/>
          </w:tcPr>
          <w:p w:rsidR="003D7725" w:rsidRPr="00C472AD" w:rsidRDefault="003D7725" w:rsidP="003D7725">
            <w:pPr>
              <w:jc w:val="right"/>
              <w:rPr>
                <w:rFonts w:ascii="Calibri" w:hAnsi="Calibri"/>
                <w:b/>
                <w:bCs/>
                <w:sz w:val="18"/>
                <w:szCs w:val="18"/>
                <w:lang w:val="sq-AL"/>
              </w:rPr>
            </w:pPr>
            <w:r w:rsidRPr="00C472AD">
              <w:rPr>
                <w:rFonts w:ascii="Calibri" w:hAnsi="Calibri"/>
                <w:b/>
                <w:bCs/>
                <w:sz w:val="18"/>
                <w:szCs w:val="18"/>
                <w:lang w:val="sq-AL"/>
              </w:rPr>
              <w:t>4</w:t>
            </w:r>
          </w:p>
        </w:tc>
        <w:tc>
          <w:tcPr>
            <w:tcW w:w="238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3D7725" w:rsidRPr="00C472AD" w:rsidRDefault="003D7725" w:rsidP="003D7725">
            <w:pPr>
              <w:rPr>
                <w:rFonts w:ascii="Calibri" w:hAnsi="Calibri"/>
                <w:sz w:val="18"/>
                <w:szCs w:val="18"/>
                <w:lang w:val="sq-AL"/>
              </w:rPr>
            </w:pPr>
            <w:r w:rsidRPr="00C472AD">
              <w:rPr>
                <w:rFonts w:ascii="Calibri" w:hAnsi="Calibri"/>
                <w:sz w:val="18"/>
                <w:szCs w:val="18"/>
                <w:lang w:val="sq-AL"/>
              </w:rPr>
              <w:t>Zhvillimi i Turizmit</w:t>
            </w:r>
          </w:p>
        </w:tc>
        <w:tc>
          <w:tcPr>
            <w:tcW w:w="96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391,039</w:t>
            </w:r>
          </w:p>
        </w:tc>
        <w:tc>
          <w:tcPr>
            <w:tcW w:w="1115"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369,240</w:t>
            </w:r>
          </w:p>
        </w:tc>
        <w:tc>
          <w:tcPr>
            <w:tcW w:w="99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34,274</w:t>
            </w:r>
          </w:p>
        </w:tc>
        <w:tc>
          <w:tcPr>
            <w:tcW w:w="104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sz w:val="18"/>
                <w:szCs w:val="18"/>
                <w:lang w:val="sq-AL"/>
              </w:rPr>
            </w:pPr>
            <w:r w:rsidRPr="00C472AD">
              <w:rPr>
                <w:rFonts w:ascii="Calibri" w:hAnsi="Calibri"/>
                <w:sz w:val="18"/>
                <w:szCs w:val="18"/>
                <w:lang w:val="sq-AL"/>
              </w:rPr>
              <w:t>233,397</w:t>
            </w:r>
          </w:p>
        </w:tc>
        <w:tc>
          <w:tcPr>
            <w:tcW w:w="106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8.8%</w:t>
            </w:r>
          </w:p>
        </w:tc>
        <w:tc>
          <w:tcPr>
            <w:tcW w:w="952" w:type="dxa"/>
            <w:tcBorders>
              <w:top w:val="nil"/>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63.2%</w:t>
            </w:r>
          </w:p>
        </w:tc>
      </w:tr>
      <w:tr w:rsidR="003D7725" w:rsidRPr="00C472AD" w:rsidTr="00545CF4">
        <w:trPr>
          <w:trHeight w:val="187"/>
          <w:jc w:val="center"/>
        </w:trPr>
        <w:tc>
          <w:tcPr>
            <w:tcW w:w="526"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3D7725" w:rsidRPr="00C472AD" w:rsidRDefault="003D7725" w:rsidP="003D7725">
            <w:pPr>
              <w:rPr>
                <w:rFonts w:ascii="Calibri" w:hAnsi="Calibri"/>
                <w:sz w:val="18"/>
                <w:szCs w:val="18"/>
                <w:lang w:val="sq-AL"/>
              </w:rPr>
            </w:pPr>
            <w:r w:rsidRPr="00C472AD">
              <w:rPr>
                <w:rFonts w:ascii="Calibri" w:hAnsi="Calibri"/>
                <w:sz w:val="18"/>
                <w:szCs w:val="18"/>
                <w:lang w:val="sq-AL"/>
              </w:rPr>
              <w:t> </w:t>
            </w:r>
          </w:p>
        </w:tc>
        <w:tc>
          <w:tcPr>
            <w:tcW w:w="238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rPr>
                <w:rFonts w:ascii="Calibri" w:hAnsi="Calibri"/>
                <w:i/>
                <w:iCs/>
                <w:sz w:val="18"/>
                <w:szCs w:val="18"/>
                <w:lang w:val="sq-AL"/>
              </w:rPr>
            </w:pPr>
            <w:r w:rsidRPr="00C472AD">
              <w:rPr>
                <w:rFonts w:ascii="Calibri" w:hAnsi="Calibri"/>
                <w:i/>
                <w:iCs/>
                <w:sz w:val="18"/>
                <w:szCs w:val="18"/>
                <w:lang w:val="sq-AL"/>
              </w:rPr>
              <w:t>Financimi i huaj</w:t>
            </w:r>
          </w:p>
        </w:tc>
        <w:tc>
          <w:tcPr>
            <w:tcW w:w="96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1115"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100,000</w:t>
            </w:r>
          </w:p>
        </w:tc>
        <w:tc>
          <w:tcPr>
            <w:tcW w:w="99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104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0</w:t>
            </w:r>
          </w:p>
        </w:tc>
        <w:tc>
          <w:tcPr>
            <w:tcW w:w="106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i/>
                <w:iCs/>
                <w:sz w:val="18"/>
                <w:szCs w:val="18"/>
                <w:lang w:val="sq-AL"/>
              </w:rPr>
            </w:pPr>
            <w:r w:rsidRPr="00C472AD">
              <w:rPr>
                <w:rFonts w:ascii="Calibri" w:hAnsi="Calibri"/>
                <w:i/>
                <w:iCs/>
                <w:sz w:val="18"/>
                <w:szCs w:val="18"/>
                <w:lang w:val="sq-AL"/>
              </w:rPr>
              <w:t>-</w:t>
            </w:r>
          </w:p>
        </w:tc>
        <w:tc>
          <w:tcPr>
            <w:tcW w:w="952" w:type="dxa"/>
            <w:tcBorders>
              <w:top w:val="nil"/>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i/>
                <w:iCs/>
                <w:sz w:val="18"/>
                <w:szCs w:val="18"/>
                <w:lang w:val="sq-AL"/>
              </w:rPr>
            </w:pPr>
            <w:r w:rsidRPr="00C472AD">
              <w:rPr>
                <w:rFonts w:ascii="Calibri" w:hAnsi="Calibri"/>
                <w:b/>
                <w:bCs/>
                <w:i/>
                <w:iCs/>
                <w:sz w:val="18"/>
                <w:szCs w:val="18"/>
                <w:lang w:val="sq-AL"/>
              </w:rPr>
              <w:t>0.0%</w:t>
            </w:r>
          </w:p>
        </w:tc>
      </w:tr>
      <w:tr w:rsidR="003D7725" w:rsidRPr="00C472AD" w:rsidTr="00545CF4">
        <w:trPr>
          <w:trHeight w:val="214"/>
          <w:jc w:val="center"/>
        </w:trPr>
        <w:tc>
          <w:tcPr>
            <w:tcW w:w="2906" w:type="dxa"/>
            <w:gridSpan w:val="2"/>
            <w:tcBorders>
              <w:top w:val="single" w:sz="8" w:space="0" w:color="4BACC6"/>
              <w:left w:val="single" w:sz="8" w:space="0" w:color="4BACC6"/>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Totali</w:t>
            </w:r>
          </w:p>
        </w:tc>
        <w:tc>
          <w:tcPr>
            <w:tcW w:w="96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sz w:val="18"/>
                <w:szCs w:val="18"/>
                <w:lang w:val="sq-AL"/>
              </w:rPr>
            </w:pPr>
            <w:r w:rsidRPr="00C472AD">
              <w:rPr>
                <w:rFonts w:ascii="Calibri" w:hAnsi="Calibri"/>
                <w:b/>
                <w:sz w:val="18"/>
                <w:szCs w:val="18"/>
                <w:lang w:val="sq-AL"/>
              </w:rPr>
              <w:t>1,313,692</w:t>
            </w:r>
          </w:p>
        </w:tc>
        <w:tc>
          <w:tcPr>
            <w:tcW w:w="1115"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sz w:val="18"/>
                <w:szCs w:val="18"/>
                <w:lang w:val="sq-AL"/>
              </w:rPr>
            </w:pPr>
            <w:r w:rsidRPr="00C472AD">
              <w:rPr>
                <w:rFonts w:ascii="Calibri" w:hAnsi="Calibri"/>
                <w:b/>
                <w:sz w:val="18"/>
                <w:szCs w:val="18"/>
                <w:lang w:val="sq-AL"/>
              </w:rPr>
              <w:t>1,020,740</w:t>
            </w:r>
          </w:p>
        </w:tc>
        <w:tc>
          <w:tcPr>
            <w:tcW w:w="990"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sz w:val="18"/>
                <w:szCs w:val="18"/>
                <w:lang w:val="sq-AL"/>
              </w:rPr>
            </w:pPr>
            <w:r w:rsidRPr="00C472AD">
              <w:rPr>
                <w:rFonts w:ascii="Calibri" w:hAnsi="Calibri"/>
                <w:b/>
                <w:sz w:val="18"/>
                <w:szCs w:val="18"/>
                <w:lang w:val="sq-AL"/>
              </w:rPr>
              <w:t>328,341</w:t>
            </w:r>
          </w:p>
        </w:tc>
        <w:tc>
          <w:tcPr>
            <w:tcW w:w="104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sz w:val="18"/>
                <w:szCs w:val="18"/>
                <w:lang w:val="sq-AL"/>
              </w:rPr>
            </w:pPr>
            <w:r w:rsidRPr="00C472AD">
              <w:rPr>
                <w:rFonts w:ascii="Calibri" w:hAnsi="Calibri"/>
                <w:b/>
                <w:sz w:val="18"/>
                <w:szCs w:val="18"/>
                <w:lang w:val="sq-AL"/>
              </w:rPr>
              <w:t>246,132</w:t>
            </w:r>
          </w:p>
        </w:tc>
        <w:tc>
          <w:tcPr>
            <w:tcW w:w="1064" w:type="dxa"/>
            <w:tcBorders>
              <w:top w:val="nil"/>
              <w:left w:val="nil"/>
              <w:bottom w:val="single" w:sz="8" w:space="0" w:color="4BACC6"/>
              <w:right w:val="single" w:sz="8" w:space="0" w:color="4BACC6"/>
            </w:tcBorders>
            <w:shd w:val="clear" w:color="auto" w:fill="auto"/>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25.0%</w:t>
            </w:r>
          </w:p>
        </w:tc>
        <w:tc>
          <w:tcPr>
            <w:tcW w:w="952" w:type="dxa"/>
            <w:tcBorders>
              <w:top w:val="nil"/>
              <w:left w:val="nil"/>
              <w:bottom w:val="single" w:sz="8" w:space="0" w:color="4BACC6"/>
              <w:right w:val="single" w:sz="8" w:space="0" w:color="4BACC6"/>
            </w:tcBorders>
            <w:shd w:val="clear" w:color="000000" w:fill="FFFFFF"/>
            <w:vAlign w:val="center"/>
            <w:hideMark/>
          </w:tcPr>
          <w:p w:rsidR="003D7725" w:rsidRPr="00C472AD" w:rsidRDefault="003D7725" w:rsidP="003D7725">
            <w:pPr>
              <w:jc w:val="center"/>
              <w:rPr>
                <w:rFonts w:ascii="Calibri" w:hAnsi="Calibri"/>
                <w:b/>
                <w:bCs/>
                <w:sz w:val="18"/>
                <w:szCs w:val="18"/>
                <w:lang w:val="sq-AL"/>
              </w:rPr>
            </w:pPr>
            <w:r w:rsidRPr="00C472AD">
              <w:rPr>
                <w:rFonts w:ascii="Calibri" w:hAnsi="Calibri"/>
                <w:b/>
                <w:bCs/>
                <w:sz w:val="18"/>
                <w:szCs w:val="18"/>
                <w:lang w:val="sq-AL"/>
              </w:rPr>
              <w:t>24.1%</w:t>
            </w:r>
          </w:p>
        </w:tc>
      </w:tr>
    </w:tbl>
    <w:p w:rsidR="00990CDF" w:rsidRPr="00BF005F" w:rsidRDefault="00990CDF" w:rsidP="003D7725">
      <w:pPr>
        <w:spacing w:before="240" w:after="120" w:line="276" w:lineRule="auto"/>
        <w:contextualSpacing/>
        <w:jc w:val="center"/>
        <w:rPr>
          <w:rFonts w:asciiTheme="minorHAnsi" w:eastAsia="MS Mincho" w:hAnsiTheme="minorHAnsi"/>
          <w:b/>
          <w:lang w:val="sq-AL"/>
        </w:rPr>
      </w:pPr>
    </w:p>
    <w:p w:rsidR="00545CF4" w:rsidRDefault="00545CF4" w:rsidP="003D7725">
      <w:pPr>
        <w:spacing w:line="276" w:lineRule="auto"/>
        <w:contextualSpacing/>
        <w:jc w:val="both"/>
        <w:rPr>
          <w:rFonts w:asciiTheme="minorHAnsi" w:eastAsia="MS Mincho" w:hAnsiTheme="minorHAnsi"/>
          <w:b/>
          <w:lang w:val="sq-AL"/>
        </w:rPr>
      </w:pPr>
    </w:p>
    <w:p w:rsidR="003D7725" w:rsidRPr="00C472AD" w:rsidRDefault="00990CDF" w:rsidP="00545CF4">
      <w:pPr>
        <w:contextualSpacing/>
        <w:jc w:val="both"/>
        <w:rPr>
          <w:rFonts w:ascii="Calibri" w:hAnsi="Calibri"/>
          <w:lang w:val="sq-AL"/>
        </w:rPr>
      </w:pPr>
      <w:r w:rsidRPr="00BF005F">
        <w:rPr>
          <w:rFonts w:asciiTheme="minorHAnsi" w:eastAsia="MS Mincho" w:hAnsiTheme="minorHAnsi"/>
          <w:b/>
          <w:lang w:val="sq-AL"/>
        </w:rPr>
        <w:lastRenderedPageBreak/>
        <w:t>Në programin “Mbrojtja e Mjedisit</w:t>
      </w:r>
      <w:r w:rsidRPr="00BF005F">
        <w:rPr>
          <w:rFonts w:asciiTheme="minorHAnsi" w:eastAsia="MS Mincho" w:hAnsiTheme="minorHAnsi"/>
          <w:lang w:val="sq-AL"/>
        </w:rPr>
        <w:t xml:space="preserve">” </w:t>
      </w:r>
      <w:r w:rsidR="003D7725" w:rsidRPr="00C472AD">
        <w:rPr>
          <w:rFonts w:ascii="Calibri" w:hAnsi="Calibri"/>
          <w:lang w:val="sq-AL"/>
        </w:rPr>
        <w:t xml:space="preserve">për 4 Mujorin e parë të vitit 2022, fondet janë realizuar në nivelin 26% kundrejt fondeve vjetore te planifikuara. </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“Inspektime te kryera”, është realizuar në masën 23% përgjatë 4 mujorit, kundrejt fondeve të planifikuara për vitin 2022. </w:t>
      </w:r>
    </w:p>
    <w:p w:rsidR="003D7725" w:rsidRPr="00545CF4" w:rsidRDefault="003D7725" w:rsidP="003F6B21">
      <w:pPr>
        <w:numPr>
          <w:ilvl w:val="0"/>
          <w:numId w:val="14"/>
        </w:numPr>
        <w:spacing w:before="240"/>
        <w:contextualSpacing/>
        <w:jc w:val="both"/>
        <w:rPr>
          <w:rFonts w:ascii="Calibri" w:hAnsi="Calibri"/>
          <w:i/>
          <w:sz w:val="22"/>
          <w:lang w:val="sq-AL"/>
        </w:rPr>
      </w:pPr>
      <w:r w:rsidRPr="00545CF4">
        <w:rPr>
          <w:rFonts w:ascii="Calibri" w:hAnsi="Calibri"/>
          <w:i/>
          <w:sz w:val="22"/>
          <w:lang w:val="sq-AL"/>
        </w:rPr>
        <w:t xml:space="preserve">Produkti “Raporte monitorimi” është realizuar në masën 32% përgjatë 4 mujorit, kundrejt fondeve të planifikuara për vitin 2022. </w:t>
      </w:r>
    </w:p>
    <w:p w:rsidR="003D7725" w:rsidRPr="00545CF4" w:rsidRDefault="003D7725" w:rsidP="003F6B21">
      <w:pPr>
        <w:numPr>
          <w:ilvl w:val="0"/>
          <w:numId w:val="14"/>
        </w:numPr>
        <w:spacing w:before="240"/>
        <w:contextualSpacing/>
        <w:jc w:val="both"/>
        <w:rPr>
          <w:rFonts w:ascii="Calibri" w:hAnsi="Calibri"/>
          <w:i/>
          <w:sz w:val="22"/>
          <w:lang w:val="sq-AL"/>
        </w:rPr>
      </w:pPr>
      <w:r w:rsidRPr="00545CF4">
        <w:rPr>
          <w:rFonts w:ascii="Calibri" w:hAnsi="Calibri"/>
          <w:i/>
          <w:sz w:val="22"/>
          <w:lang w:val="sq-AL"/>
        </w:rPr>
        <w:t>Produkti “Akte ligjore dhe nënligjore, dokumenta strategjike”, është realizuar në masën 47% përgjatë 4 mujorit të parë të vitit 2022, kundrejt fondeve të planifikuara për vitin 2022.</w:t>
      </w:r>
    </w:p>
    <w:p w:rsidR="003D7725" w:rsidRPr="00545CF4" w:rsidRDefault="003D7725" w:rsidP="003F6B21">
      <w:pPr>
        <w:numPr>
          <w:ilvl w:val="0"/>
          <w:numId w:val="14"/>
        </w:numPr>
        <w:spacing w:before="240"/>
        <w:contextualSpacing/>
        <w:jc w:val="both"/>
        <w:rPr>
          <w:rFonts w:ascii="Calibri" w:hAnsi="Calibri"/>
          <w:i/>
          <w:sz w:val="22"/>
          <w:lang w:val="sq-AL"/>
        </w:rPr>
      </w:pPr>
      <w:r w:rsidRPr="00545CF4">
        <w:rPr>
          <w:rFonts w:ascii="Calibri" w:hAnsi="Calibri"/>
          <w:i/>
          <w:sz w:val="22"/>
          <w:lang w:val="sq-AL"/>
        </w:rPr>
        <w:t>Produkti “Dosje të shqyrtuara” është realizuar në masën 37% përgjatë 4 mujorit të parë të vitit 2022, kundrejt fondeve të planifikuara për vitin 2022.</w:t>
      </w:r>
    </w:p>
    <w:p w:rsidR="00D25D65" w:rsidRPr="003D7725" w:rsidRDefault="00D25D65" w:rsidP="00545CF4">
      <w:pPr>
        <w:contextualSpacing/>
        <w:jc w:val="both"/>
        <w:rPr>
          <w:rFonts w:asciiTheme="minorHAnsi" w:eastAsia="MS Mincho" w:hAnsiTheme="minorHAnsi"/>
          <w:b/>
          <w:sz w:val="16"/>
          <w:szCs w:val="8"/>
          <w:lang w:val="sq-AL"/>
        </w:rPr>
      </w:pPr>
    </w:p>
    <w:p w:rsidR="003D7725" w:rsidRPr="00C472AD" w:rsidRDefault="00990CDF" w:rsidP="00545CF4">
      <w:pPr>
        <w:contextualSpacing/>
        <w:jc w:val="both"/>
        <w:rPr>
          <w:rFonts w:ascii="Calibri" w:hAnsi="Calibri"/>
          <w:lang w:val="sq-AL"/>
        </w:rPr>
      </w:pPr>
      <w:r w:rsidRPr="00BF005F">
        <w:rPr>
          <w:rFonts w:asciiTheme="minorHAnsi" w:eastAsia="MS Mincho" w:hAnsiTheme="minorHAnsi"/>
          <w:b/>
          <w:lang w:val="sq-AL"/>
        </w:rPr>
        <w:t>Në programin “Administrimi i Pyjeve</w:t>
      </w:r>
      <w:r w:rsidRPr="00BF005F">
        <w:rPr>
          <w:rFonts w:asciiTheme="minorHAnsi" w:eastAsia="MS Mincho" w:hAnsiTheme="minorHAnsi"/>
          <w:lang w:val="sq-AL"/>
        </w:rPr>
        <w:t xml:space="preserve">” </w:t>
      </w:r>
      <w:r w:rsidR="003D7725" w:rsidRPr="00C472AD">
        <w:rPr>
          <w:rFonts w:ascii="Calibri" w:hAnsi="Calibri"/>
          <w:lang w:val="sq-AL"/>
        </w:rPr>
        <w:t xml:space="preserve">për 4 Mujorin e parë të vitit 2022, fondet janë realizuar në nivelin 26% kundrejt fondeve vjetore te planifikuara. Produktet, të cilët kanë kontribuar në realizimin e qëllimit të programit paraqiten si vijon: </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“Raporte monitorimi në Zonat e Mbrojtura”, është realizuar në masën 31% përgjatë 4 mujorit, kundrejt fondeve të planifikuara për vitin 2022. </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“Objekte te administruara nga Agjencia Kombëtare e Zonave të Mbrojtura” është realizuar në masën 25% përgjatë 4 mujorit, kundrejt fondeve të planifikuara për vitin 2022. </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“Inventarizim dhe kadastër e kryer” është realizuar në masën  23% përgjatë 4 mujorit, kundrejt fondeve të planifikuara për vitin 2022. </w:t>
      </w:r>
    </w:p>
    <w:p w:rsidR="00990CDF"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Produkti “Plane menaxhimi për pyjet” është realizuar në masën  22% përgjatë 4 mujorit, kundrejt fondeve të planifikuara për vitin 2022</w:t>
      </w:r>
      <w:r w:rsidR="00990CDF" w:rsidRPr="00545CF4">
        <w:rPr>
          <w:rFonts w:ascii="Calibri" w:hAnsi="Calibri"/>
          <w:i/>
          <w:sz w:val="22"/>
          <w:lang w:val="sq-AL"/>
        </w:rPr>
        <w:t xml:space="preserve">. </w:t>
      </w:r>
    </w:p>
    <w:p w:rsidR="00D25D65" w:rsidRPr="003D7725" w:rsidRDefault="00D25D65" w:rsidP="00545CF4">
      <w:pPr>
        <w:spacing w:before="240"/>
        <w:contextualSpacing/>
        <w:jc w:val="both"/>
        <w:rPr>
          <w:rFonts w:asciiTheme="minorHAnsi" w:eastAsia="MS Mincho" w:hAnsiTheme="minorHAnsi"/>
          <w:b/>
          <w:sz w:val="16"/>
          <w:szCs w:val="8"/>
          <w:lang w:val="sq-AL"/>
        </w:rPr>
      </w:pPr>
    </w:p>
    <w:p w:rsidR="003D7725" w:rsidRPr="00C472AD" w:rsidRDefault="00990CDF" w:rsidP="00545CF4">
      <w:pPr>
        <w:spacing w:before="240"/>
        <w:contextualSpacing/>
        <w:jc w:val="both"/>
        <w:rPr>
          <w:rFonts w:ascii="Calibri" w:hAnsi="Calibri"/>
          <w:lang w:val="sq-AL"/>
        </w:rPr>
      </w:pPr>
      <w:r w:rsidRPr="00BF005F">
        <w:rPr>
          <w:rFonts w:asciiTheme="minorHAnsi" w:eastAsia="MS Mincho" w:hAnsiTheme="minorHAnsi"/>
          <w:b/>
          <w:lang w:val="sq-AL"/>
        </w:rPr>
        <w:t>Në programin “Zhvillimi i Turizmit</w:t>
      </w:r>
      <w:r w:rsidRPr="00BF005F">
        <w:rPr>
          <w:rFonts w:asciiTheme="minorHAnsi" w:eastAsia="MS Mincho" w:hAnsiTheme="minorHAnsi"/>
          <w:lang w:val="sq-AL"/>
        </w:rPr>
        <w:t xml:space="preserve">” </w:t>
      </w:r>
      <w:r w:rsidR="003D7725" w:rsidRPr="00C472AD">
        <w:rPr>
          <w:rFonts w:ascii="Calibri" w:hAnsi="Calibri"/>
          <w:lang w:val="sq-AL"/>
        </w:rPr>
        <w:t>për 4 Mujorin e parë të vitit 2022, fondet janë realizuar në nivelin 35% kundrejt fondeve vjetore te planifikuara. Produktet të cilët kanë kontribuar në realizimin e objektivave të këtij programi paraqiten si vijon:</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“Monitorime të kryera përgjatë gjithë vijës bregdetare”, është realizuar në masën  23% përgjatë 4 mujorit, kundrejt fondeve të planifikuara për vitin 2022. </w:t>
      </w:r>
    </w:p>
    <w:p w:rsidR="003D7725"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 xml:space="preserve">Produkti “Turizëm i promovuar” është realizuar në masën 14% përgjatë 4 mujorit, kundrejt fondeve të planifikuara për vitin 2022. </w:t>
      </w:r>
    </w:p>
    <w:p w:rsidR="00990CDF" w:rsidRPr="00545CF4" w:rsidRDefault="003D7725" w:rsidP="003F6B21">
      <w:pPr>
        <w:numPr>
          <w:ilvl w:val="0"/>
          <w:numId w:val="14"/>
        </w:numPr>
        <w:contextualSpacing/>
        <w:jc w:val="both"/>
        <w:rPr>
          <w:rFonts w:ascii="Calibri" w:hAnsi="Calibri"/>
          <w:i/>
          <w:sz w:val="22"/>
          <w:lang w:val="sq-AL"/>
        </w:rPr>
      </w:pPr>
      <w:r w:rsidRPr="00545CF4">
        <w:rPr>
          <w:rFonts w:ascii="Calibri" w:hAnsi="Calibri"/>
          <w:i/>
          <w:sz w:val="22"/>
          <w:lang w:val="sq-AL"/>
        </w:rPr>
        <w:t>Produkti “Bashki të mbështetura për pastrimin e bregdetit”, pritet të realizohet në periudhën e sezonit veror</w:t>
      </w:r>
      <w:r w:rsidR="00990CDF" w:rsidRPr="00545CF4">
        <w:rPr>
          <w:rFonts w:ascii="Calibri" w:hAnsi="Calibri"/>
          <w:i/>
          <w:sz w:val="22"/>
          <w:lang w:val="sq-AL"/>
        </w:rPr>
        <w:t xml:space="preserve">. </w:t>
      </w:r>
    </w:p>
    <w:p w:rsidR="00990CDF" w:rsidRPr="00BF005F" w:rsidRDefault="00990CDF" w:rsidP="00545CF4">
      <w:pPr>
        <w:spacing w:after="200"/>
        <w:rPr>
          <w:rFonts w:asciiTheme="minorHAnsi" w:eastAsiaTheme="minorHAnsi" w:hAnsiTheme="minorHAnsi" w:cstheme="minorBid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200" w:name="_Toc10033302"/>
      <w:bookmarkStart w:id="201" w:name="_Toc10721438"/>
      <w:bookmarkStart w:id="202" w:name="_Toc11134230"/>
      <w:r w:rsidRPr="00BF005F">
        <w:rPr>
          <w:rFonts w:asciiTheme="minorHAnsi" w:hAnsiTheme="minorHAnsi"/>
          <w:b/>
          <w:noProof/>
          <w:color w:val="0070C0"/>
          <w:lang w:val="sq-AL"/>
        </w:rPr>
        <w:t>DREJTËSIA</w:t>
      </w:r>
      <w:bookmarkEnd w:id="200"/>
      <w:bookmarkEnd w:id="201"/>
      <w:bookmarkEnd w:id="202"/>
    </w:p>
    <w:p w:rsidR="00990CDF" w:rsidRDefault="00990CDF" w:rsidP="006F25E7">
      <w:pPr>
        <w:spacing w:line="276" w:lineRule="auto"/>
        <w:jc w:val="both"/>
        <w:rPr>
          <w:rFonts w:asciiTheme="minorHAnsi" w:eastAsia="MS Mincho" w:hAnsiTheme="minorHAnsi"/>
          <w:color w:val="000000"/>
          <w:lang w:val="sq-AL"/>
        </w:rPr>
      </w:pPr>
      <w:bookmarkStart w:id="203" w:name="_Toc10721442"/>
      <w:bookmarkStart w:id="204" w:name="_Toc11134231"/>
      <w:bookmarkStart w:id="205" w:name="_Toc10033303"/>
      <w:bookmarkStart w:id="206" w:name="_Toc10721439"/>
      <w:bookmarkStart w:id="207" w:name="_Toc11134232"/>
      <w:r w:rsidRPr="00BF005F">
        <w:rPr>
          <w:rFonts w:asciiTheme="minorHAnsi" w:eastAsia="MS Mincho" w:hAnsiTheme="minorHAnsi"/>
          <w:color w:val="000000"/>
          <w:lang w:val="sq-AL"/>
        </w:rPr>
        <w:t>Performanca e treguesve buxhetorë për nëntë programet në Ministrinë Drejtësisë, paraqitet si më poshtë:</w:t>
      </w:r>
    </w:p>
    <w:p w:rsidR="00C74CE2" w:rsidRPr="00C74CE2" w:rsidRDefault="00C74CE2" w:rsidP="006F25E7">
      <w:pPr>
        <w:spacing w:line="276" w:lineRule="auto"/>
        <w:jc w:val="both"/>
        <w:rPr>
          <w:rFonts w:asciiTheme="minorHAnsi" w:eastAsia="MS Mincho" w:hAnsiTheme="minorHAnsi"/>
          <w:color w:val="000000"/>
          <w:sz w:val="8"/>
          <w:szCs w:val="8"/>
          <w:lang w:val="sq-AL"/>
        </w:rPr>
      </w:pPr>
    </w:p>
    <w:p w:rsidR="00990CDF" w:rsidRPr="00D25D65" w:rsidRDefault="009B6CFE" w:rsidP="006F25E7">
      <w:pPr>
        <w:pStyle w:val="Caption"/>
        <w:spacing w:after="0" w:line="276" w:lineRule="auto"/>
        <w:rPr>
          <w:rFonts w:asciiTheme="minorHAnsi" w:hAnsiTheme="minorHAnsi"/>
          <w:i/>
          <w:color w:val="000000"/>
          <w:sz w:val="22"/>
          <w:szCs w:val="24"/>
          <w:lang w:val="sq-AL"/>
        </w:rPr>
      </w:pPr>
      <w:bookmarkStart w:id="208" w:name="_Toc107496779"/>
      <w:r w:rsidRPr="009B6CFE">
        <w:rPr>
          <w:rFonts w:asciiTheme="minorHAnsi" w:hAnsiTheme="minorHAnsi"/>
          <w:b w:val="0"/>
          <w:bCs w:val="0"/>
          <w:i/>
          <w:noProof/>
          <w:color w:val="auto"/>
          <w:sz w:val="22"/>
          <w:szCs w:val="24"/>
          <w:lang w:val="sq-AL"/>
        </w:rPr>
        <w:t xml:space="preserve">Tabela </w:t>
      </w:r>
      <w:r w:rsidRPr="009B6CFE">
        <w:rPr>
          <w:rFonts w:asciiTheme="minorHAnsi" w:hAnsiTheme="minorHAnsi"/>
          <w:b w:val="0"/>
          <w:bCs w:val="0"/>
          <w:i/>
          <w:noProof/>
          <w:color w:val="auto"/>
          <w:sz w:val="22"/>
          <w:szCs w:val="24"/>
          <w:lang w:val="sq-AL"/>
        </w:rPr>
        <w:fldChar w:fldCharType="begin"/>
      </w:r>
      <w:r w:rsidRPr="009B6CFE">
        <w:rPr>
          <w:rFonts w:asciiTheme="minorHAnsi" w:hAnsiTheme="minorHAnsi"/>
          <w:b w:val="0"/>
          <w:bCs w:val="0"/>
          <w:i/>
          <w:noProof/>
          <w:color w:val="auto"/>
          <w:sz w:val="22"/>
          <w:szCs w:val="24"/>
          <w:lang w:val="sq-AL"/>
        </w:rPr>
        <w:instrText xml:space="preserve"> SEQ Tabela \* ARABIC </w:instrText>
      </w:r>
      <w:r w:rsidRPr="009B6CFE">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43</w:t>
      </w:r>
      <w:r w:rsidRPr="009B6CFE">
        <w:rPr>
          <w:rFonts w:asciiTheme="minorHAnsi" w:hAnsiTheme="minorHAnsi"/>
          <w:b w:val="0"/>
          <w:bCs w:val="0"/>
          <w:i/>
          <w:noProof/>
          <w:color w:val="auto"/>
          <w:sz w:val="22"/>
          <w:szCs w:val="24"/>
          <w:lang w:val="sq-AL"/>
        </w:rPr>
        <w:fldChar w:fldCharType="end"/>
      </w:r>
      <w:r w:rsidRPr="009B6CFE">
        <w:rPr>
          <w:rFonts w:asciiTheme="minorHAnsi" w:hAnsiTheme="minorHAnsi"/>
          <w:b w:val="0"/>
          <w:bCs w:val="0"/>
          <w:i/>
          <w:noProof/>
          <w:color w:val="auto"/>
          <w:sz w:val="22"/>
          <w:szCs w:val="24"/>
          <w:lang w:val="sq-AL"/>
        </w:rPr>
        <w:t>:</w:t>
      </w:r>
      <w:r>
        <w:rPr>
          <w:rFonts w:asciiTheme="minorHAnsi" w:hAnsiTheme="minorHAnsi"/>
          <w:bCs w:val="0"/>
          <w:i/>
          <w:noProof/>
          <w:color w:val="auto"/>
          <w:sz w:val="22"/>
          <w:szCs w:val="24"/>
        </w:rPr>
        <w:t xml:space="preserve"> </w:t>
      </w:r>
      <w:r w:rsidR="00990CDF" w:rsidRPr="00D25D65">
        <w:rPr>
          <w:rFonts w:asciiTheme="minorHAnsi" w:hAnsiTheme="minorHAnsi"/>
          <w:b w:val="0"/>
          <w:bCs w:val="0"/>
          <w:i/>
          <w:noProof/>
          <w:color w:val="auto"/>
          <w:sz w:val="22"/>
          <w:szCs w:val="24"/>
          <w:lang w:val="sq-AL"/>
        </w:rPr>
        <w:t>Drejtësia</w:t>
      </w:r>
      <w:bookmarkEnd w:id="208"/>
    </w:p>
    <w:p w:rsidR="00990CDF" w:rsidRPr="0056470D" w:rsidRDefault="00990CDF" w:rsidP="00C74CE2">
      <w:pPr>
        <w:ind w:left="2880" w:firstLine="720"/>
        <w:jc w:val="right"/>
        <w:rPr>
          <w:rFonts w:asciiTheme="minorHAnsi" w:hAnsiTheme="minorHAnsi"/>
          <w:i/>
          <w:color w:val="000000"/>
          <w:sz w:val="22"/>
          <w:lang w:val="sq-AL"/>
        </w:rPr>
      </w:pPr>
      <w:r w:rsidRPr="0056470D">
        <w:rPr>
          <w:rFonts w:asciiTheme="minorHAnsi" w:hAnsiTheme="minorHAnsi"/>
          <w:i/>
          <w:color w:val="000000"/>
          <w:sz w:val="22"/>
          <w:lang w:val="sq-AL"/>
        </w:rPr>
        <w:t>Në mijë lekë</w:t>
      </w:r>
    </w:p>
    <w:tbl>
      <w:tblPr>
        <w:tblStyle w:val="ListTable3-Accent522"/>
        <w:tblW w:w="10570" w:type="dxa"/>
        <w:jc w:val="center"/>
        <w:tblLook w:val="0000" w:firstRow="0" w:lastRow="0" w:firstColumn="0" w:lastColumn="0" w:noHBand="0" w:noVBand="0"/>
      </w:tblPr>
      <w:tblGrid>
        <w:gridCol w:w="488"/>
        <w:gridCol w:w="3426"/>
        <w:gridCol w:w="1233"/>
        <w:gridCol w:w="1257"/>
        <w:gridCol w:w="1139"/>
        <w:gridCol w:w="1101"/>
        <w:gridCol w:w="924"/>
        <w:gridCol w:w="1002"/>
      </w:tblGrid>
      <w:tr w:rsidR="00A308D0" w:rsidRPr="00545CF4" w:rsidTr="00A308D0">
        <w:trPr>
          <w:cnfStyle w:val="000000100000" w:firstRow="0" w:lastRow="0" w:firstColumn="0" w:lastColumn="0" w:oddVBand="0" w:evenVBand="0" w:oddHBand="1" w:evenHBand="0" w:firstRowFirstColumn="0" w:firstRowLastColumn="0" w:lastRowFirstColumn="0" w:lastRowLastColumn="0"/>
          <w:trHeight w:val="154"/>
          <w:jc w:val="center"/>
        </w:trPr>
        <w:tc>
          <w:tcPr>
            <w:cnfStyle w:val="000010000000" w:firstRow="0" w:lastRow="0" w:firstColumn="0" w:lastColumn="0" w:oddVBand="1" w:evenVBand="0" w:oddHBand="0" w:evenHBand="0" w:firstRowFirstColumn="0" w:firstRowLastColumn="0" w:lastRowFirstColumn="0" w:lastRowLastColumn="0"/>
            <w:tcW w:w="488" w:type="dxa"/>
            <w:vMerge w:val="restart"/>
            <w:tcBorders>
              <w:top w:val="double" w:sz="4" w:space="0" w:color="4BACC6"/>
              <w:left w:val="double" w:sz="4" w:space="0" w:color="4BACC6"/>
            </w:tcBorders>
            <w:shd w:val="clear" w:color="auto" w:fill="B6DDE8" w:themeFill="accent5" w:themeFillTint="66"/>
          </w:tcPr>
          <w:p w:rsidR="00A308D0" w:rsidRPr="00545CF4" w:rsidRDefault="00A308D0" w:rsidP="00545CF4">
            <w:pPr>
              <w:rPr>
                <w:rFonts w:asciiTheme="minorHAnsi" w:hAnsiTheme="minorHAnsi"/>
                <w:b/>
                <w:sz w:val="18"/>
                <w:szCs w:val="18"/>
                <w:lang w:val="sq-AL"/>
              </w:rPr>
            </w:pPr>
          </w:p>
          <w:p w:rsidR="00A308D0" w:rsidRPr="00545CF4" w:rsidRDefault="00A308D0" w:rsidP="00545CF4">
            <w:pPr>
              <w:rPr>
                <w:rFonts w:asciiTheme="minorHAnsi" w:hAnsiTheme="minorHAnsi"/>
                <w:b/>
                <w:sz w:val="18"/>
                <w:szCs w:val="18"/>
                <w:lang w:val="sq-AL"/>
              </w:rPr>
            </w:pPr>
            <w:r w:rsidRPr="00545CF4">
              <w:rPr>
                <w:rFonts w:asciiTheme="minorHAnsi" w:hAnsiTheme="minorHAnsi"/>
                <w:b/>
                <w:sz w:val="18"/>
                <w:szCs w:val="18"/>
                <w:lang w:val="sq-AL"/>
              </w:rPr>
              <w:t>NR</w:t>
            </w:r>
          </w:p>
        </w:tc>
        <w:tc>
          <w:tcPr>
            <w:tcW w:w="3426" w:type="dxa"/>
            <w:vMerge w:val="restart"/>
            <w:tcBorders>
              <w:top w:val="double" w:sz="4" w:space="0" w:color="4BACC6"/>
            </w:tcBorders>
            <w:shd w:val="clear" w:color="auto" w:fill="B6DDE8" w:themeFill="accent5" w:themeFillTint="66"/>
          </w:tcPr>
          <w:p w:rsidR="00A308D0" w:rsidRPr="00545CF4" w:rsidRDefault="00A308D0" w:rsidP="00545CF4">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p>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490" w:type="dxa"/>
            <w:gridSpan w:val="2"/>
            <w:tcBorders>
              <w:top w:val="double" w:sz="4" w:space="0" w:color="4BACC6"/>
            </w:tcBorders>
            <w:shd w:val="clear" w:color="auto" w:fill="B6DDE8" w:themeFill="accent5" w:themeFillTint="66"/>
          </w:tcPr>
          <w:p w:rsidR="00A308D0" w:rsidRPr="00545CF4" w:rsidRDefault="00A308D0" w:rsidP="00545CF4">
            <w:pPr>
              <w:jc w:val="center"/>
              <w:rPr>
                <w:rFonts w:asciiTheme="minorHAnsi" w:hAnsiTheme="minorHAnsi"/>
                <w:b/>
                <w:sz w:val="18"/>
                <w:szCs w:val="18"/>
                <w:lang w:val="sq-AL"/>
              </w:rPr>
            </w:pPr>
            <w:r w:rsidRPr="00545CF4">
              <w:rPr>
                <w:rFonts w:asciiTheme="minorHAnsi" w:hAnsiTheme="minorHAnsi"/>
                <w:b/>
                <w:sz w:val="18"/>
                <w:szCs w:val="18"/>
                <w:lang w:val="sq-AL"/>
              </w:rPr>
              <w:t>Plani 2022</w:t>
            </w:r>
          </w:p>
        </w:tc>
        <w:tc>
          <w:tcPr>
            <w:tcW w:w="2240" w:type="dxa"/>
            <w:gridSpan w:val="2"/>
            <w:tcBorders>
              <w:top w:val="double" w:sz="4" w:space="0" w:color="4BACC6"/>
            </w:tcBorders>
            <w:shd w:val="clear" w:color="auto" w:fill="B6DDE8" w:themeFill="accent5" w:themeFillTint="66"/>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Fakti 4-mujori 2022</w:t>
            </w:r>
          </w:p>
        </w:tc>
        <w:tc>
          <w:tcPr>
            <w:cnfStyle w:val="000010000000" w:firstRow="0" w:lastRow="0" w:firstColumn="0" w:lastColumn="0" w:oddVBand="1" w:evenVBand="0" w:oddHBand="0" w:evenHBand="0" w:firstRowFirstColumn="0" w:firstRowLastColumn="0" w:lastRowFirstColumn="0" w:lastRowLastColumn="0"/>
            <w:tcW w:w="1926" w:type="dxa"/>
            <w:gridSpan w:val="2"/>
            <w:tcBorders>
              <w:top w:val="double" w:sz="4" w:space="0" w:color="4BACC6"/>
              <w:right w:val="double" w:sz="4" w:space="0" w:color="4BACC6"/>
            </w:tcBorders>
            <w:shd w:val="clear" w:color="auto" w:fill="B6DDE8" w:themeFill="accent5" w:themeFillTint="66"/>
          </w:tcPr>
          <w:p w:rsidR="00A308D0" w:rsidRPr="00545CF4" w:rsidRDefault="00A308D0" w:rsidP="00545CF4">
            <w:pPr>
              <w:rPr>
                <w:rFonts w:asciiTheme="minorHAnsi" w:hAnsiTheme="minorHAnsi"/>
                <w:b/>
                <w:sz w:val="18"/>
                <w:szCs w:val="18"/>
                <w:lang w:val="sq-AL"/>
              </w:rPr>
            </w:pPr>
            <w:r w:rsidRPr="00545CF4">
              <w:rPr>
                <w:rFonts w:asciiTheme="minorHAnsi" w:hAnsiTheme="minorHAnsi"/>
                <w:b/>
                <w:sz w:val="18"/>
                <w:szCs w:val="18"/>
                <w:lang w:val="sq-AL"/>
              </w:rPr>
              <w:t>Përqindja  e realizimit</w:t>
            </w:r>
          </w:p>
        </w:tc>
      </w:tr>
      <w:tr w:rsidR="00A308D0" w:rsidRPr="00545CF4" w:rsidTr="00A308D0">
        <w:trPr>
          <w:trHeight w:val="376"/>
          <w:jc w:val="center"/>
        </w:trPr>
        <w:tc>
          <w:tcPr>
            <w:cnfStyle w:val="000010000000" w:firstRow="0" w:lastRow="0" w:firstColumn="0" w:lastColumn="0" w:oddVBand="1" w:evenVBand="0" w:oddHBand="0" w:evenHBand="0" w:firstRowFirstColumn="0" w:firstRowLastColumn="0" w:lastRowFirstColumn="0" w:lastRowLastColumn="0"/>
            <w:tcW w:w="488" w:type="dxa"/>
            <w:vMerge/>
            <w:tcBorders>
              <w:left w:val="double" w:sz="4" w:space="0" w:color="4BACC6"/>
            </w:tcBorders>
            <w:shd w:val="clear" w:color="auto" w:fill="B6DDE8" w:themeFill="accent5" w:themeFillTint="66"/>
          </w:tcPr>
          <w:p w:rsidR="00A308D0" w:rsidRPr="00545CF4" w:rsidRDefault="00A308D0" w:rsidP="00545CF4">
            <w:pPr>
              <w:rPr>
                <w:rFonts w:asciiTheme="minorHAnsi" w:hAnsiTheme="minorHAnsi"/>
                <w:b/>
                <w:sz w:val="18"/>
                <w:szCs w:val="18"/>
                <w:lang w:val="sq-AL"/>
              </w:rPr>
            </w:pPr>
          </w:p>
        </w:tc>
        <w:tc>
          <w:tcPr>
            <w:tcW w:w="3426" w:type="dxa"/>
            <w:vMerge/>
            <w:shd w:val="clear" w:color="auto" w:fill="B6DDE8" w:themeFill="accent5" w:themeFillTint="66"/>
          </w:tcPr>
          <w:p w:rsidR="00A308D0" w:rsidRPr="00545CF4" w:rsidRDefault="00A308D0" w:rsidP="00545CF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p>
        </w:tc>
        <w:tc>
          <w:tcPr>
            <w:cnfStyle w:val="000010000000" w:firstRow="0" w:lastRow="0" w:firstColumn="0" w:lastColumn="0" w:oddVBand="1" w:evenVBand="0" w:oddHBand="0" w:evenHBand="0" w:firstRowFirstColumn="0" w:firstRowLastColumn="0" w:lastRowFirstColumn="0" w:lastRowLastColumn="0"/>
            <w:tcW w:w="1233" w:type="dxa"/>
            <w:shd w:val="clear" w:color="auto" w:fill="B6DDE8" w:themeFill="accent5" w:themeFillTint="66"/>
          </w:tcPr>
          <w:p w:rsidR="00A308D0" w:rsidRPr="00545CF4" w:rsidRDefault="00A308D0" w:rsidP="00545CF4">
            <w:pPr>
              <w:rPr>
                <w:rFonts w:asciiTheme="minorHAnsi" w:hAnsiTheme="minorHAnsi"/>
                <w:b/>
                <w:sz w:val="18"/>
                <w:szCs w:val="18"/>
                <w:lang w:val="sq-AL"/>
              </w:rPr>
            </w:pPr>
            <w:r w:rsidRPr="00545CF4">
              <w:rPr>
                <w:rFonts w:asciiTheme="minorHAnsi" w:hAnsiTheme="minorHAnsi"/>
                <w:b/>
                <w:sz w:val="18"/>
                <w:szCs w:val="18"/>
                <w:lang w:val="sq-AL"/>
              </w:rPr>
              <w:t>Korrente</w:t>
            </w:r>
          </w:p>
        </w:tc>
        <w:tc>
          <w:tcPr>
            <w:tcW w:w="1257" w:type="dxa"/>
            <w:shd w:val="clear" w:color="auto" w:fill="B6DDE8" w:themeFill="accent5" w:themeFillTint="66"/>
          </w:tcPr>
          <w:p w:rsidR="00A308D0" w:rsidRPr="00545CF4" w:rsidRDefault="00A308D0" w:rsidP="00545CF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1139" w:type="dxa"/>
            <w:shd w:val="clear" w:color="auto" w:fill="B6DDE8" w:themeFill="accent5" w:themeFillTint="66"/>
          </w:tcPr>
          <w:p w:rsidR="00A308D0" w:rsidRPr="00545CF4" w:rsidRDefault="00A308D0" w:rsidP="00545CF4">
            <w:pPr>
              <w:rPr>
                <w:rFonts w:asciiTheme="minorHAnsi" w:hAnsiTheme="minorHAnsi"/>
                <w:b/>
                <w:sz w:val="18"/>
                <w:szCs w:val="18"/>
                <w:lang w:val="sq-AL"/>
              </w:rPr>
            </w:pPr>
            <w:r w:rsidRPr="00545CF4">
              <w:rPr>
                <w:rFonts w:asciiTheme="minorHAnsi" w:hAnsiTheme="minorHAnsi"/>
                <w:b/>
                <w:sz w:val="18"/>
                <w:szCs w:val="18"/>
                <w:lang w:val="sq-AL"/>
              </w:rPr>
              <w:t>Korrente</w:t>
            </w:r>
          </w:p>
        </w:tc>
        <w:tc>
          <w:tcPr>
            <w:tcW w:w="1101" w:type="dxa"/>
            <w:shd w:val="clear" w:color="auto" w:fill="B6DDE8" w:themeFill="accent5" w:themeFillTint="66"/>
          </w:tcPr>
          <w:p w:rsidR="00A308D0" w:rsidRPr="00545CF4" w:rsidRDefault="00A308D0" w:rsidP="00545CF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924" w:type="dxa"/>
            <w:shd w:val="clear" w:color="auto" w:fill="B6DDE8" w:themeFill="accent5" w:themeFillTint="66"/>
          </w:tcPr>
          <w:p w:rsidR="00A308D0" w:rsidRPr="00545CF4" w:rsidRDefault="00A308D0" w:rsidP="00545CF4">
            <w:pPr>
              <w:rPr>
                <w:rFonts w:asciiTheme="minorHAnsi" w:hAnsiTheme="minorHAnsi"/>
                <w:b/>
                <w:sz w:val="18"/>
                <w:szCs w:val="18"/>
                <w:lang w:val="sq-AL"/>
              </w:rPr>
            </w:pPr>
            <w:r w:rsidRPr="00545CF4">
              <w:rPr>
                <w:rFonts w:asciiTheme="minorHAnsi" w:hAnsiTheme="minorHAnsi"/>
                <w:b/>
                <w:sz w:val="18"/>
                <w:szCs w:val="18"/>
                <w:lang w:val="sq-AL"/>
              </w:rPr>
              <w:t>Korrente</w:t>
            </w:r>
          </w:p>
        </w:tc>
        <w:tc>
          <w:tcPr>
            <w:tcW w:w="1002" w:type="dxa"/>
            <w:tcBorders>
              <w:right w:val="double" w:sz="4" w:space="0" w:color="4BACC6"/>
            </w:tcBorders>
            <w:shd w:val="clear" w:color="auto" w:fill="B6DDE8" w:themeFill="accent5" w:themeFillTint="66"/>
          </w:tcPr>
          <w:p w:rsidR="00A308D0" w:rsidRPr="00545CF4" w:rsidRDefault="00A308D0" w:rsidP="00545CF4">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Investime</w:t>
            </w:r>
          </w:p>
        </w:tc>
      </w:tr>
      <w:tr w:rsidR="00A308D0" w:rsidRPr="00545CF4" w:rsidTr="00545CF4">
        <w:trPr>
          <w:cnfStyle w:val="000000100000" w:firstRow="0" w:lastRow="0" w:firstColumn="0" w:lastColumn="0" w:oddVBand="0" w:evenVBand="0" w:oddHBand="1" w:evenHBand="0" w:firstRowFirstColumn="0" w:firstRowLastColumn="0" w:lastRowFirstColumn="0" w:lastRowLastColumn="0"/>
          <w:trHeight w:val="207"/>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1.</w:t>
            </w:r>
          </w:p>
        </w:tc>
        <w:tc>
          <w:tcPr>
            <w:tcW w:w="3426" w:type="dxa"/>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233" w:type="dxa"/>
            <w:tcBorders>
              <w:top w:val="double" w:sz="6" w:space="0" w:color="auto"/>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428,087</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205,600</w:t>
            </w:r>
          </w:p>
        </w:tc>
        <w:tc>
          <w:tcPr>
            <w:cnfStyle w:val="000010000000" w:firstRow="0" w:lastRow="0" w:firstColumn="0" w:lastColumn="0" w:oddVBand="1" w:evenVBand="0" w:oddHBand="0" w:evenHBand="0" w:firstRowFirstColumn="0" w:firstRowLastColumn="0" w:lastRowFirstColumn="0" w:lastRowLastColumn="0"/>
            <w:tcW w:w="1139" w:type="dxa"/>
            <w:tcBorders>
              <w:top w:val="double" w:sz="6" w:space="0" w:color="auto"/>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97,935</w:t>
            </w:r>
          </w:p>
        </w:tc>
        <w:tc>
          <w:tcPr>
            <w:tcW w:w="1101" w:type="dxa"/>
            <w:tcBorders>
              <w:top w:val="single" w:sz="4" w:space="0" w:color="auto"/>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735</w:t>
            </w:r>
          </w:p>
        </w:tc>
        <w:tc>
          <w:tcPr>
            <w:cnfStyle w:val="000010000000" w:firstRow="0" w:lastRow="0" w:firstColumn="0" w:lastColumn="0" w:oddVBand="1" w:evenVBand="0" w:oddHBand="0" w:evenHBand="0" w:firstRowFirstColumn="0" w:firstRowLastColumn="0" w:lastRowFirstColumn="0" w:lastRowLastColumn="0"/>
            <w:tcW w:w="924" w:type="dxa"/>
            <w:tcBorders>
              <w:top w:val="double" w:sz="6" w:space="0" w:color="auto"/>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22.9</w:t>
            </w:r>
          </w:p>
        </w:tc>
        <w:tc>
          <w:tcPr>
            <w:tcW w:w="1002" w:type="dxa"/>
            <w:tcBorders>
              <w:top w:val="single" w:sz="4" w:space="0" w:color="auto"/>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0.4</w:t>
            </w:r>
          </w:p>
        </w:tc>
      </w:tr>
      <w:tr w:rsidR="00A308D0" w:rsidRPr="00545CF4" w:rsidTr="00545CF4">
        <w:trPr>
          <w:trHeight w:val="161"/>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2.</w:t>
            </w:r>
          </w:p>
        </w:tc>
        <w:tc>
          <w:tcPr>
            <w:tcW w:w="3426" w:type="dxa"/>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Publikimet Zyrtare</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54,522</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12,480</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22.9</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0.0</w:t>
            </w:r>
          </w:p>
        </w:tc>
      </w:tr>
      <w:tr w:rsidR="00A308D0" w:rsidRPr="00545CF4" w:rsidTr="00545CF4">
        <w:trPr>
          <w:cnfStyle w:val="000000100000" w:firstRow="0" w:lastRow="0" w:firstColumn="0" w:lastColumn="0" w:oddVBand="0" w:evenVBand="0" w:oddHBand="1" w:evenHBand="0" w:firstRowFirstColumn="0" w:firstRowLastColumn="0" w:lastRowFirstColumn="0" w:lastRowLastColumn="0"/>
          <w:trHeight w:val="197"/>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3.</w:t>
            </w:r>
          </w:p>
        </w:tc>
        <w:tc>
          <w:tcPr>
            <w:tcW w:w="3426" w:type="dxa"/>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Mjekësia Ligjore</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82,850</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17,166</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20.7</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0.0</w:t>
            </w:r>
          </w:p>
        </w:tc>
      </w:tr>
      <w:tr w:rsidR="00A308D0" w:rsidRPr="00545CF4" w:rsidTr="00545CF4">
        <w:trPr>
          <w:trHeight w:val="242"/>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4.</w:t>
            </w:r>
          </w:p>
        </w:tc>
        <w:tc>
          <w:tcPr>
            <w:tcW w:w="3426" w:type="dxa"/>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Shërbimi për Çështjet e Birësimit</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14,965</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200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3,426</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73</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22.9</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36.6</w:t>
            </w:r>
          </w:p>
        </w:tc>
      </w:tr>
      <w:tr w:rsidR="00A308D0" w:rsidRPr="00545CF4" w:rsidTr="00545CF4">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5.</w:t>
            </w:r>
          </w:p>
        </w:tc>
        <w:tc>
          <w:tcPr>
            <w:tcW w:w="3426" w:type="dxa"/>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Agjencia e trajtimit të pronave</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3,738,820</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6,000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53,603</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1.4</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0.0</w:t>
            </w:r>
          </w:p>
        </w:tc>
      </w:tr>
      <w:tr w:rsidR="00A308D0" w:rsidRPr="00545CF4" w:rsidTr="00545CF4">
        <w:trPr>
          <w:trHeight w:val="170"/>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6.</w:t>
            </w:r>
          </w:p>
        </w:tc>
        <w:tc>
          <w:tcPr>
            <w:tcW w:w="3426" w:type="dxa"/>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Ndihma juridike</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76,900</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9,683</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12.6</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w:t>
            </w:r>
          </w:p>
        </w:tc>
      </w:tr>
      <w:tr w:rsidR="00A308D0" w:rsidRPr="00545CF4" w:rsidTr="00545CF4">
        <w:trPr>
          <w:cnfStyle w:val="000000100000" w:firstRow="0" w:lastRow="0" w:firstColumn="0" w:lastColumn="0" w:oddVBand="0" w:evenVBand="0" w:oddHBand="1" w:evenHBand="0" w:firstRowFirstColumn="0" w:firstRowLastColumn="0" w:lastRowFirstColumn="0" w:lastRowLastColumn="0"/>
          <w:trHeight w:val="215"/>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7.</w:t>
            </w:r>
          </w:p>
        </w:tc>
        <w:tc>
          <w:tcPr>
            <w:tcW w:w="3426" w:type="dxa"/>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Shërbimi i Përmbarimit gjyqësor</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146,854</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3,000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38,451</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26.2</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w:t>
            </w:r>
          </w:p>
        </w:tc>
      </w:tr>
      <w:tr w:rsidR="00A308D0" w:rsidRPr="00545CF4" w:rsidTr="00545CF4">
        <w:trPr>
          <w:trHeight w:val="251"/>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8.</w:t>
            </w:r>
          </w:p>
        </w:tc>
        <w:tc>
          <w:tcPr>
            <w:tcW w:w="3426" w:type="dxa"/>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Sistemi i Burgjeve</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5,607,275</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360,900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1,871,243</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33.4</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0.0</w:t>
            </w:r>
          </w:p>
        </w:tc>
      </w:tr>
      <w:tr w:rsidR="00A308D0" w:rsidRPr="00545CF4" w:rsidTr="00545CF4">
        <w:trPr>
          <w:cnfStyle w:val="000000100000" w:firstRow="0" w:lastRow="0" w:firstColumn="0" w:lastColumn="0" w:oddVBand="0" w:evenVBand="0" w:oddHBand="1" w:evenHBand="0" w:firstRowFirstColumn="0" w:firstRowLastColumn="0" w:lastRowFirstColumn="0" w:lastRowLastColumn="0"/>
          <w:trHeight w:val="170"/>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tcBorders>
          </w:tcPr>
          <w:p w:rsidR="00A308D0" w:rsidRPr="00545CF4" w:rsidRDefault="00A308D0" w:rsidP="00545CF4">
            <w:pPr>
              <w:rPr>
                <w:rFonts w:asciiTheme="minorHAnsi" w:hAnsiTheme="minorHAnsi"/>
                <w:sz w:val="18"/>
                <w:szCs w:val="18"/>
                <w:lang w:val="sq-AL"/>
              </w:rPr>
            </w:pPr>
            <w:r w:rsidRPr="00545CF4">
              <w:rPr>
                <w:rFonts w:asciiTheme="minorHAnsi" w:hAnsiTheme="minorHAnsi"/>
                <w:sz w:val="18"/>
                <w:szCs w:val="18"/>
                <w:lang w:val="sq-AL"/>
              </w:rPr>
              <w:t>9.</w:t>
            </w:r>
          </w:p>
        </w:tc>
        <w:tc>
          <w:tcPr>
            <w:tcW w:w="3426" w:type="dxa"/>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Shërbimi i Provës</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149,687</w:t>
            </w:r>
          </w:p>
        </w:tc>
        <w:tc>
          <w:tcPr>
            <w:tcW w:w="1257"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single" w:sz="4" w:space="0" w:color="auto"/>
              <w:right w:val="single" w:sz="4"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41,101</w:t>
            </w:r>
          </w:p>
        </w:tc>
        <w:tc>
          <w:tcPr>
            <w:tcW w:w="1101" w:type="dxa"/>
            <w:tcBorders>
              <w:top w:val="nil"/>
              <w:left w:val="single" w:sz="4" w:space="0" w:color="auto"/>
              <w:bottom w:val="single" w:sz="4" w:space="0" w:color="auto"/>
              <w:right w:val="single" w:sz="4" w:space="0" w:color="auto"/>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single" w:sz="4" w:space="0" w:color="auto"/>
              <w:right w:val="double" w:sz="6" w:space="0" w:color="auto"/>
            </w:tcBorders>
            <w:shd w:val="clear" w:color="auto" w:fill="auto"/>
            <w:vAlign w:val="bottom"/>
          </w:tcPr>
          <w:p w:rsidR="00A308D0" w:rsidRPr="00545CF4" w:rsidRDefault="00A308D0" w:rsidP="00545CF4">
            <w:pPr>
              <w:jc w:val="center"/>
              <w:rPr>
                <w:rFonts w:asciiTheme="minorHAnsi" w:hAnsiTheme="minorHAnsi"/>
                <w:sz w:val="18"/>
                <w:szCs w:val="18"/>
                <w:lang w:val="sq-AL"/>
              </w:rPr>
            </w:pPr>
            <w:r w:rsidRPr="00545CF4">
              <w:rPr>
                <w:rFonts w:asciiTheme="minorHAnsi" w:hAnsiTheme="minorHAnsi"/>
                <w:sz w:val="18"/>
                <w:szCs w:val="18"/>
                <w:lang w:val="sq-AL"/>
              </w:rPr>
              <w:t>27.5</w:t>
            </w:r>
          </w:p>
        </w:tc>
        <w:tc>
          <w:tcPr>
            <w:tcW w:w="1002" w:type="dxa"/>
            <w:tcBorders>
              <w:top w:val="nil"/>
              <w:left w:val="single" w:sz="4" w:space="0" w:color="auto"/>
              <w:bottom w:val="single" w:sz="4" w:space="0" w:color="auto"/>
              <w:right w:val="double" w:sz="4" w:space="0" w:color="4BACC6"/>
            </w:tcBorders>
            <w:shd w:val="clear" w:color="auto" w:fill="auto"/>
            <w:vAlign w:val="bottom"/>
          </w:tcPr>
          <w:p w:rsidR="00A308D0" w:rsidRPr="00545CF4" w:rsidRDefault="00A308D0" w:rsidP="00545CF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545CF4">
              <w:rPr>
                <w:rFonts w:asciiTheme="minorHAnsi" w:hAnsiTheme="minorHAnsi"/>
                <w:sz w:val="18"/>
                <w:szCs w:val="18"/>
                <w:lang w:val="sq-AL"/>
              </w:rPr>
              <w:t>0.0</w:t>
            </w:r>
          </w:p>
        </w:tc>
      </w:tr>
      <w:tr w:rsidR="00A308D0" w:rsidRPr="00545CF4" w:rsidTr="00A308D0">
        <w:trPr>
          <w:trHeight w:val="182"/>
          <w:jc w:val="center"/>
        </w:trPr>
        <w:tc>
          <w:tcPr>
            <w:cnfStyle w:val="000010000000" w:firstRow="0" w:lastRow="0" w:firstColumn="0" w:lastColumn="0" w:oddVBand="1" w:evenVBand="0" w:oddHBand="0" w:evenHBand="0" w:firstRowFirstColumn="0" w:firstRowLastColumn="0" w:lastRowFirstColumn="0" w:lastRowLastColumn="0"/>
            <w:tcW w:w="488" w:type="dxa"/>
            <w:tcBorders>
              <w:left w:val="double" w:sz="4" w:space="0" w:color="4BACC6"/>
              <w:bottom w:val="double" w:sz="4" w:space="0" w:color="4BACC6"/>
            </w:tcBorders>
          </w:tcPr>
          <w:p w:rsidR="00A308D0" w:rsidRPr="00545CF4" w:rsidRDefault="00A308D0" w:rsidP="00545CF4">
            <w:pPr>
              <w:jc w:val="center"/>
              <w:rPr>
                <w:rFonts w:asciiTheme="minorHAnsi" w:hAnsiTheme="minorHAnsi"/>
                <w:b/>
                <w:sz w:val="18"/>
                <w:szCs w:val="18"/>
                <w:lang w:val="sq-AL"/>
              </w:rPr>
            </w:pPr>
          </w:p>
        </w:tc>
        <w:tc>
          <w:tcPr>
            <w:tcW w:w="3426" w:type="dxa"/>
            <w:tcBorders>
              <w:bottom w:val="double" w:sz="4" w:space="0" w:color="4BACC6"/>
            </w:tcBorders>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TOTAL</w:t>
            </w:r>
          </w:p>
        </w:tc>
        <w:tc>
          <w:tcPr>
            <w:cnfStyle w:val="000010000000" w:firstRow="0" w:lastRow="0" w:firstColumn="0" w:lastColumn="0" w:oddVBand="1" w:evenVBand="0" w:oddHBand="0" w:evenHBand="0" w:firstRowFirstColumn="0" w:firstRowLastColumn="0" w:lastRowFirstColumn="0" w:lastRowLastColumn="0"/>
            <w:tcW w:w="1233" w:type="dxa"/>
            <w:tcBorders>
              <w:top w:val="nil"/>
              <w:left w:val="single" w:sz="4" w:space="0" w:color="auto"/>
              <w:bottom w:val="double" w:sz="4" w:space="0" w:color="4BACC6"/>
              <w:right w:val="single" w:sz="4" w:space="0" w:color="auto"/>
            </w:tcBorders>
            <w:shd w:val="clear" w:color="auto" w:fill="auto"/>
            <w:vAlign w:val="bottom"/>
          </w:tcPr>
          <w:p w:rsidR="00A308D0" w:rsidRPr="00545CF4" w:rsidRDefault="00A308D0" w:rsidP="00545CF4">
            <w:pPr>
              <w:jc w:val="center"/>
              <w:rPr>
                <w:rFonts w:asciiTheme="minorHAnsi" w:hAnsiTheme="minorHAnsi"/>
                <w:b/>
                <w:sz w:val="18"/>
                <w:szCs w:val="18"/>
                <w:lang w:val="sq-AL"/>
              </w:rPr>
            </w:pPr>
            <w:r w:rsidRPr="00545CF4">
              <w:rPr>
                <w:rFonts w:asciiTheme="minorHAnsi" w:hAnsiTheme="minorHAnsi"/>
                <w:b/>
                <w:sz w:val="18"/>
                <w:szCs w:val="18"/>
                <w:lang w:val="sq-AL"/>
              </w:rPr>
              <w:t>10,299,960</w:t>
            </w:r>
          </w:p>
        </w:tc>
        <w:tc>
          <w:tcPr>
            <w:tcW w:w="1257" w:type="dxa"/>
            <w:tcBorders>
              <w:top w:val="nil"/>
              <w:left w:val="single" w:sz="4" w:space="0" w:color="auto"/>
              <w:bottom w:val="double" w:sz="4" w:space="0" w:color="4BACC6"/>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586,700</w:t>
            </w:r>
          </w:p>
        </w:tc>
        <w:tc>
          <w:tcPr>
            <w:cnfStyle w:val="000010000000" w:firstRow="0" w:lastRow="0" w:firstColumn="0" w:lastColumn="0" w:oddVBand="1" w:evenVBand="0" w:oddHBand="0" w:evenHBand="0" w:firstRowFirstColumn="0" w:firstRowLastColumn="0" w:lastRowFirstColumn="0" w:lastRowLastColumn="0"/>
            <w:tcW w:w="1139" w:type="dxa"/>
            <w:tcBorders>
              <w:top w:val="nil"/>
              <w:left w:val="nil"/>
              <w:bottom w:val="double" w:sz="4" w:space="0" w:color="4BACC6"/>
              <w:right w:val="single" w:sz="4" w:space="0" w:color="auto"/>
            </w:tcBorders>
            <w:shd w:val="clear" w:color="auto" w:fill="auto"/>
            <w:vAlign w:val="bottom"/>
          </w:tcPr>
          <w:p w:rsidR="00A308D0" w:rsidRPr="00545CF4" w:rsidRDefault="00A308D0" w:rsidP="00545CF4">
            <w:pPr>
              <w:jc w:val="center"/>
              <w:rPr>
                <w:rFonts w:asciiTheme="minorHAnsi" w:hAnsiTheme="minorHAnsi"/>
                <w:b/>
                <w:sz w:val="18"/>
                <w:szCs w:val="18"/>
                <w:lang w:val="sq-AL"/>
              </w:rPr>
            </w:pPr>
            <w:r w:rsidRPr="00545CF4">
              <w:rPr>
                <w:rFonts w:asciiTheme="minorHAnsi" w:hAnsiTheme="minorHAnsi"/>
                <w:b/>
                <w:sz w:val="18"/>
                <w:szCs w:val="18"/>
                <w:lang w:val="sq-AL"/>
              </w:rPr>
              <w:t>2,145,087</w:t>
            </w:r>
          </w:p>
        </w:tc>
        <w:tc>
          <w:tcPr>
            <w:tcW w:w="1101" w:type="dxa"/>
            <w:tcBorders>
              <w:top w:val="nil"/>
              <w:left w:val="single" w:sz="4" w:space="0" w:color="auto"/>
              <w:bottom w:val="double" w:sz="4" w:space="0" w:color="4BACC6"/>
              <w:right w:val="single" w:sz="4" w:space="0" w:color="auto"/>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808</w:t>
            </w:r>
          </w:p>
        </w:tc>
        <w:tc>
          <w:tcPr>
            <w:cnfStyle w:val="000010000000" w:firstRow="0" w:lastRow="0" w:firstColumn="0" w:lastColumn="0" w:oddVBand="1" w:evenVBand="0" w:oddHBand="0" w:evenHBand="0" w:firstRowFirstColumn="0" w:firstRowLastColumn="0" w:lastRowFirstColumn="0" w:lastRowLastColumn="0"/>
            <w:tcW w:w="924" w:type="dxa"/>
            <w:tcBorders>
              <w:top w:val="nil"/>
              <w:left w:val="nil"/>
              <w:bottom w:val="double" w:sz="4" w:space="0" w:color="4BACC6"/>
              <w:right w:val="double" w:sz="6" w:space="0" w:color="auto"/>
            </w:tcBorders>
            <w:shd w:val="clear" w:color="auto" w:fill="auto"/>
            <w:vAlign w:val="bottom"/>
          </w:tcPr>
          <w:p w:rsidR="00A308D0" w:rsidRPr="00545CF4" w:rsidRDefault="00A308D0" w:rsidP="00545CF4">
            <w:pPr>
              <w:jc w:val="center"/>
              <w:rPr>
                <w:rFonts w:asciiTheme="minorHAnsi" w:hAnsiTheme="minorHAnsi"/>
                <w:b/>
                <w:sz w:val="18"/>
                <w:szCs w:val="18"/>
                <w:lang w:val="sq-AL"/>
              </w:rPr>
            </w:pPr>
            <w:r w:rsidRPr="00545CF4">
              <w:rPr>
                <w:rFonts w:asciiTheme="minorHAnsi" w:hAnsiTheme="minorHAnsi"/>
                <w:b/>
                <w:sz w:val="18"/>
                <w:szCs w:val="18"/>
                <w:lang w:val="sq-AL"/>
              </w:rPr>
              <w:t>20.8</w:t>
            </w:r>
          </w:p>
        </w:tc>
        <w:tc>
          <w:tcPr>
            <w:tcW w:w="1002" w:type="dxa"/>
            <w:tcBorders>
              <w:top w:val="nil"/>
              <w:left w:val="nil"/>
              <w:bottom w:val="double" w:sz="4" w:space="0" w:color="4BACC6"/>
              <w:right w:val="double" w:sz="4" w:space="0" w:color="4BACC6"/>
            </w:tcBorders>
            <w:shd w:val="clear" w:color="auto" w:fill="auto"/>
            <w:vAlign w:val="bottom"/>
          </w:tcPr>
          <w:p w:rsidR="00A308D0" w:rsidRPr="00545CF4" w:rsidRDefault="00A308D0" w:rsidP="00545CF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545CF4">
              <w:rPr>
                <w:rFonts w:asciiTheme="minorHAnsi" w:hAnsiTheme="minorHAnsi"/>
                <w:b/>
                <w:sz w:val="18"/>
                <w:szCs w:val="18"/>
                <w:lang w:val="sq-AL"/>
              </w:rPr>
              <w:t>0.1</w:t>
            </w:r>
          </w:p>
        </w:tc>
      </w:tr>
    </w:tbl>
    <w:p w:rsidR="00C74CE2" w:rsidRPr="00C74CE2" w:rsidRDefault="00990CDF" w:rsidP="00C74CE2">
      <w:pPr>
        <w:spacing w:before="240" w:line="276" w:lineRule="auto"/>
        <w:jc w:val="both"/>
        <w:rPr>
          <w:rFonts w:asciiTheme="minorHAnsi" w:eastAsia="Calibri" w:hAnsiTheme="minorHAnsi"/>
          <w:lang w:val="sq-AL"/>
        </w:rPr>
      </w:pPr>
      <w:r w:rsidRPr="00C74CE2">
        <w:rPr>
          <w:rFonts w:asciiTheme="minorHAnsi" w:eastAsia="Calibri" w:hAnsiTheme="minorHAnsi"/>
          <w:lang w:val="sq-AL"/>
        </w:rPr>
        <w:lastRenderedPageBreak/>
        <w:t>Në programin “</w:t>
      </w:r>
      <w:r w:rsidRPr="00C74CE2">
        <w:rPr>
          <w:rFonts w:asciiTheme="minorHAnsi" w:eastAsia="Calibri" w:hAnsiTheme="minorHAnsi"/>
          <w:b/>
          <w:lang w:val="sq-AL"/>
        </w:rPr>
        <w:t>Sistemi i burgjeve</w:t>
      </w:r>
      <w:r w:rsidRPr="00C74CE2">
        <w:rPr>
          <w:rFonts w:asciiTheme="minorHAnsi" w:eastAsia="Calibri" w:hAnsiTheme="minorHAnsi"/>
          <w:lang w:val="sq-AL"/>
        </w:rPr>
        <w:t xml:space="preserve">” </w:t>
      </w:r>
      <w:r w:rsidR="00C74CE2" w:rsidRPr="00C74CE2">
        <w:rPr>
          <w:rFonts w:asciiTheme="minorHAnsi" w:eastAsia="Calibri" w:hAnsiTheme="minorHAnsi"/>
          <w:lang w:val="sq-AL"/>
        </w:rPr>
        <w:t>për 4 mujorin e parë të vitit 2022 janë realizuar produkte,</w:t>
      </w:r>
      <w:r w:rsidR="00C74CE2" w:rsidRPr="00C74CE2">
        <w:rPr>
          <w:rFonts w:asciiTheme="minorHAnsi" w:hAnsiTheme="minorHAnsi"/>
          <w:lang w:val="sq-AL"/>
        </w:rPr>
        <w:t xml:space="preserve"> janë realizuar produktet për të matur performancë e Sistemit të Burgjeve, si dhe projekte që shërbejnë për përmirësimin e kushteve në sistemin penitenciar, me një kosto faktike 1.8 miliardë lekë.</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Rezultojnë se për 4 mujorin janë trajtuar 4,957 të dënuar burra në IEVP;</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Janë trajtuar 362 raste të dënuar të trajtuar me shërbim shëndetësor;</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 xml:space="preserve">Janë të trajtuara në kushte të veçanta të vuajtjes se dënimit 62 të dënuara femra; </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Janë trajtuar 20 të mitur të dënuar të cilët vuajnë dënimin në ambientet të përshtatshme për vuajtjen e dënimit;</w:t>
      </w:r>
    </w:p>
    <w:p w:rsidR="00990CDF" w:rsidRPr="00C74CE2" w:rsidRDefault="00990CDF" w:rsidP="00C74CE2">
      <w:pPr>
        <w:spacing w:before="240" w:after="120"/>
        <w:ind w:left="360"/>
        <w:contextualSpacing/>
        <w:jc w:val="both"/>
        <w:rPr>
          <w:rFonts w:ascii="Calibri" w:hAnsi="Calibri"/>
          <w:i/>
          <w:lang w:val="sq-AL"/>
        </w:rPr>
      </w:pPr>
    </w:p>
    <w:p w:rsidR="00C74CE2" w:rsidRPr="00C472AD" w:rsidRDefault="00990CDF" w:rsidP="00C74CE2">
      <w:pPr>
        <w:spacing w:line="276" w:lineRule="auto"/>
        <w:jc w:val="both"/>
        <w:rPr>
          <w:lang w:val="sq-AL"/>
        </w:rPr>
      </w:pPr>
      <w:r w:rsidRPr="00BF005F">
        <w:rPr>
          <w:rFonts w:asciiTheme="minorHAnsi" w:eastAsia="Calibri" w:hAnsiTheme="minorHAnsi"/>
          <w:lang w:val="sq-AL"/>
        </w:rPr>
        <w:t>Në programin “</w:t>
      </w:r>
      <w:r w:rsidRPr="00BF005F">
        <w:rPr>
          <w:rFonts w:asciiTheme="minorHAnsi" w:eastAsia="Calibri" w:hAnsiTheme="minorHAnsi"/>
          <w:b/>
          <w:lang w:val="sq-AL"/>
        </w:rPr>
        <w:t>Agjencia e Trajtimit të Pronave</w:t>
      </w:r>
      <w:r w:rsidRPr="00BF005F">
        <w:rPr>
          <w:rFonts w:asciiTheme="minorHAnsi" w:eastAsia="Calibri" w:hAnsiTheme="minorHAnsi"/>
          <w:lang w:val="sq-AL"/>
        </w:rPr>
        <w:t xml:space="preserve">” </w:t>
      </w:r>
      <w:r w:rsidR="00C74CE2" w:rsidRPr="00C472AD">
        <w:rPr>
          <w:rFonts w:eastAsia="Calibri"/>
          <w:lang w:val="sq-AL"/>
        </w:rPr>
        <w:t>janë realizuar produkte me kosto faktike prej 53.6 milionë lekë, ndër produktet përmendim:</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Shpërndarja e fondit fizik dhe financiar për 206 subjekte të planifikuara me një kosto faktike prej afërsisht 52.5 milionë lekë.</w:t>
      </w:r>
    </w:p>
    <w:p w:rsidR="00C74CE2"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Mbrojtja e interesave të ATP në proceset gjyqësore,  janë ndjekur 148 raste gjyqësore që kanë të bëjnë me çështje njohje të drejte pronësie apo që kanë të bëjnë me vlerësimin e pronës së njohur për kompensim me një kosto faktike prej 1 milionë lekë.</w:t>
      </w:r>
    </w:p>
    <w:p w:rsidR="00990CDF" w:rsidRPr="00C74CE2" w:rsidRDefault="00C74CE2" w:rsidP="003F6B21">
      <w:pPr>
        <w:numPr>
          <w:ilvl w:val="0"/>
          <w:numId w:val="14"/>
        </w:numPr>
        <w:spacing w:before="240" w:after="120"/>
        <w:contextualSpacing/>
        <w:jc w:val="both"/>
        <w:rPr>
          <w:rFonts w:ascii="Calibri" w:hAnsi="Calibri"/>
          <w:i/>
          <w:lang w:val="sq-AL"/>
        </w:rPr>
      </w:pPr>
      <w:r w:rsidRPr="00C74CE2">
        <w:rPr>
          <w:rFonts w:ascii="Calibri" w:hAnsi="Calibri"/>
          <w:i/>
          <w:lang w:val="sq-AL"/>
        </w:rPr>
        <w:t>Shpërndarja e fondit të ish-ALUIZNIT, janë trajtuar 244 subjekte, pagesa e të cilëve është bërë me fondet e mbartura nga viti 2021 dhe 2022 që ndodhen ne Bankën e Shqipërisë e cila i korrespondon një shume prej 553 milionë lekë. Ndërsa për 640 aplikimet e bëra në 4 mujorin e parë ende nuk ka nisur procesi i pagesave</w:t>
      </w:r>
      <w:r w:rsidR="00990CDF" w:rsidRPr="00C74CE2">
        <w:rPr>
          <w:rFonts w:ascii="Calibri" w:hAnsi="Calibri"/>
          <w:i/>
          <w:lang w:val="sq-AL"/>
        </w:rPr>
        <w:t xml:space="preserve">. </w:t>
      </w:r>
    </w:p>
    <w:p w:rsidR="00BC47F8" w:rsidRDefault="00BC47F8" w:rsidP="006F25E7">
      <w:pPr>
        <w:spacing w:before="120" w:after="120" w:line="276" w:lineRule="auto"/>
        <w:jc w:val="both"/>
        <w:rPr>
          <w:rFonts w:asciiTheme="minorHAnsi" w:hAnsiTheme="minorHAnsi"/>
          <w:b/>
          <w:noProof/>
          <w:color w:val="0070C0"/>
          <w:lang w:val="sq-AL"/>
        </w:rPr>
      </w:pPr>
    </w:p>
    <w:p w:rsidR="00BC47F8" w:rsidRDefault="00BC47F8" w:rsidP="006F25E7">
      <w:pPr>
        <w:spacing w:before="120" w:after="120" w:line="276" w:lineRule="auto"/>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INSTITUCIONET E SISTEMIT TË DREJTËSISË</w:t>
      </w:r>
      <w:bookmarkEnd w:id="203"/>
      <w:bookmarkEnd w:id="204"/>
    </w:p>
    <w:p w:rsidR="00525A7D" w:rsidRPr="00525A7D" w:rsidRDefault="00BA6F6C" w:rsidP="00525A7D">
      <w:pPr>
        <w:spacing w:before="240" w:line="276" w:lineRule="auto"/>
        <w:jc w:val="both"/>
        <w:rPr>
          <w:rFonts w:asciiTheme="minorHAnsi" w:eastAsia="MS Mincho" w:hAnsiTheme="minorHAnsi"/>
          <w:lang w:val="sq-AL"/>
        </w:rPr>
      </w:pPr>
      <w:bookmarkStart w:id="209" w:name="_Toc10033304"/>
      <w:bookmarkStart w:id="210" w:name="_Toc10721440"/>
      <w:bookmarkStart w:id="211" w:name="_Toc11134233"/>
      <w:bookmarkEnd w:id="205"/>
      <w:bookmarkEnd w:id="206"/>
      <w:bookmarkEnd w:id="207"/>
      <w:r w:rsidRPr="00C472AD">
        <w:rPr>
          <w:rFonts w:ascii="Calibri" w:hAnsi="Calibri"/>
          <w:lang w:val="sq-AL"/>
        </w:rPr>
        <w:t>Shpenzimet e planifikuara dhe ato faktike si dhe realizimi në përqindje për 4 mujorin e parë të vitit 2022 për institucionet e Sistemit të Drejtësisë, paraqiten si më poshtë</w:t>
      </w:r>
      <w:r w:rsidR="00525A7D" w:rsidRPr="00525A7D">
        <w:rPr>
          <w:rFonts w:asciiTheme="minorHAnsi" w:eastAsia="MS Mincho" w:hAnsiTheme="minorHAnsi"/>
          <w:lang w:val="sq-AL"/>
        </w:rPr>
        <w:t>:</w:t>
      </w:r>
    </w:p>
    <w:p w:rsidR="00525A7D" w:rsidRPr="00525A7D" w:rsidRDefault="00525A7D" w:rsidP="00525A7D">
      <w:pPr>
        <w:spacing w:before="240" w:line="276" w:lineRule="auto"/>
        <w:rPr>
          <w:rFonts w:asciiTheme="minorHAnsi" w:hAnsiTheme="minorHAnsi"/>
          <w:i/>
          <w:noProof/>
          <w:sz w:val="22"/>
        </w:rPr>
      </w:pPr>
      <w:bookmarkStart w:id="212" w:name="_Toc107496780"/>
      <w:r w:rsidRPr="00525A7D">
        <w:rPr>
          <w:rFonts w:asciiTheme="minorHAnsi" w:hAnsiTheme="minorHAnsi"/>
          <w:i/>
          <w:noProof/>
          <w:sz w:val="22"/>
        </w:rPr>
        <w:t xml:space="preserve">Tabela </w:t>
      </w:r>
      <w:r w:rsidRPr="00525A7D">
        <w:rPr>
          <w:rFonts w:asciiTheme="minorHAnsi" w:hAnsiTheme="minorHAnsi"/>
          <w:i/>
          <w:noProof/>
          <w:sz w:val="22"/>
        </w:rPr>
        <w:fldChar w:fldCharType="begin"/>
      </w:r>
      <w:r w:rsidRPr="00525A7D">
        <w:rPr>
          <w:rFonts w:asciiTheme="minorHAnsi" w:hAnsiTheme="minorHAnsi"/>
          <w:i/>
          <w:noProof/>
          <w:sz w:val="22"/>
        </w:rPr>
        <w:instrText xml:space="preserve"> SEQ Tabela \* ARABIC </w:instrText>
      </w:r>
      <w:r w:rsidRPr="00525A7D">
        <w:rPr>
          <w:rFonts w:asciiTheme="minorHAnsi" w:hAnsiTheme="minorHAnsi"/>
          <w:i/>
          <w:noProof/>
          <w:sz w:val="22"/>
        </w:rPr>
        <w:fldChar w:fldCharType="separate"/>
      </w:r>
      <w:r w:rsidR="003B2B9B">
        <w:rPr>
          <w:rFonts w:asciiTheme="minorHAnsi" w:hAnsiTheme="minorHAnsi"/>
          <w:i/>
          <w:noProof/>
          <w:sz w:val="22"/>
        </w:rPr>
        <w:t>44</w:t>
      </w:r>
      <w:r w:rsidRPr="00525A7D">
        <w:rPr>
          <w:rFonts w:asciiTheme="minorHAnsi" w:hAnsiTheme="minorHAnsi"/>
          <w:i/>
          <w:noProof/>
          <w:sz w:val="22"/>
        </w:rPr>
        <w:fldChar w:fldCharType="end"/>
      </w:r>
      <w:r w:rsidRPr="00525A7D">
        <w:rPr>
          <w:rFonts w:asciiTheme="minorHAnsi" w:hAnsiTheme="minorHAnsi"/>
          <w:i/>
          <w:noProof/>
          <w:sz w:val="22"/>
        </w:rPr>
        <w:t>: Institucionet e Sistemit të Drejtësisë</w:t>
      </w:r>
      <w:bookmarkEnd w:id="212"/>
    </w:p>
    <w:p w:rsidR="00525A7D" w:rsidRPr="00525A7D" w:rsidRDefault="00525A7D" w:rsidP="00525A7D">
      <w:pPr>
        <w:spacing w:line="276" w:lineRule="auto"/>
        <w:jc w:val="right"/>
        <w:rPr>
          <w:rFonts w:asciiTheme="minorHAnsi" w:eastAsia="MS Mincho" w:hAnsiTheme="minorHAnsi"/>
          <w:i/>
          <w:iCs/>
          <w:sz w:val="22"/>
          <w:lang w:val="sq-AL"/>
        </w:rPr>
      </w:pPr>
      <w:r w:rsidRPr="00525A7D">
        <w:rPr>
          <w:rFonts w:asciiTheme="minorHAnsi" w:eastAsia="MS Mincho" w:hAnsiTheme="minorHAnsi"/>
          <w:i/>
          <w:iCs/>
          <w:sz w:val="22"/>
          <w:lang w:val="sq-AL"/>
        </w:rPr>
        <w:t>Në mijë lekë</w:t>
      </w:r>
    </w:p>
    <w:tbl>
      <w:tblPr>
        <w:tblW w:w="10047" w:type="dxa"/>
        <w:jc w:val="center"/>
        <w:tblLook w:val="04A0" w:firstRow="1" w:lastRow="0" w:firstColumn="1" w:lastColumn="0" w:noHBand="0" w:noVBand="1"/>
      </w:tblPr>
      <w:tblGrid>
        <w:gridCol w:w="412"/>
        <w:gridCol w:w="4155"/>
        <w:gridCol w:w="990"/>
        <w:gridCol w:w="994"/>
        <w:gridCol w:w="948"/>
        <w:gridCol w:w="871"/>
        <w:gridCol w:w="806"/>
        <w:gridCol w:w="871"/>
      </w:tblGrid>
      <w:tr w:rsidR="00BA6F6C" w:rsidRPr="00C472AD" w:rsidTr="00BA6F6C">
        <w:trPr>
          <w:trHeight w:val="322"/>
          <w:jc w:val="center"/>
        </w:trPr>
        <w:tc>
          <w:tcPr>
            <w:tcW w:w="0" w:type="auto"/>
            <w:vMerge w:val="restart"/>
            <w:tcBorders>
              <w:top w:val="single" w:sz="8" w:space="0" w:color="4BACC6"/>
              <w:left w:val="single" w:sz="8" w:space="0" w:color="4BACC6"/>
              <w:bottom w:val="single" w:sz="8" w:space="0" w:color="4BACC6"/>
              <w:right w:val="nil"/>
            </w:tcBorders>
            <w:shd w:val="clear" w:color="000000" w:fill="4BACC6"/>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NR</w:t>
            </w:r>
          </w:p>
        </w:tc>
        <w:tc>
          <w:tcPr>
            <w:tcW w:w="4297" w:type="dxa"/>
            <w:vMerge w:val="restart"/>
            <w:tcBorders>
              <w:top w:val="single" w:sz="8" w:space="0" w:color="4BACC6"/>
              <w:left w:val="nil"/>
              <w:bottom w:val="single" w:sz="8" w:space="0" w:color="4BACC6"/>
              <w:right w:val="nil"/>
            </w:tcBorders>
            <w:shd w:val="clear" w:color="000000" w:fill="4BACC6"/>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Emërtimi I Programit/Institucionit</w:t>
            </w:r>
          </w:p>
        </w:tc>
        <w:tc>
          <w:tcPr>
            <w:tcW w:w="1984" w:type="dxa"/>
            <w:gridSpan w:val="2"/>
            <w:tcBorders>
              <w:top w:val="single" w:sz="8" w:space="0" w:color="4BACC6"/>
              <w:left w:val="nil"/>
              <w:bottom w:val="single" w:sz="8" w:space="0" w:color="4BACC6"/>
              <w:right w:val="nil"/>
            </w:tcBorders>
            <w:shd w:val="clear" w:color="000000" w:fill="4BACC6"/>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Plani 2022</w:t>
            </w:r>
          </w:p>
        </w:tc>
        <w:tc>
          <w:tcPr>
            <w:tcW w:w="0" w:type="auto"/>
            <w:gridSpan w:val="2"/>
            <w:tcBorders>
              <w:top w:val="single" w:sz="8" w:space="0" w:color="4BACC6"/>
              <w:left w:val="nil"/>
              <w:bottom w:val="single" w:sz="8" w:space="0" w:color="4BACC6"/>
              <w:right w:val="nil"/>
            </w:tcBorders>
            <w:shd w:val="clear" w:color="000000" w:fill="4BACC6"/>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sz w:val="16"/>
                <w:lang w:val="sq-AL"/>
              </w:rPr>
              <w:t>Fakti 4-mujori 2022</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Përqindja  e realizimit</w:t>
            </w:r>
          </w:p>
        </w:tc>
      </w:tr>
      <w:tr w:rsidR="00BA6F6C" w:rsidRPr="00C472AD" w:rsidTr="00BA6F6C">
        <w:trPr>
          <w:trHeight w:val="430"/>
          <w:jc w:val="center"/>
        </w:trPr>
        <w:tc>
          <w:tcPr>
            <w:tcW w:w="0" w:type="auto"/>
            <w:vMerge/>
            <w:tcBorders>
              <w:top w:val="single" w:sz="8" w:space="0" w:color="4BACC6"/>
              <w:left w:val="single" w:sz="8" w:space="0" w:color="4BACC6"/>
              <w:bottom w:val="single" w:sz="8" w:space="0" w:color="4BACC6"/>
              <w:right w:val="nil"/>
            </w:tcBorders>
            <w:vAlign w:val="center"/>
            <w:hideMark/>
          </w:tcPr>
          <w:p w:rsidR="00BA6F6C" w:rsidRPr="00C472AD" w:rsidRDefault="00BA6F6C" w:rsidP="00BA6F6C">
            <w:pPr>
              <w:spacing w:line="276" w:lineRule="auto"/>
              <w:rPr>
                <w:rFonts w:ascii="Calibri" w:hAnsi="Calibri"/>
                <w:b/>
                <w:bCs/>
                <w:sz w:val="16"/>
                <w:lang w:val="sq-AL"/>
              </w:rPr>
            </w:pPr>
          </w:p>
        </w:tc>
        <w:tc>
          <w:tcPr>
            <w:tcW w:w="4297" w:type="dxa"/>
            <w:vMerge/>
            <w:tcBorders>
              <w:top w:val="single" w:sz="8" w:space="0" w:color="4BACC6"/>
              <w:left w:val="nil"/>
              <w:bottom w:val="single" w:sz="8" w:space="0" w:color="4BACC6"/>
              <w:right w:val="nil"/>
            </w:tcBorders>
            <w:vAlign w:val="center"/>
            <w:hideMark/>
          </w:tcPr>
          <w:p w:rsidR="00BA6F6C" w:rsidRPr="00C472AD" w:rsidRDefault="00BA6F6C" w:rsidP="00BA6F6C">
            <w:pPr>
              <w:spacing w:line="276" w:lineRule="auto"/>
              <w:rPr>
                <w:rFonts w:ascii="Calibri" w:hAnsi="Calibri"/>
                <w:b/>
                <w:bCs/>
                <w:sz w:val="16"/>
                <w:lang w:val="sq-AL"/>
              </w:rPr>
            </w:pPr>
          </w:p>
        </w:tc>
        <w:tc>
          <w:tcPr>
            <w:tcW w:w="990" w:type="dxa"/>
            <w:tcBorders>
              <w:top w:val="nil"/>
              <w:left w:val="nil"/>
              <w:bottom w:val="single" w:sz="8" w:space="0" w:color="4BACC6"/>
              <w:right w:val="nil"/>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Korrente</w:t>
            </w:r>
          </w:p>
        </w:tc>
        <w:tc>
          <w:tcPr>
            <w:tcW w:w="994" w:type="dxa"/>
            <w:tcBorders>
              <w:top w:val="nil"/>
              <w:left w:val="nil"/>
              <w:bottom w:val="single" w:sz="8" w:space="0" w:color="4BACC6"/>
              <w:right w:val="nil"/>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Investime</w:t>
            </w:r>
          </w:p>
        </w:tc>
        <w:tc>
          <w:tcPr>
            <w:tcW w:w="0" w:type="auto"/>
            <w:tcBorders>
              <w:top w:val="nil"/>
              <w:left w:val="nil"/>
              <w:bottom w:val="single" w:sz="8" w:space="0" w:color="4BACC6"/>
              <w:right w:val="nil"/>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Korrente</w:t>
            </w:r>
          </w:p>
        </w:tc>
        <w:tc>
          <w:tcPr>
            <w:tcW w:w="0" w:type="auto"/>
            <w:tcBorders>
              <w:top w:val="nil"/>
              <w:left w:val="nil"/>
              <w:bottom w:val="single" w:sz="8" w:space="0" w:color="4BACC6"/>
              <w:right w:val="nil"/>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Investime</w:t>
            </w:r>
          </w:p>
        </w:tc>
        <w:tc>
          <w:tcPr>
            <w:tcW w:w="0" w:type="auto"/>
            <w:tcBorders>
              <w:top w:val="nil"/>
              <w:left w:val="nil"/>
              <w:bottom w:val="single" w:sz="8" w:space="0" w:color="4BACC6"/>
              <w:right w:val="nil"/>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Investime</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1</w:t>
            </w:r>
          </w:p>
        </w:tc>
        <w:tc>
          <w:tcPr>
            <w:tcW w:w="4297" w:type="dxa"/>
            <w:tcBorders>
              <w:top w:val="nil"/>
              <w:left w:val="nil"/>
              <w:bottom w:val="single" w:sz="8" w:space="0" w:color="4BACC6"/>
              <w:right w:val="single" w:sz="8" w:space="0" w:color="4BACC6"/>
            </w:tcBorders>
            <w:shd w:val="clear" w:color="auto" w:fill="auto"/>
            <w:vAlign w:val="center"/>
            <w:hideMark/>
          </w:tcPr>
          <w:p w:rsidR="00BA6F6C" w:rsidRPr="00C472AD" w:rsidRDefault="00BA6F6C" w:rsidP="00BA6F6C">
            <w:pPr>
              <w:spacing w:line="276" w:lineRule="auto"/>
              <w:jc w:val="center"/>
              <w:rPr>
                <w:rFonts w:ascii="Calibri" w:hAnsi="Calibri"/>
                <w:sz w:val="16"/>
                <w:lang w:val="sq-AL"/>
              </w:rPr>
            </w:pPr>
            <w:r w:rsidRPr="00C472AD">
              <w:rPr>
                <w:rFonts w:ascii="Calibri" w:hAnsi="Calibri"/>
                <w:b/>
                <w:bCs/>
                <w:sz w:val="16"/>
                <w:lang w:val="sq-AL"/>
              </w:rPr>
              <w:t>Inspektoriati i Larte i Drejtesise</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196,443</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64,000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40,966</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21</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2</w:t>
            </w:r>
          </w:p>
        </w:tc>
        <w:tc>
          <w:tcPr>
            <w:tcW w:w="4297" w:type="dxa"/>
            <w:tcBorders>
              <w:top w:val="nil"/>
              <w:left w:val="nil"/>
              <w:bottom w:val="single" w:sz="8" w:space="0" w:color="4BACC6"/>
              <w:right w:val="single" w:sz="8" w:space="0" w:color="4BACC6"/>
            </w:tcBorders>
            <w:shd w:val="clear" w:color="auto" w:fill="auto"/>
            <w:vAlign w:val="center"/>
            <w:hideMark/>
          </w:tcPr>
          <w:p w:rsidR="00BA6F6C" w:rsidRPr="00C472AD" w:rsidRDefault="00BA6F6C" w:rsidP="00BA6F6C">
            <w:pPr>
              <w:spacing w:line="276" w:lineRule="auto"/>
              <w:jc w:val="center"/>
              <w:rPr>
                <w:rFonts w:ascii="Calibri" w:hAnsi="Calibri"/>
                <w:sz w:val="16"/>
                <w:lang w:val="sq-AL"/>
              </w:rPr>
            </w:pPr>
            <w:r w:rsidRPr="00C472AD">
              <w:rPr>
                <w:rFonts w:ascii="Calibri" w:hAnsi="Calibri"/>
                <w:b/>
                <w:bCs/>
                <w:sz w:val="16"/>
                <w:lang w:val="sq-AL"/>
              </w:rPr>
              <w:t>Komisioni I Pavarur I Kualifikimit</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228,435</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bCs/>
                <w:sz w:val="16"/>
                <w:lang w:val="sq-AL"/>
              </w:rPr>
            </w:pPr>
            <w:r w:rsidRPr="00C472AD">
              <w:rPr>
                <w:rFonts w:ascii="Calibri" w:hAnsi="Calibri"/>
                <w:sz w:val="16"/>
                <w:lang w:val="sq-AL"/>
              </w:rPr>
              <w:t>73,565</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32</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3</w:t>
            </w:r>
          </w:p>
        </w:tc>
        <w:tc>
          <w:tcPr>
            <w:tcW w:w="4297" w:type="dxa"/>
            <w:tcBorders>
              <w:top w:val="nil"/>
              <w:left w:val="nil"/>
              <w:bottom w:val="single" w:sz="8" w:space="0" w:color="4BACC6"/>
              <w:right w:val="single" w:sz="8" w:space="0" w:color="4BACC6"/>
            </w:tcBorders>
            <w:shd w:val="clear" w:color="auto" w:fill="auto"/>
            <w:vAlign w:val="center"/>
            <w:hideMark/>
          </w:tcPr>
          <w:p w:rsidR="00BA6F6C" w:rsidRPr="00C472AD" w:rsidRDefault="00BA6F6C" w:rsidP="00BA6F6C">
            <w:pPr>
              <w:spacing w:line="276" w:lineRule="auto"/>
              <w:jc w:val="center"/>
              <w:rPr>
                <w:rFonts w:ascii="Calibri" w:hAnsi="Calibri"/>
                <w:sz w:val="16"/>
                <w:lang w:val="sq-AL"/>
              </w:rPr>
            </w:pPr>
            <w:r w:rsidRPr="00C472AD">
              <w:rPr>
                <w:rFonts w:ascii="Calibri" w:hAnsi="Calibri"/>
                <w:b/>
                <w:bCs/>
                <w:sz w:val="16"/>
                <w:lang w:val="sq-AL"/>
              </w:rPr>
              <w:t>Kolegji I Posaçëm I Apelimit</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192,840</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48,352</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25</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4</w:t>
            </w:r>
          </w:p>
        </w:tc>
        <w:tc>
          <w:tcPr>
            <w:tcW w:w="4297" w:type="dxa"/>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b/>
                <w:bCs/>
                <w:sz w:val="16"/>
                <w:lang w:val="sq-AL"/>
              </w:rPr>
              <w:t>Komisionerët Publikë</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71,335</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21,762</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31</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5</w:t>
            </w:r>
          </w:p>
        </w:tc>
        <w:tc>
          <w:tcPr>
            <w:tcW w:w="4297" w:type="dxa"/>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b/>
                <w:sz w:val="16"/>
                <w:lang w:val="sq-AL"/>
              </w:rPr>
            </w:pPr>
            <w:r w:rsidRPr="00C472AD">
              <w:rPr>
                <w:rFonts w:ascii="Calibri" w:hAnsi="Calibri"/>
                <w:b/>
                <w:sz w:val="16"/>
                <w:lang w:val="sq-AL"/>
              </w:rPr>
              <w:t>Struktura e Posaçme kundër Korrupsionit dhe Krimit të Organizuar</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974,301</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30,000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127,866</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13</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6</w:t>
            </w:r>
          </w:p>
        </w:tc>
        <w:tc>
          <w:tcPr>
            <w:tcW w:w="4297" w:type="dxa"/>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b/>
                <w:sz w:val="16"/>
                <w:lang w:val="sq-AL"/>
              </w:rPr>
            </w:pPr>
            <w:r w:rsidRPr="00C472AD">
              <w:rPr>
                <w:rFonts w:ascii="Calibri" w:hAnsi="Calibri"/>
                <w:b/>
                <w:sz w:val="16"/>
                <w:lang w:val="sq-AL"/>
              </w:rPr>
              <w:t>Këshilli i Lartë Gjyqësor</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3,224,726</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412,000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885,082</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2,383</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28</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w:t>
            </w:r>
          </w:p>
        </w:tc>
      </w:tr>
      <w:tr w:rsidR="00BA6F6C" w:rsidRPr="00C472AD" w:rsidTr="00BA6F6C">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7</w:t>
            </w:r>
          </w:p>
        </w:tc>
        <w:tc>
          <w:tcPr>
            <w:tcW w:w="4297" w:type="dxa"/>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b/>
                <w:sz w:val="16"/>
                <w:lang w:val="sq-AL"/>
              </w:rPr>
            </w:pPr>
            <w:r w:rsidRPr="00C472AD">
              <w:rPr>
                <w:rFonts w:ascii="Calibri" w:hAnsi="Calibri"/>
                <w:b/>
                <w:sz w:val="16"/>
                <w:lang w:val="sq-AL"/>
              </w:rPr>
              <w:t>Këshilli i Lartë i Prokurorisë</w:t>
            </w:r>
          </w:p>
        </w:tc>
        <w:tc>
          <w:tcPr>
            <w:tcW w:w="990"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141,775</w:t>
            </w:r>
          </w:p>
        </w:tc>
        <w:tc>
          <w:tcPr>
            <w:tcW w:w="994" w:type="dxa"/>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8,000</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45,126</w:t>
            </w:r>
          </w:p>
        </w:tc>
        <w:tc>
          <w:tcPr>
            <w:tcW w:w="0" w:type="auto"/>
            <w:tcBorders>
              <w:top w:val="nil"/>
              <w:left w:val="nil"/>
              <w:bottom w:val="single" w:sz="8" w:space="0" w:color="4BACC6"/>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6,956</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32</w:t>
            </w:r>
          </w:p>
        </w:tc>
        <w:tc>
          <w:tcPr>
            <w:tcW w:w="0" w:type="auto"/>
            <w:tcBorders>
              <w:top w:val="nil"/>
              <w:left w:val="nil"/>
              <w:bottom w:val="single" w:sz="8" w:space="0" w:color="4BACC6"/>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87</w:t>
            </w:r>
          </w:p>
        </w:tc>
      </w:tr>
      <w:tr w:rsidR="00BA6F6C" w:rsidRPr="00C472AD" w:rsidTr="00BA6F6C">
        <w:trPr>
          <w:trHeight w:val="170"/>
          <w:jc w:val="center"/>
        </w:trPr>
        <w:tc>
          <w:tcPr>
            <w:tcW w:w="0" w:type="auto"/>
            <w:tcBorders>
              <w:top w:val="nil"/>
              <w:left w:val="single" w:sz="8" w:space="0" w:color="4BACC6"/>
              <w:bottom w:val="nil"/>
              <w:right w:val="single" w:sz="8" w:space="0" w:color="4BACC6"/>
            </w:tcBorders>
            <w:shd w:val="clear" w:color="000000" w:fill="FFFFFF"/>
            <w:vAlign w:val="center"/>
          </w:tcPr>
          <w:p w:rsidR="00BA6F6C" w:rsidRPr="00C472AD" w:rsidRDefault="00BA6F6C" w:rsidP="00BA6F6C">
            <w:pPr>
              <w:spacing w:line="276" w:lineRule="auto"/>
              <w:jc w:val="center"/>
              <w:rPr>
                <w:rFonts w:ascii="Calibri" w:hAnsi="Calibri"/>
                <w:b/>
                <w:bCs/>
                <w:sz w:val="16"/>
                <w:lang w:val="sq-AL"/>
              </w:rPr>
            </w:pPr>
            <w:r w:rsidRPr="00C472AD">
              <w:rPr>
                <w:rFonts w:ascii="Calibri" w:hAnsi="Calibri"/>
                <w:b/>
                <w:bCs/>
                <w:sz w:val="16"/>
                <w:lang w:val="sq-AL"/>
              </w:rPr>
              <w:t>8</w:t>
            </w:r>
          </w:p>
        </w:tc>
        <w:tc>
          <w:tcPr>
            <w:tcW w:w="4297" w:type="dxa"/>
            <w:tcBorders>
              <w:top w:val="nil"/>
              <w:left w:val="nil"/>
              <w:bottom w:val="nil"/>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b/>
                <w:sz w:val="16"/>
                <w:lang w:val="sq-AL"/>
              </w:rPr>
            </w:pPr>
            <w:r w:rsidRPr="00C472AD">
              <w:rPr>
                <w:rFonts w:ascii="Calibri" w:hAnsi="Calibri"/>
                <w:b/>
                <w:sz w:val="16"/>
                <w:lang w:val="sq-AL"/>
              </w:rPr>
              <w:t>Gjykata Kushtetuese</w:t>
            </w:r>
          </w:p>
        </w:tc>
        <w:tc>
          <w:tcPr>
            <w:tcW w:w="990" w:type="dxa"/>
            <w:tcBorders>
              <w:top w:val="nil"/>
              <w:left w:val="nil"/>
              <w:bottom w:val="nil"/>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147,109</w:t>
            </w:r>
          </w:p>
        </w:tc>
        <w:tc>
          <w:tcPr>
            <w:tcW w:w="994" w:type="dxa"/>
            <w:tcBorders>
              <w:top w:val="nil"/>
              <w:left w:val="nil"/>
              <w:bottom w:val="nil"/>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19,000</w:t>
            </w:r>
          </w:p>
        </w:tc>
        <w:tc>
          <w:tcPr>
            <w:tcW w:w="0" w:type="auto"/>
            <w:tcBorders>
              <w:top w:val="nil"/>
              <w:left w:val="nil"/>
              <w:bottom w:val="nil"/>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42,575</w:t>
            </w:r>
          </w:p>
        </w:tc>
        <w:tc>
          <w:tcPr>
            <w:tcW w:w="0" w:type="auto"/>
            <w:tcBorders>
              <w:top w:val="nil"/>
              <w:left w:val="nil"/>
              <w:bottom w:val="nil"/>
              <w:right w:val="single" w:sz="8" w:space="0" w:color="4BACC6"/>
            </w:tcBorders>
            <w:shd w:val="clear" w:color="auto" w:fill="auto"/>
            <w:noWrap/>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c>
          <w:tcPr>
            <w:tcW w:w="0" w:type="auto"/>
            <w:tcBorders>
              <w:top w:val="nil"/>
              <w:left w:val="nil"/>
              <w:bottom w:val="nil"/>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29</w:t>
            </w:r>
          </w:p>
        </w:tc>
        <w:tc>
          <w:tcPr>
            <w:tcW w:w="0" w:type="auto"/>
            <w:tcBorders>
              <w:top w:val="nil"/>
              <w:left w:val="nil"/>
              <w:bottom w:val="nil"/>
              <w:right w:val="single" w:sz="8" w:space="0" w:color="4BACC6"/>
            </w:tcBorders>
            <w:shd w:val="clear" w:color="auto" w:fill="auto"/>
            <w:vAlign w:val="center"/>
          </w:tcPr>
          <w:p w:rsidR="00BA6F6C" w:rsidRPr="00C472AD" w:rsidRDefault="00BA6F6C" w:rsidP="00BA6F6C">
            <w:pPr>
              <w:spacing w:line="276" w:lineRule="auto"/>
              <w:jc w:val="center"/>
              <w:rPr>
                <w:rFonts w:ascii="Calibri" w:hAnsi="Calibri"/>
                <w:sz w:val="16"/>
                <w:lang w:val="sq-AL"/>
              </w:rPr>
            </w:pPr>
            <w:r w:rsidRPr="00C472AD">
              <w:rPr>
                <w:rFonts w:ascii="Calibri" w:hAnsi="Calibri"/>
                <w:sz w:val="16"/>
                <w:lang w:val="sq-AL"/>
              </w:rPr>
              <w:t>0</w:t>
            </w:r>
          </w:p>
        </w:tc>
      </w:tr>
      <w:tr w:rsidR="00BA6F6C" w:rsidRPr="00BA6F6C" w:rsidTr="00BA6F6C">
        <w:trPr>
          <w:trHeight w:val="270"/>
          <w:jc w:val="center"/>
        </w:trPr>
        <w:tc>
          <w:tcPr>
            <w:tcW w:w="4709" w:type="dxa"/>
            <w:gridSpan w:val="2"/>
            <w:tcBorders>
              <w:top w:val="nil"/>
              <w:left w:val="single" w:sz="8" w:space="0" w:color="4BACC6"/>
              <w:bottom w:val="single" w:sz="8" w:space="0" w:color="4BACC6"/>
              <w:right w:val="single" w:sz="8" w:space="0" w:color="4BACC6"/>
            </w:tcBorders>
            <w:shd w:val="clear" w:color="000000" w:fill="FFFFFF"/>
            <w:vAlign w:val="center"/>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Totali</w:t>
            </w:r>
          </w:p>
        </w:tc>
        <w:tc>
          <w:tcPr>
            <w:tcW w:w="990" w:type="dxa"/>
            <w:tcBorders>
              <w:top w:val="nil"/>
              <w:left w:val="nil"/>
              <w:bottom w:val="single" w:sz="8" w:space="0" w:color="4BACC6"/>
              <w:right w:val="single" w:sz="8" w:space="0" w:color="4BACC6"/>
            </w:tcBorders>
            <w:shd w:val="clear" w:color="auto" w:fill="auto"/>
            <w:noWrap/>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5,176,964</w:t>
            </w:r>
          </w:p>
        </w:tc>
        <w:tc>
          <w:tcPr>
            <w:tcW w:w="994" w:type="dxa"/>
            <w:tcBorders>
              <w:top w:val="nil"/>
              <w:left w:val="nil"/>
              <w:bottom w:val="single" w:sz="8" w:space="0" w:color="4BACC6"/>
              <w:right w:val="single" w:sz="8" w:space="0" w:color="4BACC6"/>
            </w:tcBorders>
            <w:shd w:val="clear" w:color="auto" w:fill="auto"/>
            <w:noWrap/>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539,000</w:t>
            </w:r>
          </w:p>
        </w:tc>
        <w:tc>
          <w:tcPr>
            <w:tcW w:w="0" w:type="auto"/>
            <w:tcBorders>
              <w:top w:val="nil"/>
              <w:left w:val="nil"/>
              <w:bottom w:val="single" w:sz="8" w:space="0" w:color="4BACC6"/>
              <w:right w:val="single" w:sz="8" w:space="0" w:color="4BACC6"/>
            </w:tcBorders>
            <w:shd w:val="clear" w:color="auto" w:fill="auto"/>
            <w:noWrap/>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1,285,294</w:t>
            </w:r>
          </w:p>
        </w:tc>
        <w:tc>
          <w:tcPr>
            <w:tcW w:w="0" w:type="auto"/>
            <w:tcBorders>
              <w:top w:val="nil"/>
              <w:left w:val="nil"/>
              <w:bottom w:val="single" w:sz="8" w:space="0" w:color="4BACC6"/>
              <w:right w:val="single" w:sz="8" w:space="0" w:color="4BACC6"/>
            </w:tcBorders>
            <w:shd w:val="clear" w:color="auto" w:fill="auto"/>
            <w:noWrap/>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9,339</w:t>
            </w:r>
          </w:p>
        </w:tc>
        <w:tc>
          <w:tcPr>
            <w:tcW w:w="0" w:type="auto"/>
            <w:tcBorders>
              <w:top w:val="nil"/>
              <w:left w:val="nil"/>
              <w:bottom w:val="single" w:sz="8" w:space="0" w:color="4BACC6"/>
              <w:right w:val="single" w:sz="8" w:space="0" w:color="4BACC6"/>
            </w:tcBorders>
            <w:shd w:val="clear" w:color="auto" w:fill="auto"/>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25</w:t>
            </w:r>
          </w:p>
        </w:tc>
        <w:tc>
          <w:tcPr>
            <w:tcW w:w="0" w:type="auto"/>
            <w:tcBorders>
              <w:top w:val="nil"/>
              <w:left w:val="nil"/>
              <w:bottom w:val="single" w:sz="8" w:space="0" w:color="4BACC6"/>
              <w:right w:val="single" w:sz="8" w:space="0" w:color="4BACC6"/>
            </w:tcBorders>
            <w:shd w:val="clear" w:color="auto" w:fill="auto"/>
          </w:tcPr>
          <w:p w:rsidR="00BA6F6C" w:rsidRPr="00BA6F6C" w:rsidRDefault="00BA6F6C" w:rsidP="00BA6F6C">
            <w:pPr>
              <w:spacing w:line="276" w:lineRule="auto"/>
              <w:jc w:val="center"/>
              <w:rPr>
                <w:rFonts w:ascii="Calibri" w:hAnsi="Calibri"/>
                <w:b/>
                <w:sz w:val="18"/>
                <w:lang w:val="sq-AL"/>
              </w:rPr>
            </w:pPr>
            <w:r w:rsidRPr="00BA6F6C">
              <w:rPr>
                <w:rFonts w:ascii="Calibri" w:hAnsi="Calibri"/>
                <w:b/>
                <w:sz w:val="18"/>
                <w:lang w:val="sq-AL"/>
              </w:rPr>
              <w:t>2</w:t>
            </w:r>
          </w:p>
        </w:tc>
      </w:tr>
    </w:tbl>
    <w:p w:rsidR="00525A7D" w:rsidRPr="00525A7D" w:rsidRDefault="00525A7D" w:rsidP="00BA6F6C">
      <w:pPr>
        <w:spacing w:line="276" w:lineRule="auto"/>
        <w:jc w:val="center"/>
        <w:rPr>
          <w:rFonts w:asciiTheme="minorHAnsi" w:eastAsia="MS Mincho" w:hAnsiTheme="minorHAnsi"/>
          <w:i/>
          <w:iCs/>
          <w:lang w:val="sq-AL"/>
        </w:rPr>
      </w:pPr>
    </w:p>
    <w:p w:rsidR="00BA6F6C" w:rsidRPr="00C472AD" w:rsidRDefault="00BA6F6C" w:rsidP="00BA6F6C">
      <w:pPr>
        <w:spacing w:line="276" w:lineRule="auto"/>
        <w:contextualSpacing/>
        <w:jc w:val="both"/>
        <w:rPr>
          <w:rFonts w:ascii="Calibri" w:hAnsi="Calibri"/>
          <w:lang w:val="sq-AL"/>
        </w:rPr>
      </w:pPr>
      <w:r w:rsidRPr="00C472AD">
        <w:rPr>
          <w:rFonts w:ascii="Calibri" w:hAnsi="Calibri"/>
          <w:lang w:val="sq-AL"/>
        </w:rPr>
        <w:t>Në lidhje me disa nga treguesit e performancës për institucionet e drejtësisë përmendim:</w:t>
      </w:r>
    </w:p>
    <w:p w:rsidR="00BA6F6C" w:rsidRPr="00BA6F6C" w:rsidRDefault="00BA6F6C" w:rsidP="003F6B21">
      <w:pPr>
        <w:numPr>
          <w:ilvl w:val="0"/>
          <w:numId w:val="24"/>
        </w:numPr>
        <w:contextualSpacing/>
        <w:jc w:val="both"/>
        <w:rPr>
          <w:rFonts w:ascii="Calibri" w:hAnsi="Calibri"/>
          <w:i/>
          <w:lang w:val="sq-AL"/>
        </w:rPr>
      </w:pPr>
      <w:r w:rsidRPr="00BA6F6C">
        <w:rPr>
          <w:rFonts w:ascii="Calibri" w:hAnsi="Calibri"/>
          <w:i/>
          <w:lang w:val="sq-AL"/>
        </w:rPr>
        <w:t>Institucioni i Komisionit të Pavarur të Kualifikimit (KPK), tregues të performancës ka numrin e dosjeve të shortuara, numri i dosjeve të shqyruara dhe vendime të marra. Konkretisht raportohet se prej fillimit të veprimtarisë, janë shortuar 805 subjekte rivlerësimi dhe për 4 mujorin e parë të vitit 2022 janë marrë 31 vendime dhe janë shqyrtuar afërsisht 300 dosje.</w:t>
      </w:r>
    </w:p>
    <w:p w:rsidR="00BA6F6C" w:rsidRPr="00BA6F6C" w:rsidRDefault="00BA6F6C" w:rsidP="003F6B21">
      <w:pPr>
        <w:numPr>
          <w:ilvl w:val="0"/>
          <w:numId w:val="24"/>
        </w:numPr>
        <w:contextualSpacing/>
        <w:jc w:val="both"/>
        <w:rPr>
          <w:rFonts w:ascii="Calibri" w:hAnsi="Calibri"/>
          <w:i/>
          <w:lang w:val="sq-AL"/>
        </w:rPr>
      </w:pPr>
      <w:r w:rsidRPr="00BA6F6C">
        <w:rPr>
          <w:rFonts w:ascii="Calibri" w:hAnsi="Calibri"/>
          <w:i/>
          <w:lang w:val="sq-AL"/>
        </w:rPr>
        <w:lastRenderedPageBreak/>
        <w:t>Për Komisionerin Publik produkti është “Çështje të njoftuara nga KPK dhe shqyrtuar nga KP brenda afateve ligjore”, ku rezulton se përgjatë 4 mujorit të parë të vitit 2022 nga 160 të planifikuara për vitin 2022, janë realizuar në sasi 33 çështje, shoqëruar me një kosto prej 22 milionë lekë.</w:t>
      </w:r>
    </w:p>
    <w:p w:rsidR="00BA6F6C" w:rsidRPr="00BA6F6C" w:rsidRDefault="00BA6F6C" w:rsidP="003F6B21">
      <w:pPr>
        <w:numPr>
          <w:ilvl w:val="0"/>
          <w:numId w:val="24"/>
        </w:numPr>
        <w:contextualSpacing/>
        <w:jc w:val="both"/>
        <w:rPr>
          <w:rFonts w:ascii="Calibri" w:hAnsi="Calibri"/>
          <w:i/>
          <w:lang w:val="sq-AL"/>
        </w:rPr>
      </w:pPr>
      <w:r w:rsidRPr="00BA6F6C">
        <w:rPr>
          <w:rFonts w:ascii="Calibri" w:hAnsi="Calibri"/>
          <w:i/>
          <w:lang w:val="sq-AL"/>
        </w:rPr>
        <w:t xml:space="preserve">Për Inspektoriatin e Lartë të Drejtësisë produkti Inspektime të kryera, përgjatë 4 mujorit të parë të vitit 2022 është realizuar me rreth 20% kundrejtë sasisë vjetore të planifikuar, Pranë zyrës së ILD gjatë periudhës janar – prill 2022  janë depozituar 585 ankesa nga 2,963 të planifikuara për vitin 2022. </w:t>
      </w:r>
    </w:p>
    <w:p w:rsidR="00BA6F6C" w:rsidRPr="00BA6F6C" w:rsidRDefault="00BA6F6C" w:rsidP="003F6B21">
      <w:pPr>
        <w:numPr>
          <w:ilvl w:val="0"/>
          <w:numId w:val="24"/>
        </w:numPr>
        <w:contextualSpacing/>
        <w:jc w:val="both"/>
        <w:rPr>
          <w:rFonts w:ascii="Calibri" w:hAnsi="Calibri"/>
          <w:i/>
          <w:lang w:val="sq-AL"/>
        </w:rPr>
      </w:pPr>
      <w:r w:rsidRPr="00BA6F6C">
        <w:rPr>
          <w:rFonts w:ascii="Calibri" w:hAnsi="Calibri"/>
          <w:i/>
          <w:lang w:val="sq-AL"/>
        </w:rPr>
        <w:t>Struktura e Posaçme kundër Korrupsionit dhe Krimit të Organizuar, për përmbushjen e objektivit të saj “Lufta kund</w:t>
      </w:r>
      <w:r w:rsidR="009647C4">
        <w:rPr>
          <w:rFonts w:ascii="Calibri" w:hAnsi="Calibri"/>
          <w:i/>
          <w:lang w:val="sq-AL"/>
        </w:rPr>
        <w:t>ë</w:t>
      </w:r>
      <w:r w:rsidRPr="00BA6F6C">
        <w:rPr>
          <w:rFonts w:ascii="Calibri" w:hAnsi="Calibri"/>
          <w:i/>
          <w:lang w:val="sq-AL"/>
        </w:rPr>
        <w:t>r krimit t</w:t>
      </w:r>
      <w:r w:rsidR="009647C4">
        <w:rPr>
          <w:rFonts w:ascii="Calibri" w:hAnsi="Calibri"/>
          <w:i/>
          <w:lang w:val="sq-AL"/>
        </w:rPr>
        <w:t>ë</w:t>
      </w:r>
      <w:r w:rsidRPr="00BA6F6C">
        <w:rPr>
          <w:rFonts w:ascii="Calibri" w:hAnsi="Calibri"/>
          <w:i/>
          <w:lang w:val="sq-AL"/>
        </w:rPr>
        <w:t xml:space="preserve"> organizuar dhe korrupsionit, ustrimit t</w:t>
      </w:r>
      <w:r w:rsidR="009647C4">
        <w:rPr>
          <w:rFonts w:ascii="Calibri" w:hAnsi="Calibri"/>
          <w:i/>
          <w:lang w:val="sq-AL"/>
        </w:rPr>
        <w:t>ë</w:t>
      </w:r>
      <w:r w:rsidRPr="00BA6F6C">
        <w:rPr>
          <w:rFonts w:ascii="Calibri" w:hAnsi="Calibri"/>
          <w:i/>
          <w:lang w:val="sq-AL"/>
        </w:rPr>
        <w:t xml:space="preserve"> ndjekjes penale dhe p</w:t>
      </w:r>
      <w:r w:rsidR="009647C4">
        <w:rPr>
          <w:rFonts w:ascii="Calibri" w:hAnsi="Calibri"/>
          <w:i/>
          <w:lang w:val="sq-AL"/>
        </w:rPr>
        <w:t>ë</w:t>
      </w:r>
      <w:r w:rsidRPr="00BA6F6C">
        <w:rPr>
          <w:rFonts w:ascii="Calibri" w:hAnsi="Calibri"/>
          <w:i/>
          <w:lang w:val="sq-AL"/>
        </w:rPr>
        <w:t>rfaq</w:t>
      </w:r>
      <w:r w:rsidR="009647C4">
        <w:rPr>
          <w:rFonts w:ascii="Calibri" w:hAnsi="Calibri"/>
          <w:i/>
          <w:lang w:val="sq-AL"/>
        </w:rPr>
        <w:t>ë</w:t>
      </w:r>
      <w:r w:rsidRPr="00BA6F6C">
        <w:rPr>
          <w:rFonts w:ascii="Calibri" w:hAnsi="Calibri"/>
          <w:i/>
          <w:lang w:val="sq-AL"/>
        </w:rPr>
        <w:t>simit t</w:t>
      </w:r>
      <w:r w:rsidR="009647C4">
        <w:rPr>
          <w:rFonts w:ascii="Calibri" w:hAnsi="Calibri"/>
          <w:i/>
          <w:lang w:val="sq-AL"/>
        </w:rPr>
        <w:t>ë</w:t>
      </w:r>
      <w:r w:rsidRPr="00BA6F6C">
        <w:rPr>
          <w:rFonts w:ascii="Calibri" w:hAnsi="Calibri"/>
          <w:i/>
          <w:lang w:val="sq-AL"/>
        </w:rPr>
        <w:t xml:space="preserve"> akuz</w:t>
      </w:r>
      <w:r w:rsidR="009647C4">
        <w:rPr>
          <w:rFonts w:ascii="Calibri" w:hAnsi="Calibri"/>
          <w:i/>
          <w:lang w:val="sq-AL"/>
        </w:rPr>
        <w:t>ë</w:t>
      </w:r>
      <w:r w:rsidRPr="00BA6F6C">
        <w:rPr>
          <w:rFonts w:ascii="Calibri" w:hAnsi="Calibri"/>
          <w:i/>
          <w:lang w:val="sq-AL"/>
        </w:rPr>
        <w:t>s pran</w:t>
      </w:r>
      <w:r w:rsidR="009647C4">
        <w:rPr>
          <w:rFonts w:ascii="Calibri" w:hAnsi="Calibri"/>
          <w:i/>
          <w:lang w:val="sq-AL"/>
        </w:rPr>
        <w:t>ë</w:t>
      </w:r>
      <w:r w:rsidRPr="00BA6F6C">
        <w:rPr>
          <w:rFonts w:ascii="Calibri" w:hAnsi="Calibri"/>
          <w:i/>
          <w:lang w:val="sq-AL"/>
        </w:rPr>
        <w:t xml:space="preserve"> Gjykatave t</w:t>
      </w:r>
      <w:r w:rsidR="009647C4">
        <w:rPr>
          <w:rFonts w:ascii="Calibri" w:hAnsi="Calibri"/>
          <w:i/>
          <w:lang w:val="sq-AL"/>
        </w:rPr>
        <w:t>ë</w:t>
      </w:r>
      <w:r w:rsidRPr="00BA6F6C">
        <w:rPr>
          <w:rFonts w:ascii="Calibri" w:hAnsi="Calibri"/>
          <w:i/>
          <w:lang w:val="sq-AL"/>
        </w:rPr>
        <w:t xml:space="preserve"> Posaçme dhe Gjykat</w:t>
      </w:r>
      <w:r w:rsidR="009647C4">
        <w:rPr>
          <w:rFonts w:ascii="Calibri" w:hAnsi="Calibri"/>
          <w:i/>
          <w:lang w:val="sq-AL"/>
        </w:rPr>
        <w:t>ë</w:t>
      </w:r>
      <w:r w:rsidRPr="00BA6F6C">
        <w:rPr>
          <w:rFonts w:ascii="Calibri" w:hAnsi="Calibri"/>
          <w:i/>
          <w:lang w:val="sq-AL"/>
        </w:rPr>
        <w:t>s s</w:t>
      </w:r>
      <w:r w:rsidR="009647C4">
        <w:rPr>
          <w:rFonts w:ascii="Calibri" w:hAnsi="Calibri"/>
          <w:i/>
          <w:lang w:val="sq-AL"/>
        </w:rPr>
        <w:t>ë</w:t>
      </w:r>
      <w:r w:rsidRPr="00BA6F6C">
        <w:rPr>
          <w:rFonts w:ascii="Calibri" w:hAnsi="Calibri"/>
          <w:i/>
          <w:lang w:val="sq-AL"/>
        </w:rPr>
        <w:t xml:space="preserve"> Lart</w:t>
      </w:r>
      <w:r w:rsidR="009647C4">
        <w:rPr>
          <w:rFonts w:ascii="Calibri" w:hAnsi="Calibri"/>
          <w:i/>
          <w:lang w:val="sq-AL"/>
        </w:rPr>
        <w:t>ë</w:t>
      </w:r>
      <w:r w:rsidRPr="00BA6F6C">
        <w:rPr>
          <w:rFonts w:ascii="Calibri" w:hAnsi="Calibri"/>
          <w:i/>
          <w:lang w:val="sq-AL"/>
        </w:rPr>
        <w:t>” ka p</w:t>
      </w:r>
      <w:r w:rsidR="009647C4">
        <w:rPr>
          <w:rFonts w:ascii="Calibri" w:hAnsi="Calibri"/>
          <w:i/>
          <w:lang w:val="sq-AL"/>
        </w:rPr>
        <w:t>ë</w:t>
      </w:r>
      <w:r w:rsidRPr="00BA6F6C">
        <w:rPr>
          <w:rFonts w:ascii="Calibri" w:hAnsi="Calibri"/>
          <w:i/>
          <w:lang w:val="sq-AL"/>
        </w:rPr>
        <w:t>rfunduar 26 % të çështjeve të rregjistruara si edhe ka përfunduar gjykimi për 39 % të personave të regjistruar për tu gjykuar.</w:t>
      </w:r>
    </w:p>
    <w:p w:rsidR="00525A7D" w:rsidRPr="00BA6F6C" w:rsidRDefault="00BA6F6C" w:rsidP="003F6B21">
      <w:pPr>
        <w:numPr>
          <w:ilvl w:val="0"/>
          <w:numId w:val="24"/>
        </w:numPr>
        <w:contextualSpacing/>
        <w:jc w:val="both"/>
        <w:rPr>
          <w:rFonts w:asciiTheme="minorHAnsi" w:eastAsia="MS Mincho" w:hAnsiTheme="minorHAnsi"/>
          <w:i/>
          <w:lang w:val="sq-AL"/>
        </w:rPr>
      </w:pPr>
      <w:r w:rsidRPr="00BA6F6C">
        <w:rPr>
          <w:rFonts w:ascii="Calibri" w:hAnsi="Calibri"/>
          <w:i/>
          <w:lang w:val="sq-AL"/>
        </w:rPr>
        <w:t>Këshilli i Lartë Gjyqësor, ka si tregues performance numër çështjesh të gjykuara, ku përgjatë 4 mujorit të parë të vitit 2022 janë gjykuar rreth 44,518 çështjem shoqëruar me një kosto prej 819 milionë lekë</w:t>
      </w:r>
      <w:r w:rsidR="00525A7D" w:rsidRPr="00BA6F6C">
        <w:rPr>
          <w:rFonts w:asciiTheme="minorHAnsi" w:eastAsia="MS Mincho" w:hAnsiTheme="minorHAnsi"/>
          <w:i/>
          <w:lang w:val="sq-AL"/>
        </w:rPr>
        <w:t>.</w:t>
      </w:r>
    </w:p>
    <w:p w:rsidR="00F55B92" w:rsidRDefault="00F55B92" w:rsidP="006F25E7">
      <w:pPr>
        <w:spacing w:line="276" w:lineRule="auto"/>
        <w:rPr>
          <w:rFonts w:asciiTheme="minorHAnsi" w:hAnsiTheme="minorHAnsi"/>
        </w:rPr>
      </w:pPr>
    </w:p>
    <w:p w:rsidR="00CA5051" w:rsidRPr="00BF005F" w:rsidRDefault="00CA5051" w:rsidP="006F25E7">
      <w:pPr>
        <w:spacing w:line="276" w:lineRule="auto"/>
        <w:rPr>
          <w:rFonts w:asciiTheme="minorHAnsi" w:hAnsiTheme="minorHAnsi"/>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FINANCAT, EKONOMIA, PUNËSIMI DHE ARSIMI PROFESIONAL</w:t>
      </w:r>
    </w:p>
    <w:p w:rsidR="00990CDF" w:rsidRPr="00BF005F" w:rsidRDefault="00BA6F6C" w:rsidP="0083048A">
      <w:pPr>
        <w:jc w:val="both"/>
        <w:rPr>
          <w:rFonts w:asciiTheme="minorHAnsi" w:hAnsiTheme="minorHAnsi"/>
          <w:lang w:val="sq-AL"/>
        </w:rPr>
      </w:pPr>
      <w:bookmarkStart w:id="213" w:name="_Toc10033299"/>
      <w:bookmarkStart w:id="214" w:name="_Toc10721435"/>
      <w:bookmarkStart w:id="215" w:name="_Toc11134234"/>
      <w:bookmarkEnd w:id="209"/>
      <w:bookmarkEnd w:id="210"/>
      <w:bookmarkEnd w:id="211"/>
      <w:r w:rsidRPr="00BA6F6C">
        <w:rPr>
          <w:rFonts w:asciiTheme="minorHAnsi" w:hAnsiTheme="minorHAnsi"/>
          <w:lang w:val="sq-AL"/>
        </w:rPr>
        <w:t>Shpenzimet e planifikuara për vitin 2022 dhe ato faktike për 4</w:t>
      </w:r>
      <w:r w:rsidR="0056470D">
        <w:rPr>
          <w:rFonts w:asciiTheme="minorHAnsi" w:hAnsiTheme="minorHAnsi"/>
          <w:lang w:val="sq-AL"/>
        </w:rPr>
        <w:t xml:space="preserve">M I, </w:t>
      </w:r>
      <w:r w:rsidRPr="00BA6F6C">
        <w:rPr>
          <w:rFonts w:asciiTheme="minorHAnsi" w:hAnsiTheme="minorHAnsi"/>
          <w:lang w:val="sq-AL"/>
        </w:rPr>
        <w:t>si dhe realizimi në përqindje për Ministrinë e Financave dhe Ekonomisë, për disa nga prog</w:t>
      </w:r>
      <w:r>
        <w:rPr>
          <w:rFonts w:asciiTheme="minorHAnsi" w:hAnsiTheme="minorHAnsi"/>
          <w:lang w:val="sq-AL"/>
        </w:rPr>
        <w:t>ramet kryesore, paraqiten si më</w:t>
      </w:r>
      <w:r w:rsidRPr="00BA6F6C">
        <w:rPr>
          <w:rFonts w:asciiTheme="minorHAnsi" w:hAnsiTheme="minorHAnsi"/>
          <w:lang w:val="sq-AL"/>
        </w:rPr>
        <w:t>poshtë</w:t>
      </w:r>
      <w:r w:rsidR="00990CDF" w:rsidRPr="00BF005F">
        <w:rPr>
          <w:rFonts w:asciiTheme="minorHAnsi" w:hAnsiTheme="minorHAnsi"/>
          <w:lang w:val="sq-AL"/>
        </w:rPr>
        <w:t>:</w:t>
      </w:r>
    </w:p>
    <w:p w:rsidR="00990CDF" w:rsidRPr="00F55B92" w:rsidRDefault="009B6CFE" w:rsidP="0083048A">
      <w:pPr>
        <w:pStyle w:val="Caption"/>
        <w:spacing w:before="240" w:after="0"/>
        <w:rPr>
          <w:rFonts w:asciiTheme="minorHAnsi" w:hAnsiTheme="minorHAnsi"/>
          <w:b w:val="0"/>
          <w:bCs w:val="0"/>
          <w:i/>
          <w:noProof/>
          <w:color w:val="auto"/>
          <w:sz w:val="22"/>
          <w:szCs w:val="24"/>
          <w:lang w:val="sq-AL"/>
        </w:rPr>
      </w:pPr>
      <w:bookmarkStart w:id="216" w:name="_Toc107496781"/>
      <w:r w:rsidRPr="009B6CFE">
        <w:rPr>
          <w:rFonts w:asciiTheme="minorHAnsi" w:hAnsiTheme="minorHAnsi"/>
          <w:b w:val="0"/>
          <w:bCs w:val="0"/>
          <w:i/>
          <w:noProof/>
          <w:color w:val="auto"/>
          <w:sz w:val="22"/>
          <w:szCs w:val="24"/>
          <w:lang w:val="sq-AL"/>
        </w:rPr>
        <w:t xml:space="preserve">Tabela </w:t>
      </w:r>
      <w:r w:rsidRPr="009B6CFE">
        <w:rPr>
          <w:rFonts w:asciiTheme="minorHAnsi" w:hAnsiTheme="minorHAnsi"/>
          <w:b w:val="0"/>
          <w:bCs w:val="0"/>
          <w:i/>
          <w:noProof/>
          <w:color w:val="auto"/>
          <w:sz w:val="22"/>
          <w:szCs w:val="24"/>
          <w:lang w:val="sq-AL"/>
        </w:rPr>
        <w:fldChar w:fldCharType="begin"/>
      </w:r>
      <w:r w:rsidRPr="009B6CFE">
        <w:rPr>
          <w:rFonts w:asciiTheme="minorHAnsi" w:hAnsiTheme="minorHAnsi"/>
          <w:b w:val="0"/>
          <w:bCs w:val="0"/>
          <w:i/>
          <w:noProof/>
          <w:color w:val="auto"/>
          <w:sz w:val="22"/>
          <w:szCs w:val="24"/>
          <w:lang w:val="sq-AL"/>
        </w:rPr>
        <w:instrText xml:space="preserve"> SEQ Tabela \* ARABIC </w:instrText>
      </w:r>
      <w:r w:rsidRPr="009B6CFE">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45</w:t>
      </w:r>
      <w:r w:rsidRPr="009B6CFE">
        <w:rPr>
          <w:rFonts w:asciiTheme="minorHAnsi" w:hAnsiTheme="minorHAnsi"/>
          <w:b w:val="0"/>
          <w:bCs w:val="0"/>
          <w:i/>
          <w:noProof/>
          <w:color w:val="auto"/>
          <w:sz w:val="22"/>
          <w:szCs w:val="24"/>
          <w:lang w:val="sq-AL"/>
        </w:rPr>
        <w:fldChar w:fldCharType="end"/>
      </w:r>
      <w:r w:rsidR="00CF57B7">
        <w:rPr>
          <w:rFonts w:asciiTheme="minorHAnsi" w:hAnsiTheme="minorHAnsi"/>
          <w:b w:val="0"/>
          <w:bCs w:val="0"/>
          <w:i/>
          <w:noProof/>
          <w:color w:val="auto"/>
          <w:sz w:val="22"/>
          <w:szCs w:val="24"/>
          <w:lang w:val="sq-AL"/>
        </w:rPr>
        <w:t>:</w:t>
      </w:r>
      <w:r w:rsidR="00990CDF" w:rsidRPr="00F55B92">
        <w:rPr>
          <w:rFonts w:asciiTheme="minorHAnsi" w:hAnsiTheme="minorHAnsi"/>
          <w:b w:val="0"/>
          <w:bCs w:val="0"/>
          <w:i/>
          <w:noProof/>
          <w:color w:val="auto"/>
          <w:sz w:val="22"/>
          <w:szCs w:val="24"/>
          <w:lang w:val="sq-AL"/>
        </w:rPr>
        <w:t xml:space="preserve"> Financat, Ekonomia, Punësimi dhe Arsimi Profesional</w:t>
      </w:r>
      <w:bookmarkEnd w:id="216"/>
    </w:p>
    <w:p w:rsidR="00990CDF" w:rsidRPr="00F55B92" w:rsidRDefault="00990CDF" w:rsidP="006F25E7">
      <w:pPr>
        <w:spacing w:line="276" w:lineRule="auto"/>
        <w:jc w:val="right"/>
        <w:rPr>
          <w:rFonts w:asciiTheme="minorHAnsi" w:eastAsia="MS Mincho" w:hAnsiTheme="minorHAnsi"/>
          <w:i/>
          <w:sz w:val="22"/>
          <w:lang w:val="sq-AL"/>
        </w:rPr>
      </w:pPr>
      <w:r w:rsidRPr="00F55B92">
        <w:rPr>
          <w:rFonts w:asciiTheme="minorHAnsi" w:eastAsia="MS Mincho" w:hAnsiTheme="minorHAnsi"/>
          <w:sz w:val="22"/>
          <w:lang w:val="sq-AL"/>
        </w:rPr>
        <w:t xml:space="preserve">                                                                                                                                               </w:t>
      </w:r>
      <w:r w:rsidRPr="00F55B92">
        <w:rPr>
          <w:rFonts w:asciiTheme="minorHAnsi" w:eastAsia="MS Mincho" w:hAnsiTheme="minorHAnsi"/>
          <w:i/>
          <w:sz w:val="22"/>
          <w:lang w:val="sq-AL"/>
        </w:rPr>
        <w:t>Në mijë lekë</w:t>
      </w:r>
    </w:p>
    <w:tbl>
      <w:tblPr>
        <w:tblW w:w="9720" w:type="dxa"/>
        <w:jc w:val="center"/>
        <w:tblLook w:val="04A0" w:firstRow="1" w:lastRow="0" w:firstColumn="1" w:lastColumn="0" w:noHBand="0" w:noVBand="1"/>
      </w:tblPr>
      <w:tblGrid>
        <w:gridCol w:w="3061"/>
        <w:gridCol w:w="1039"/>
        <w:gridCol w:w="1188"/>
        <w:gridCol w:w="1187"/>
        <w:gridCol w:w="1188"/>
        <w:gridCol w:w="1005"/>
        <w:gridCol w:w="1052"/>
      </w:tblGrid>
      <w:tr w:rsidR="0083048A" w:rsidRPr="00934EAC" w:rsidTr="0083048A">
        <w:trPr>
          <w:trHeight w:val="222"/>
          <w:jc w:val="center"/>
        </w:trPr>
        <w:tc>
          <w:tcPr>
            <w:tcW w:w="3220" w:type="dxa"/>
            <w:tcBorders>
              <w:top w:val="single" w:sz="8" w:space="0" w:color="4BACC6"/>
              <w:left w:val="single" w:sz="8" w:space="0" w:color="4BACC6"/>
              <w:bottom w:val="nil"/>
              <w:right w:val="nil"/>
            </w:tcBorders>
            <w:shd w:val="clear" w:color="000000" w:fill="4BACC6"/>
            <w:vAlign w:val="center"/>
            <w:hideMark/>
          </w:tcPr>
          <w:p w:rsidR="0083048A" w:rsidRPr="00934EAC" w:rsidRDefault="0083048A" w:rsidP="0016643F">
            <w:pPr>
              <w:rPr>
                <w:rFonts w:ascii="Calibri" w:hAnsi="Calibri"/>
                <w:b/>
                <w:bCs/>
                <w:color w:val="FFFFFF"/>
                <w:sz w:val="18"/>
                <w:szCs w:val="18"/>
                <w:lang w:val="it-IT"/>
              </w:rPr>
            </w:pPr>
            <w:r w:rsidRPr="00934EAC">
              <w:rPr>
                <w:rFonts w:ascii="Calibri" w:hAnsi="Calibri"/>
                <w:b/>
                <w:bCs/>
                <w:color w:val="FFFFFF"/>
                <w:sz w:val="18"/>
                <w:szCs w:val="18"/>
                <w:lang w:val="it-IT"/>
              </w:rPr>
              <w:t> </w:t>
            </w:r>
          </w:p>
        </w:tc>
        <w:tc>
          <w:tcPr>
            <w:tcW w:w="2068" w:type="dxa"/>
            <w:gridSpan w:val="2"/>
            <w:tcBorders>
              <w:top w:val="single" w:sz="8" w:space="0" w:color="4BACC6"/>
              <w:left w:val="nil"/>
              <w:bottom w:val="single" w:sz="8" w:space="0" w:color="4BACC6"/>
              <w:right w:val="nil"/>
            </w:tcBorders>
            <w:shd w:val="clear" w:color="000000" w:fill="4BACC6"/>
            <w:vAlign w:val="center"/>
            <w:hideMark/>
          </w:tcPr>
          <w:p w:rsidR="0083048A" w:rsidRPr="00934EAC" w:rsidRDefault="0083048A" w:rsidP="0016643F">
            <w:pPr>
              <w:jc w:val="center"/>
              <w:rPr>
                <w:rFonts w:ascii="Calibri" w:hAnsi="Calibri"/>
                <w:b/>
                <w:bCs/>
                <w:color w:val="FFFFFF"/>
                <w:sz w:val="20"/>
                <w:szCs w:val="20"/>
              </w:rPr>
            </w:pPr>
            <w:r w:rsidRPr="00934EAC">
              <w:rPr>
                <w:rFonts w:ascii="Calibri" w:hAnsi="Calibri"/>
                <w:b/>
                <w:bCs/>
                <w:color w:val="FFFFFF"/>
                <w:sz w:val="20"/>
                <w:szCs w:val="20"/>
              </w:rPr>
              <w:t>Plani 2022</w:t>
            </w:r>
          </w:p>
        </w:tc>
        <w:tc>
          <w:tcPr>
            <w:tcW w:w="2375" w:type="dxa"/>
            <w:gridSpan w:val="2"/>
            <w:tcBorders>
              <w:top w:val="single" w:sz="8" w:space="0" w:color="4BACC6"/>
              <w:left w:val="nil"/>
              <w:bottom w:val="single" w:sz="8" w:space="0" w:color="4BACC6"/>
              <w:right w:val="nil"/>
            </w:tcBorders>
            <w:shd w:val="clear" w:color="000000" w:fill="4BACC6"/>
            <w:vAlign w:val="center"/>
            <w:hideMark/>
          </w:tcPr>
          <w:p w:rsidR="0083048A" w:rsidRPr="00934EAC" w:rsidRDefault="0083048A" w:rsidP="0016643F">
            <w:pPr>
              <w:jc w:val="center"/>
              <w:rPr>
                <w:rFonts w:ascii="Calibri" w:hAnsi="Calibri"/>
                <w:b/>
                <w:bCs/>
                <w:color w:val="FFFFFF"/>
                <w:sz w:val="20"/>
                <w:szCs w:val="20"/>
              </w:rPr>
            </w:pPr>
            <w:r w:rsidRPr="00934EAC">
              <w:rPr>
                <w:rFonts w:ascii="Calibri" w:hAnsi="Calibri"/>
                <w:b/>
                <w:bCs/>
                <w:color w:val="FFFFFF"/>
                <w:sz w:val="20"/>
                <w:szCs w:val="20"/>
              </w:rPr>
              <w:t>Fakti 4 mujor</w:t>
            </w:r>
          </w:p>
        </w:tc>
        <w:tc>
          <w:tcPr>
            <w:tcW w:w="2057" w:type="dxa"/>
            <w:gridSpan w:val="2"/>
            <w:tcBorders>
              <w:top w:val="single" w:sz="8" w:space="0" w:color="4BACC6"/>
              <w:left w:val="nil"/>
              <w:bottom w:val="single" w:sz="8" w:space="0" w:color="4BACC6"/>
              <w:right w:val="single" w:sz="8" w:space="0" w:color="4BACC6"/>
            </w:tcBorders>
            <w:shd w:val="clear" w:color="000000" w:fill="4BACC6"/>
            <w:vAlign w:val="center"/>
            <w:hideMark/>
          </w:tcPr>
          <w:p w:rsidR="0083048A" w:rsidRPr="00934EAC" w:rsidRDefault="0083048A" w:rsidP="0016643F">
            <w:pPr>
              <w:jc w:val="center"/>
              <w:rPr>
                <w:rFonts w:ascii="Calibri" w:hAnsi="Calibri"/>
                <w:b/>
                <w:bCs/>
                <w:color w:val="FFFFFF"/>
                <w:sz w:val="20"/>
                <w:szCs w:val="20"/>
              </w:rPr>
            </w:pPr>
            <w:r w:rsidRPr="00934EAC">
              <w:rPr>
                <w:rFonts w:ascii="Calibri" w:hAnsi="Calibri"/>
                <w:b/>
                <w:bCs/>
                <w:color w:val="FFFFFF"/>
                <w:sz w:val="20"/>
                <w:szCs w:val="20"/>
              </w:rPr>
              <w:t>Përqindja  e realizimit</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b/>
                <w:bCs/>
                <w:color w:val="000000"/>
                <w:sz w:val="18"/>
                <w:szCs w:val="18"/>
              </w:rPr>
            </w:pPr>
            <w:r w:rsidRPr="00934EAC">
              <w:rPr>
                <w:rFonts w:ascii="Calibri" w:hAnsi="Calibri"/>
                <w:b/>
                <w:bCs/>
                <w:color w:val="000000"/>
                <w:sz w:val="18"/>
                <w:szCs w:val="18"/>
              </w:rPr>
              <w:t>Emërtimi i Programit</w:t>
            </w:r>
          </w:p>
        </w:tc>
        <w:tc>
          <w:tcPr>
            <w:tcW w:w="880"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Korrente</w:t>
            </w:r>
          </w:p>
        </w:tc>
        <w:tc>
          <w:tcPr>
            <w:tcW w:w="1188"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Investime</w:t>
            </w:r>
          </w:p>
        </w:tc>
        <w:tc>
          <w:tcPr>
            <w:tcW w:w="1187"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Korrente</w:t>
            </w:r>
          </w:p>
        </w:tc>
        <w:tc>
          <w:tcPr>
            <w:tcW w:w="1188"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Investime</w:t>
            </w:r>
          </w:p>
        </w:tc>
        <w:tc>
          <w:tcPr>
            <w:tcW w:w="1005"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Korrente</w:t>
            </w:r>
          </w:p>
        </w:tc>
        <w:tc>
          <w:tcPr>
            <w:tcW w:w="1052" w:type="dxa"/>
            <w:tcBorders>
              <w:top w:val="nil"/>
              <w:left w:val="nil"/>
              <w:bottom w:val="single" w:sz="8" w:space="0" w:color="4BACC6"/>
              <w:right w:val="single" w:sz="8" w:space="0" w:color="4BACC6"/>
            </w:tcBorders>
            <w:shd w:val="clear" w:color="auto" w:fill="auto"/>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Investime</w:t>
            </w:r>
          </w:p>
        </w:tc>
      </w:tr>
      <w:tr w:rsidR="0083048A" w:rsidRPr="00934EAC" w:rsidTr="0083048A">
        <w:trPr>
          <w:trHeight w:val="348"/>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Planifikimi, Menaxhimi dhe Administrimi</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525,599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203,000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154,208</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170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29.34</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0.08</w:t>
            </w:r>
          </w:p>
        </w:tc>
      </w:tr>
      <w:tr w:rsidR="0083048A" w:rsidRPr="0083048A"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Financim i huaj</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350,000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19,250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5.50</w:t>
            </w:r>
          </w:p>
        </w:tc>
      </w:tr>
      <w:tr w:rsidR="0083048A" w:rsidRPr="0083048A" w:rsidTr="0083048A">
        <w:trPr>
          <w:trHeight w:val="313"/>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Menaxhimi i Shpenzimeve Publike</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359,421</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128,032</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35.62</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RPr="0083048A"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83048A" w:rsidRDefault="0083048A" w:rsidP="0016643F">
            <w:pPr>
              <w:jc w:val="center"/>
              <w:rPr>
                <w:rFonts w:ascii="Calibri" w:hAnsi="Calibri"/>
                <w:color w:val="000000"/>
                <w:sz w:val="18"/>
                <w:szCs w:val="18"/>
              </w:rPr>
            </w:pPr>
            <w:r w:rsidRPr="0083048A">
              <w:rPr>
                <w:rFonts w:ascii="Calibri" w:hAnsi="Calibri"/>
                <w:color w:val="000000"/>
                <w:sz w:val="18"/>
                <w:szCs w:val="18"/>
              </w:rPr>
              <w:t>Ekzekutimi i Pagesave të Ndryshme</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586,889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156,119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26.60</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RPr="0083048A"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83048A" w:rsidRDefault="0083048A" w:rsidP="0016643F">
            <w:pPr>
              <w:jc w:val="center"/>
              <w:rPr>
                <w:rFonts w:ascii="Calibri" w:hAnsi="Calibri"/>
                <w:color w:val="000000"/>
                <w:sz w:val="18"/>
                <w:szCs w:val="18"/>
              </w:rPr>
            </w:pPr>
            <w:r w:rsidRPr="0083048A">
              <w:rPr>
                <w:rFonts w:ascii="Calibri" w:hAnsi="Calibri"/>
                <w:color w:val="000000"/>
                <w:sz w:val="18"/>
                <w:szCs w:val="18"/>
              </w:rPr>
              <w:t>Menaxhimi i të Ardhurave Tatimore</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2,853,699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342,640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651,545</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40,142</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22.83</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11.72</w:t>
            </w:r>
          </w:p>
        </w:tc>
      </w:tr>
      <w:tr w:rsidR="0083048A" w:rsidRPr="0083048A"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83048A" w:rsidRDefault="0083048A" w:rsidP="0016643F">
            <w:pPr>
              <w:jc w:val="center"/>
              <w:rPr>
                <w:rFonts w:ascii="Calibri" w:hAnsi="Calibri"/>
                <w:color w:val="000000"/>
                <w:sz w:val="18"/>
                <w:szCs w:val="18"/>
              </w:rPr>
            </w:pPr>
            <w:r w:rsidRPr="0083048A">
              <w:rPr>
                <w:rFonts w:ascii="Calibri" w:hAnsi="Calibri"/>
                <w:color w:val="000000"/>
                <w:sz w:val="18"/>
                <w:szCs w:val="18"/>
              </w:rPr>
              <w:t>Menaxhimi i të Ardhurave Doganore</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3,602,600</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153,220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1,151,677</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7,070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31.97</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4.61</w:t>
            </w:r>
          </w:p>
        </w:tc>
      </w:tr>
      <w:tr w:rsidR="0083048A" w:rsidRPr="00934EAC" w:rsidTr="0083048A">
        <w:trPr>
          <w:trHeight w:val="313"/>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Financim i huaj</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120,690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669</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0.55</w:t>
            </w:r>
          </w:p>
        </w:tc>
      </w:tr>
      <w:tr w:rsidR="0083048A" w:rsidRPr="00934EAC" w:rsidTr="0083048A">
        <w:trPr>
          <w:trHeight w:val="349"/>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Lufta kundër Transaksioneve Financiare Jo-Ligjore</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74,775</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20,102</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26.88</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Mbështetje për Zhvillim Ekonomik</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360,470</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71,800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77,694</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21.55</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Financim i huaj</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150,000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7,134</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4.76</w:t>
            </w:r>
          </w:p>
        </w:tc>
      </w:tr>
      <w:tr w:rsidR="0083048A" w:rsidRPr="00934EAC" w:rsidTr="0083048A">
        <w:trPr>
          <w:trHeight w:val="349"/>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lang w:val="it-IT"/>
              </w:rPr>
              <w:t xml:space="preserve">Mbështetje për Mbikq. e Tregut, Infrast. e Cilës. dhe Pron. </w:t>
            </w:r>
            <w:r w:rsidRPr="00934EAC">
              <w:rPr>
                <w:rFonts w:ascii="Calibri" w:hAnsi="Calibri"/>
                <w:color w:val="000000"/>
                <w:sz w:val="18"/>
                <w:szCs w:val="18"/>
              </w:rPr>
              <w:t>Industr.</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296,100</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16,500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90,366</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30.52</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0.24</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Inspektimi në Punë</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162,697</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4,500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48,160</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2,000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29.60</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44.44</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Strehimi</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1,322,400</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400,000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808,159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41,654</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61.11</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10.41</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Arsimi i  Mesëm Profesional</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2,032,277</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280,669</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602,605</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3,224</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29.65</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1.15</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Financim i huaj</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317,310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2,540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0.80</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Sigurimi Shoqëror</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53,999,424</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14,272,931</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26.43</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RPr="00934EAC" w:rsidTr="0083048A">
        <w:trPr>
          <w:trHeight w:val="222"/>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color w:val="000000"/>
                <w:sz w:val="18"/>
                <w:szCs w:val="18"/>
              </w:rPr>
            </w:pPr>
            <w:r w:rsidRPr="00934EAC">
              <w:rPr>
                <w:rFonts w:ascii="Calibri" w:hAnsi="Calibri"/>
                <w:color w:val="000000"/>
                <w:sz w:val="18"/>
                <w:szCs w:val="18"/>
              </w:rPr>
              <w:t>Tregu i Punës</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2,303,235</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71,000</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557,229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0</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24.19</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color w:val="000000"/>
                <w:sz w:val="18"/>
                <w:szCs w:val="18"/>
              </w:rPr>
            </w:pPr>
            <w:r w:rsidRPr="00934EAC">
              <w:rPr>
                <w:rFonts w:ascii="Calibri" w:hAnsi="Calibri"/>
                <w:color w:val="000000"/>
                <w:sz w:val="18"/>
                <w:szCs w:val="18"/>
              </w:rPr>
              <w:t>-</w:t>
            </w:r>
          </w:p>
        </w:tc>
      </w:tr>
      <w:tr w:rsidR="0083048A" w:rsidTr="0083048A">
        <w:trPr>
          <w:trHeight w:val="48"/>
          <w:jc w:val="center"/>
        </w:trPr>
        <w:tc>
          <w:tcPr>
            <w:tcW w:w="3220" w:type="dxa"/>
            <w:tcBorders>
              <w:top w:val="nil"/>
              <w:left w:val="single" w:sz="8" w:space="0" w:color="4BACC6"/>
              <w:bottom w:val="single" w:sz="8" w:space="0" w:color="4BACC6"/>
              <w:right w:val="single" w:sz="8" w:space="0" w:color="4BACC6"/>
            </w:tcBorders>
            <w:shd w:val="clear" w:color="auto" w:fill="auto"/>
            <w:vAlign w:val="center"/>
            <w:hideMark/>
          </w:tcPr>
          <w:p w:rsidR="0083048A" w:rsidRPr="00934EAC" w:rsidRDefault="0083048A" w:rsidP="0016643F">
            <w:pPr>
              <w:jc w:val="center"/>
              <w:rPr>
                <w:rFonts w:ascii="Calibri" w:hAnsi="Calibri"/>
                <w:b/>
                <w:bCs/>
                <w:color w:val="000000"/>
                <w:sz w:val="18"/>
                <w:szCs w:val="18"/>
              </w:rPr>
            </w:pPr>
            <w:r w:rsidRPr="00934EAC">
              <w:rPr>
                <w:rFonts w:ascii="Calibri" w:hAnsi="Calibri"/>
                <w:b/>
                <w:bCs/>
                <w:color w:val="000000"/>
                <w:sz w:val="18"/>
                <w:szCs w:val="18"/>
              </w:rPr>
              <w:t>Totali</w:t>
            </w:r>
          </w:p>
        </w:tc>
        <w:tc>
          <w:tcPr>
            <w:tcW w:w="880"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68,479,585</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2,483,329</w:t>
            </w:r>
          </w:p>
        </w:tc>
        <w:tc>
          <w:tcPr>
            <w:tcW w:w="1187"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18,718,829</w:t>
            </w:r>
          </w:p>
        </w:tc>
        <w:tc>
          <w:tcPr>
            <w:tcW w:w="1188"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123,894</w:t>
            </w:r>
          </w:p>
        </w:tc>
        <w:tc>
          <w:tcPr>
            <w:tcW w:w="1005" w:type="dxa"/>
            <w:tcBorders>
              <w:top w:val="nil"/>
              <w:left w:val="nil"/>
              <w:bottom w:val="single" w:sz="8" w:space="0" w:color="4BACC6"/>
              <w:right w:val="single" w:sz="8" w:space="0" w:color="4BACC6"/>
            </w:tcBorders>
            <w:shd w:val="clear" w:color="auto" w:fill="auto"/>
            <w:noWrap/>
            <w:vAlign w:val="center"/>
            <w:hideMark/>
          </w:tcPr>
          <w:p w:rsidR="0083048A" w:rsidRPr="00934EAC" w:rsidRDefault="0083048A" w:rsidP="0083048A">
            <w:pPr>
              <w:jc w:val="center"/>
              <w:rPr>
                <w:rFonts w:ascii="Calibri" w:hAnsi="Calibri"/>
                <w:b/>
                <w:bCs/>
                <w:color w:val="000000"/>
                <w:sz w:val="18"/>
                <w:szCs w:val="18"/>
              </w:rPr>
            </w:pPr>
            <w:r w:rsidRPr="00934EAC">
              <w:rPr>
                <w:rFonts w:ascii="Calibri" w:hAnsi="Calibri"/>
                <w:b/>
                <w:bCs/>
                <w:color w:val="000000"/>
                <w:sz w:val="18"/>
                <w:szCs w:val="18"/>
              </w:rPr>
              <w:t>27.33</w:t>
            </w:r>
          </w:p>
        </w:tc>
        <w:tc>
          <w:tcPr>
            <w:tcW w:w="1052" w:type="dxa"/>
            <w:tcBorders>
              <w:top w:val="nil"/>
              <w:left w:val="nil"/>
              <w:bottom w:val="single" w:sz="8" w:space="0" w:color="4BACC6"/>
              <w:right w:val="single" w:sz="8" w:space="0" w:color="4BACC6"/>
            </w:tcBorders>
            <w:shd w:val="clear" w:color="auto" w:fill="auto"/>
            <w:noWrap/>
            <w:vAlign w:val="center"/>
            <w:hideMark/>
          </w:tcPr>
          <w:p w:rsidR="0083048A" w:rsidRDefault="0083048A" w:rsidP="0083048A">
            <w:pPr>
              <w:jc w:val="center"/>
              <w:rPr>
                <w:rFonts w:ascii="Calibri" w:hAnsi="Calibri"/>
                <w:b/>
                <w:bCs/>
                <w:color w:val="000000"/>
                <w:sz w:val="18"/>
                <w:szCs w:val="18"/>
              </w:rPr>
            </w:pPr>
            <w:r w:rsidRPr="00934EAC">
              <w:rPr>
                <w:rFonts w:ascii="Calibri" w:hAnsi="Calibri"/>
                <w:b/>
                <w:bCs/>
                <w:color w:val="000000"/>
                <w:sz w:val="18"/>
                <w:szCs w:val="18"/>
              </w:rPr>
              <w:t>4.99</w:t>
            </w:r>
          </w:p>
        </w:tc>
      </w:tr>
    </w:tbl>
    <w:p w:rsidR="00990CDF" w:rsidRPr="002A299F" w:rsidRDefault="00990CDF" w:rsidP="00BA6F6C">
      <w:pPr>
        <w:spacing w:line="276" w:lineRule="auto"/>
        <w:jc w:val="center"/>
        <w:rPr>
          <w:rFonts w:asciiTheme="minorHAnsi" w:eastAsia="MS Mincho" w:hAnsiTheme="minorHAnsi"/>
          <w:i/>
          <w:sz w:val="12"/>
          <w:lang w:val="sq-AL"/>
        </w:rPr>
      </w:pPr>
    </w:p>
    <w:p w:rsidR="00990CDF" w:rsidRPr="00BF005F" w:rsidRDefault="0083048A" w:rsidP="0083048A">
      <w:pPr>
        <w:jc w:val="both"/>
        <w:rPr>
          <w:rFonts w:asciiTheme="minorHAnsi" w:hAnsiTheme="minorHAnsi"/>
          <w:lang w:val="sq-AL"/>
        </w:rPr>
      </w:pPr>
      <w:r w:rsidRPr="0083048A">
        <w:rPr>
          <w:rFonts w:asciiTheme="minorHAnsi" w:hAnsiTheme="minorHAnsi"/>
          <w:lang w:val="sq-AL"/>
        </w:rPr>
        <w:t>Sipas të dhënave të 4 mujorit nxjerr nga Sistemi Financiar dhe Informatik i Qeverisjes, realizimi faktik i shpenzimeve korente paraqitet në mesataren e periudhës, ndërsa investimet sipas raportimit për 4 mujorin të dërguar nga MFE pritet të kenë realizim më të lartë në periudhën në vazhdim</w:t>
      </w:r>
      <w:r w:rsidR="00990CDF" w:rsidRPr="0083048A">
        <w:rPr>
          <w:rFonts w:asciiTheme="minorHAnsi" w:hAnsiTheme="minorHAnsi"/>
          <w:lang w:val="sq-AL"/>
        </w:rPr>
        <w:t>.</w:t>
      </w:r>
    </w:p>
    <w:p w:rsidR="00990CDF" w:rsidRPr="002A299F" w:rsidRDefault="00990CDF" w:rsidP="0083048A">
      <w:pPr>
        <w:jc w:val="both"/>
        <w:rPr>
          <w:rFonts w:asciiTheme="minorHAnsi" w:hAnsiTheme="minorHAnsi"/>
          <w:sz w:val="16"/>
          <w:szCs w:val="8"/>
          <w:lang w:val="sq-AL"/>
        </w:rPr>
      </w:pPr>
    </w:p>
    <w:p w:rsidR="009638F4" w:rsidRPr="002A299F" w:rsidRDefault="00990CDF" w:rsidP="0083048A">
      <w:pPr>
        <w:jc w:val="both"/>
        <w:rPr>
          <w:rFonts w:asciiTheme="minorHAnsi" w:hAnsiTheme="minorHAnsi"/>
          <w:lang w:val="sq-AL"/>
        </w:rPr>
      </w:pPr>
      <w:r w:rsidRPr="002A299F">
        <w:rPr>
          <w:rFonts w:asciiTheme="minorHAnsi" w:hAnsiTheme="minorHAnsi"/>
          <w:lang w:val="sq-AL"/>
        </w:rPr>
        <w:lastRenderedPageBreak/>
        <w:t>Sa i përket programit “</w:t>
      </w:r>
      <w:r w:rsidRPr="002A299F">
        <w:rPr>
          <w:rFonts w:asciiTheme="minorHAnsi" w:hAnsiTheme="minorHAnsi"/>
          <w:b/>
          <w:lang w:val="sq-AL"/>
        </w:rPr>
        <w:t>Menaxhimi i të Ardhurave Tatimore</w:t>
      </w:r>
      <w:r w:rsidRPr="002A299F">
        <w:rPr>
          <w:rFonts w:asciiTheme="minorHAnsi" w:hAnsiTheme="minorHAnsi"/>
          <w:lang w:val="sq-AL"/>
        </w:rPr>
        <w:t xml:space="preserve">”, </w:t>
      </w:r>
      <w:r w:rsidR="00BA6F6C" w:rsidRPr="002A299F">
        <w:rPr>
          <w:rFonts w:asciiTheme="minorHAnsi" w:hAnsiTheme="minorHAnsi"/>
          <w:lang w:val="sq-AL"/>
        </w:rPr>
        <w:t>objektivi i këtij programi është “P</w:t>
      </w:r>
      <w:r w:rsidR="00BA6F6C" w:rsidRPr="002A299F">
        <w:rPr>
          <w:rFonts w:asciiTheme="minorHAnsi" w:hAnsiTheme="minorHAnsi"/>
          <w:i/>
          <w:lang w:val="sq-AL"/>
        </w:rPr>
        <w:t>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Pr="002A299F">
        <w:rPr>
          <w:rFonts w:asciiTheme="minorHAnsi" w:hAnsiTheme="minorHAnsi"/>
          <w:lang w:val="sq-AL"/>
        </w:rPr>
        <w:t xml:space="preserve">. </w:t>
      </w:r>
    </w:p>
    <w:p w:rsidR="009638F4" w:rsidRPr="009638F4" w:rsidRDefault="009638F4" w:rsidP="006F25E7">
      <w:pPr>
        <w:spacing w:line="276" w:lineRule="auto"/>
        <w:jc w:val="both"/>
        <w:rPr>
          <w:rFonts w:asciiTheme="minorHAnsi" w:hAnsiTheme="minorHAnsi"/>
          <w:sz w:val="8"/>
          <w:szCs w:val="8"/>
          <w:lang w:val="sq-AL"/>
        </w:rPr>
      </w:pPr>
    </w:p>
    <w:p w:rsidR="002A299F" w:rsidRPr="002A299F" w:rsidRDefault="002A299F" w:rsidP="0056470D">
      <w:pPr>
        <w:jc w:val="both"/>
        <w:rPr>
          <w:rFonts w:asciiTheme="minorHAnsi" w:hAnsiTheme="minorHAnsi"/>
          <w:lang w:val="sq-AL"/>
        </w:rPr>
      </w:pPr>
      <w:r w:rsidRPr="002A299F">
        <w:rPr>
          <w:rFonts w:asciiTheme="minorHAnsi" w:hAnsiTheme="minorHAnsi"/>
          <w:lang w:val="sq-AL"/>
        </w:rPr>
        <w:t>Për arritjen e këtij objektivi, për 4</w:t>
      </w:r>
      <w:r w:rsidR="0056470D">
        <w:rPr>
          <w:rFonts w:asciiTheme="minorHAnsi" w:hAnsiTheme="minorHAnsi"/>
          <w:lang w:val="sq-AL"/>
        </w:rPr>
        <w:t>M I</w:t>
      </w:r>
      <w:r w:rsidRPr="002A299F">
        <w:rPr>
          <w:rFonts w:asciiTheme="minorHAnsi" w:hAnsiTheme="minorHAnsi"/>
          <w:lang w:val="sq-AL"/>
        </w:rPr>
        <w:t xml:space="preserve"> 2022, janë realizuar produktet me të dhënat si vijon: </w:t>
      </w:r>
    </w:p>
    <w:p w:rsidR="002A299F" w:rsidRPr="00E04AC3" w:rsidRDefault="002A299F" w:rsidP="003F6B21">
      <w:pPr>
        <w:numPr>
          <w:ilvl w:val="0"/>
          <w:numId w:val="24"/>
        </w:numPr>
        <w:contextualSpacing/>
        <w:jc w:val="both"/>
        <w:rPr>
          <w:rFonts w:ascii="Calibri" w:hAnsi="Calibri"/>
          <w:i/>
          <w:sz w:val="22"/>
          <w:lang w:val="sq-AL"/>
        </w:rPr>
      </w:pPr>
      <w:r w:rsidRPr="00E04AC3">
        <w:rPr>
          <w:rFonts w:ascii="Calibri" w:hAnsi="Calibri"/>
          <w:i/>
          <w:sz w:val="22"/>
          <w:lang w:val="sq-AL"/>
        </w:rPr>
        <w:t>Tatimpagues të asistuar, realizuar në masën 122 416 me vlerë 621 219 mijë lekë.</w:t>
      </w:r>
    </w:p>
    <w:p w:rsidR="002A299F" w:rsidRPr="00E04AC3" w:rsidRDefault="002A299F" w:rsidP="003F6B21">
      <w:pPr>
        <w:numPr>
          <w:ilvl w:val="0"/>
          <w:numId w:val="24"/>
        </w:numPr>
        <w:contextualSpacing/>
        <w:jc w:val="both"/>
        <w:rPr>
          <w:rFonts w:ascii="Calibri" w:hAnsi="Calibri"/>
          <w:i/>
          <w:sz w:val="22"/>
          <w:lang w:val="sq-AL"/>
        </w:rPr>
      </w:pPr>
      <w:r w:rsidRPr="00E04AC3">
        <w:rPr>
          <w:rFonts w:ascii="Calibri" w:hAnsi="Calibri"/>
          <w:i/>
          <w:sz w:val="22"/>
          <w:lang w:val="sq-AL"/>
        </w:rPr>
        <w:t>Inspektime, hetime tatimore, realizuar 32 inspektime me vlerë 427 mijë lekë.</w:t>
      </w:r>
    </w:p>
    <w:p w:rsidR="002A299F" w:rsidRPr="00E04AC3" w:rsidRDefault="002A299F" w:rsidP="003F6B21">
      <w:pPr>
        <w:numPr>
          <w:ilvl w:val="0"/>
          <w:numId w:val="24"/>
        </w:numPr>
        <w:contextualSpacing/>
        <w:jc w:val="both"/>
        <w:rPr>
          <w:rFonts w:ascii="Calibri" w:hAnsi="Calibri"/>
          <w:i/>
          <w:sz w:val="22"/>
          <w:lang w:val="sq-AL"/>
        </w:rPr>
      </w:pPr>
      <w:r w:rsidRPr="00E04AC3">
        <w:rPr>
          <w:rFonts w:ascii="Calibri" w:hAnsi="Calibri"/>
          <w:i/>
          <w:sz w:val="22"/>
          <w:lang w:val="sq-AL"/>
        </w:rPr>
        <w:t>Vendime gjyqësore të ekzekutuara, janë realizuar 139 nga 193 të planifikuara, në vlerën 29 900 mijë lekë.</w:t>
      </w:r>
    </w:p>
    <w:p w:rsidR="002A299F" w:rsidRPr="00E04AC3" w:rsidRDefault="002A299F" w:rsidP="003F6B21">
      <w:pPr>
        <w:numPr>
          <w:ilvl w:val="0"/>
          <w:numId w:val="24"/>
        </w:numPr>
        <w:contextualSpacing/>
        <w:jc w:val="both"/>
        <w:rPr>
          <w:rFonts w:ascii="Calibri" w:hAnsi="Calibri"/>
          <w:i/>
          <w:sz w:val="22"/>
          <w:lang w:val="sq-AL"/>
        </w:rPr>
      </w:pPr>
      <w:r w:rsidRPr="00E04AC3">
        <w:rPr>
          <w:rFonts w:ascii="Calibri" w:hAnsi="Calibri"/>
          <w:i/>
          <w:sz w:val="22"/>
          <w:lang w:val="sq-AL"/>
        </w:rPr>
        <w:t>Kompensimi i shoqërive të linjave të transportit. U planifikua në vlerën për  kompensimin e shoqërive të linjave të</w:t>
      </w:r>
      <w:r w:rsidR="00E04AC3" w:rsidRPr="00E04AC3">
        <w:rPr>
          <w:rFonts w:ascii="Calibri" w:hAnsi="Calibri"/>
          <w:i/>
          <w:sz w:val="22"/>
          <w:lang w:val="sq-AL"/>
        </w:rPr>
        <w:t xml:space="preserve"> transportit, bazuar në VKM Nr.</w:t>
      </w:r>
      <w:r w:rsidRPr="00E04AC3">
        <w:rPr>
          <w:rFonts w:ascii="Calibri" w:hAnsi="Calibri"/>
          <w:i/>
          <w:sz w:val="22"/>
          <w:lang w:val="sq-AL"/>
        </w:rPr>
        <w:t>225 datë 13.04.2022, në vlerën 430</w:t>
      </w:r>
      <w:r w:rsidR="00E04AC3" w:rsidRPr="00E04AC3">
        <w:rPr>
          <w:rFonts w:ascii="Calibri" w:hAnsi="Calibri"/>
          <w:i/>
          <w:sz w:val="22"/>
          <w:lang w:val="sq-AL"/>
        </w:rPr>
        <w:t>mln</w:t>
      </w:r>
      <w:r w:rsidRPr="00E04AC3">
        <w:rPr>
          <w:rFonts w:ascii="Calibri" w:hAnsi="Calibri"/>
          <w:i/>
          <w:sz w:val="22"/>
          <w:lang w:val="sq-AL"/>
        </w:rPr>
        <w:t xml:space="preserve"> lekë.</w:t>
      </w:r>
    </w:p>
    <w:p w:rsidR="002A299F" w:rsidRPr="00C472AD" w:rsidRDefault="002A299F" w:rsidP="0056470D">
      <w:pPr>
        <w:jc w:val="both"/>
        <w:rPr>
          <w:lang w:val="sq-AL"/>
        </w:rPr>
      </w:pPr>
    </w:p>
    <w:p w:rsidR="002A299F" w:rsidRPr="002A299F" w:rsidRDefault="00990CDF" w:rsidP="0056470D">
      <w:pPr>
        <w:jc w:val="both"/>
        <w:rPr>
          <w:rFonts w:asciiTheme="minorHAnsi" w:hAnsiTheme="minorHAnsi"/>
          <w:lang w:val="sq-AL"/>
        </w:rPr>
      </w:pPr>
      <w:r w:rsidRPr="002A299F">
        <w:rPr>
          <w:rFonts w:asciiTheme="minorHAnsi" w:hAnsiTheme="minorHAnsi"/>
          <w:lang w:val="sq-AL"/>
        </w:rPr>
        <w:t>Sa i përket programit “</w:t>
      </w:r>
      <w:r w:rsidRPr="002A299F">
        <w:rPr>
          <w:rFonts w:asciiTheme="minorHAnsi" w:hAnsiTheme="minorHAnsi"/>
          <w:b/>
          <w:lang w:val="sq-AL"/>
        </w:rPr>
        <w:t>Menaxhimi i të Ardhurave Doganore</w:t>
      </w:r>
      <w:r w:rsidRPr="002A299F">
        <w:rPr>
          <w:rFonts w:asciiTheme="minorHAnsi" w:hAnsiTheme="minorHAnsi"/>
          <w:lang w:val="sq-AL"/>
        </w:rPr>
        <w:t xml:space="preserve">” </w:t>
      </w:r>
      <w:r w:rsidR="002A299F" w:rsidRPr="002A299F">
        <w:rPr>
          <w:rFonts w:asciiTheme="minorHAnsi" w:hAnsiTheme="minorHAnsi"/>
          <w:lang w:val="sq-AL"/>
        </w:rPr>
        <w:t xml:space="preserve">objektivi kryesor i këtij programi është </w:t>
      </w:r>
      <w:r w:rsidR="002A299F" w:rsidRPr="002A299F">
        <w:rPr>
          <w:rFonts w:asciiTheme="minorHAnsi" w:hAnsiTheme="minorHAnsi"/>
          <w:i/>
          <w:lang w:val="sq-AL"/>
        </w:rPr>
        <w:t>krijimi i lehtësirave për operatorët ekonomikë nëpërmjet lehtësimit dhe përshpejtimit të procedurave doganore</w:t>
      </w:r>
      <w:r w:rsidR="002A299F" w:rsidRPr="002A299F">
        <w:rPr>
          <w:rFonts w:asciiTheme="minorHAnsi" w:hAnsiTheme="minorHAnsi"/>
          <w:lang w:val="sq-AL"/>
        </w:rPr>
        <w:t xml:space="preserve">. Për arritjen e këtij objektivi, për 4-mujorin 2022, janë realizuar produktet: </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Deklarata doganore të procesuara në masën 194 974 deklarata nga 720 500 deklarata të planifikuara, me një kosto faktike prej 512 004 mijë lekë.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Vendime Gjyqësore të Ekzekutuara, realizuar 2 vendime gjyqësore me një kosto faktike prej 368 mijë lekë.</w:t>
      </w:r>
    </w:p>
    <w:p w:rsidR="002A299F" w:rsidRPr="002A299F" w:rsidRDefault="002A299F" w:rsidP="0056470D">
      <w:pPr>
        <w:jc w:val="both"/>
        <w:rPr>
          <w:rFonts w:asciiTheme="minorHAnsi" w:hAnsiTheme="minorHAnsi"/>
          <w:sz w:val="12"/>
          <w:lang w:val="sq-AL"/>
        </w:rPr>
      </w:pPr>
    </w:p>
    <w:p w:rsidR="002A299F" w:rsidRPr="002A299F" w:rsidRDefault="002A299F" w:rsidP="0056470D">
      <w:pPr>
        <w:jc w:val="both"/>
        <w:rPr>
          <w:rFonts w:asciiTheme="minorHAnsi" w:hAnsiTheme="minorHAnsi"/>
          <w:lang w:val="sq-AL"/>
        </w:rPr>
      </w:pPr>
      <w:r w:rsidRPr="002A299F">
        <w:rPr>
          <w:rFonts w:asciiTheme="minorHAnsi" w:hAnsiTheme="minorHAnsi"/>
          <w:lang w:val="sq-AL"/>
        </w:rPr>
        <w:t xml:space="preserve">Lidhur me garantimin e sigurisë dhe mbrojtjes kombëtarë nga: kontrabanda, trafiqet paligjshme, mallrat e ndaluara e falsifikuara, evazioni fiskal etj. </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Janë kryer 542 inspektime nga 1610 inspektime të planifikuara, në vlerën 1,532 mijë lekë.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Janë kryer</w:t>
      </w:r>
      <w:r w:rsidR="00E04AC3">
        <w:rPr>
          <w:rFonts w:ascii="Calibri" w:hAnsi="Calibri"/>
          <w:i/>
          <w:lang w:val="sq-AL"/>
        </w:rPr>
        <w:t xml:space="preserve"> </w:t>
      </w:r>
      <w:r w:rsidRPr="002A299F">
        <w:rPr>
          <w:rFonts w:ascii="Calibri" w:hAnsi="Calibri"/>
          <w:i/>
          <w:lang w:val="sq-AL"/>
        </w:rPr>
        <w:t>1,497 hetimeve në vlerën 33,772 mijë lekë. Nga të cilat strukturat e antikontrabandës 697 inspektime doganore dhe nga Antitrafiku 800 inspektime.</w:t>
      </w:r>
    </w:p>
    <w:p w:rsidR="002A299F" w:rsidRDefault="002A299F" w:rsidP="003F6B21">
      <w:pPr>
        <w:numPr>
          <w:ilvl w:val="0"/>
          <w:numId w:val="23"/>
        </w:numPr>
        <w:contextualSpacing/>
        <w:jc w:val="both"/>
        <w:rPr>
          <w:rFonts w:ascii="Calibri" w:hAnsi="Calibri"/>
          <w:i/>
          <w:lang w:val="sq-AL"/>
        </w:rPr>
      </w:pPr>
      <w:r w:rsidRPr="002A299F">
        <w:rPr>
          <w:rFonts w:ascii="Calibri" w:hAnsi="Calibri"/>
          <w:i/>
          <w:lang w:val="sq-AL"/>
        </w:rPr>
        <w:t>Shërbim skanimi, produkt i realizuar në vlerën 604,002 mijë lekë, shërbimi i skanimit është efektiv në pesë pika doganore.</w:t>
      </w:r>
    </w:p>
    <w:p w:rsidR="002A299F" w:rsidRPr="002A299F" w:rsidRDefault="002A299F" w:rsidP="0056470D">
      <w:pPr>
        <w:ind w:left="720"/>
        <w:contextualSpacing/>
        <w:jc w:val="both"/>
        <w:rPr>
          <w:rFonts w:ascii="Calibri" w:hAnsi="Calibri"/>
          <w:i/>
          <w:lang w:val="sq-AL"/>
        </w:rPr>
      </w:pPr>
    </w:p>
    <w:p w:rsidR="002A299F" w:rsidRPr="002A299F" w:rsidRDefault="00990CDF" w:rsidP="0056470D">
      <w:pPr>
        <w:jc w:val="both"/>
        <w:rPr>
          <w:rFonts w:asciiTheme="minorHAnsi" w:hAnsiTheme="minorHAnsi"/>
          <w:lang w:val="sq-AL"/>
        </w:rPr>
      </w:pPr>
      <w:r w:rsidRPr="002A299F">
        <w:rPr>
          <w:rFonts w:asciiTheme="minorHAnsi" w:hAnsiTheme="minorHAnsi"/>
          <w:lang w:val="sq-AL"/>
        </w:rPr>
        <w:t>Në programin “</w:t>
      </w:r>
      <w:r w:rsidRPr="002A299F">
        <w:rPr>
          <w:rFonts w:asciiTheme="minorHAnsi" w:hAnsiTheme="minorHAnsi"/>
          <w:b/>
          <w:lang w:val="sq-AL"/>
        </w:rPr>
        <w:t>Tregu i Punës</w:t>
      </w:r>
      <w:r w:rsidRPr="002A299F">
        <w:rPr>
          <w:rFonts w:asciiTheme="minorHAnsi" w:hAnsiTheme="minorHAnsi"/>
          <w:lang w:val="sq-AL"/>
        </w:rPr>
        <w:t xml:space="preserve">” </w:t>
      </w:r>
      <w:r w:rsidR="002A299F" w:rsidRPr="002A299F">
        <w:rPr>
          <w:rFonts w:asciiTheme="minorHAnsi" w:hAnsiTheme="minorHAnsi"/>
          <w:lang w:val="sq-AL"/>
        </w:rPr>
        <w:t xml:space="preserve">i cili ka si objektiv </w:t>
      </w:r>
      <w:r w:rsidR="002A299F">
        <w:rPr>
          <w:rFonts w:asciiTheme="minorHAnsi" w:hAnsiTheme="minorHAnsi"/>
          <w:lang w:val="sq-AL"/>
        </w:rPr>
        <w:t>“</w:t>
      </w:r>
      <w:r w:rsidR="002A299F" w:rsidRPr="002A299F">
        <w:rPr>
          <w:rFonts w:asciiTheme="minorHAnsi" w:hAnsiTheme="minorHAnsi"/>
          <w:i/>
          <w:lang w:val="sq-AL"/>
        </w:rPr>
        <w:t>Nxitjen e mundësive për punë të denjë dhe rritjen e punësueshmërisë së forcave të punës nëpërmjet politikave të frytshme të tregut të punës si dhe nëpërmjet përputhjes së kërkesës me ofertën për punë nga shërbimet e punësimit</w:t>
      </w:r>
      <w:r w:rsidR="002A299F">
        <w:rPr>
          <w:rFonts w:asciiTheme="minorHAnsi" w:hAnsiTheme="minorHAnsi"/>
          <w:lang w:val="sq-AL"/>
        </w:rPr>
        <w:t>”</w:t>
      </w:r>
      <w:r w:rsidR="002A299F" w:rsidRPr="002A299F">
        <w:rPr>
          <w:rFonts w:asciiTheme="minorHAnsi" w:hAnsiTheme="minorHAnsi"/>
          <w:lang w:val="sq-AL"/>
        </w:rPr>
        <w:t xml:space="preserve"> ku përfshihen: </w:t>
      </w:r>
      <w:r w:rsidR="002A299F">
        <w:rPr>
          <w:rFonts w:asciiTheme="minorHAnsi" w:hAnsiTheme="minorHAnsi"/>
          <w:lang w:val="sq-AL"/>
        </w:rPr>
        <w:t>I</w:t>
      </w:r>
      <w:r w:rsidR="002A299F" w:rsidRPr="002A299F">
        <w:rPr>
          <w:rFonts w:asciiTheme="minorHAnsi" w:hAnsiTheme="minorHAnsi"/>
          <w:lang w:val="sq-AL"/>
        </w:rPr>
        <w:t xml:space="preserve">nformacioni për vendet e lira të punës; ndërmjetësimi për punësim; këshillimi dhe orientimi për karrierë; programet e nxitjes së punësimit; mbështetjes me të ardhura për të papunët nëpërmjet pagesës së papunësisë; </w:t>
      </w:r>
      <w:r w:rsidR="002A299F">
        <w:rPr>
          <w:rFonts w:asciiTheme="minorHAnsi" w:hAnsiTheme="minorHAnsi"/>
          <w:lang w:val="sq-AL"/>
        </w:rPr>
        <w:t>P</w:t>
      </w:r>
      <w:r w:rsidR="002A299F" w:rsidRPr="002A299F">
        <w:rPr>
          <w:rFonts w:asciiTheme="minorHAnsi" w:hAnsiTheme="minorHAnsi"/>
          <w:lang w:val="sq-AL"/>
        </w:rPr>
        <w:t>rogramet e formimit profesional; Ofrimi formimit profesional cilësor; Nxitja e përfshirjes sociale dhe e kohezionit territorial; Fuqizimi i qeverisjes së tregut të punës dhe i sistemeve  të kualifikimeve. Për 4-mujorin 2022, janë realizuar produktet me të dhënat si më poshtë: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Janë realizuar 7 652 ndërmjetësime edhe punësime për punëkërkues të papunë me një kosto faktike prej 90 074 mijë lekë.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Punëkërkues të papunë të trajtuar me pagesë papunësie, janë  trajtuar 2 870 persona me një kosto faktike prej 233 047 mijë lekë.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Punëkërkues të papunë pjesëmarrës në formimit profesional kanë marrë pjesë 2 736 pjesëmarrës, me një kosto faktike prej 91 198 mijë lekë.</w:t>
      </w:r>
    </w:p>
    <w:p w:rsidR="002A299F" w:rsidRPr="002A299F" w:rsidRDefault="002A299F" w:rsidP="003F6B21">
      <w:pPr>
        <w:numPr>
          <w:ilvl w:val="0"/>
          <w:numId w:val="23"/>
        </w:numPr>
        <w:contextualSpacing/>
        <w:jc w:val="both"/>
        <w:rPr>
          <w:rFonts w:ascii="Calibri" w:hAnsi="Calibri"/>
          <w:i/>
          <w:lang w:val="sq-AL"/>
        </w:rPr>
      </w:pPr>
      <w:r w:rsidRPr="002A299F">
        <w:rPr>
          <w:rFonts w:ascii="Calibri" w:hAnsi="Calibri"/>
          <w:i/>
          <w:lang w:val="sq-AL"/>
        </w:rPr>
        <w:t>Leje pune për të huajt, evidenca statistikore, financiare, procedura prokurimi etj. janë nxjerr 1876 akte me një kosto faktike prej 27 112 mijë lekë.</w:t>
      </w:r>
    </w:p>
    <w:p w:rsidR="00B60C08" w:rsidRPr="00B60C08" w:rsidRDefault="00B60C08" w:rsidP="0056470D">
      <w:pPr>
        <w:spacing w:before="240"/>
        <w:jc w:val="both"/>
        <w:rPr>
          <w:rFonts w:asciiTheme="minorHAnsi" w:hAnsiTheme="minorHAnsi"/>
          <w:lang w:val="sq-AL"/>
        </w:rPr>
      </w:pPr>
      <w:r>
        <w:rPr>
          <w:rFonts w:asciiTheme="minorHAnsi" w:hAnsiTheme="minorHAnsi"/>
          <w:lang w:val="sq-AL"/>
        </w:rPr>
        <w:lastRenderedPageBreak/>
        <w:t>P</w:t>
      </w:r>
      <w:r w:rsidR="00990CDF" w:rsidRPr="00B60C08">
        <w:rPr>
          <w:rFonts w:asciiTheme="minorHAnsi" w:hAnsiTheme="minorHAnsi"/>
          <w:lang w:val="sq-AL"/>
        </w:rPr>
        <w:t>rogrami “</w:t>
      </w:r>
      <w:r w:rsidR="00990CDF" w:rsidRPr="00B60C08">
        <w:rPr>
          <w:rFonts w:asciiTheme="minorHAnsi" w:hAnsiTheme="minorHAnsi"/>
          <w:b/>
          <w:lang w:val="sq-AL"/>
        </w:rPr>
        <w:t>Strehimi</w:t>
      </w:r>
      <w:r w:rsidR="00990CDF" w:rsidRPr="00B60C08">
        <w:rPr>
          <w:rFonts w:asciiTheme="minorHAnsi" w:hAnsiTheme="minorHAnsi"/>
          <w:lang w:val="sq-AL"/>
        </w:rPr>
        <w:t xml:space="preserve">” </w:t>
      </w:r>
      <w:r w:rsidRPr="00B60C08">
        <w:rPr>
          <w:rFonts w:asciiTheme="minorHAnsi" w:hAnsiTheme="minorHAnsi"/>
          <w:lang w:val="sq-AL"/>
        </w:rPr>
        <w:t xml:space="preserve">ka si objektiv </w:t>
      </w:r>
      <w:r w:rsidRPr="00B60C08">
        <w:rPr>
          <w:rFonts w:asciiTheme="minorHAnsi" w:hAnsiTheme="minorHAnsi"/>
          <w:spacing w:val="-10"/>
          <w:lang w:val="sq-AL"/>
        </w:rPr>
        <w:t>të sigurojë strehim të përshtatshëm e të përballueshëm për individë e familje që nuk përballojnë dot kostot e tregut të banesave. Sa i takon r</w:t>
      </w:r>
      <w:r w:rsidRPr="00B60C08">
        <w:rPr>
          <w:rFonts w:asciiTheme="minorHAnsi" w:hAnsiTheme="minorHAnsi"/>
          <w:lang w:val="sq-AL"/>
        </w:rPr>
        <w:t>ealizimit të 4-mujorit të parë për vitin 2022 mund të rendisim sa më poshtë:</w:t>
      </w:r>
    </w:p>
    <w:p w:rsidR="00B60C08"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 xml:space="preserve">Subvencionimi i interesave për kreditë ekzistuese, është realizuar në vlerën 26 359 mijë lekë dhe kanë përfituar 4 330 familje. </w:t>
      </w:r>
    </w:p>
    <w:p w:rsidR="00B60C08"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Subvencionimi i interesave të kredive të reja, me vlerën 1 267 mijë lekë, dhe kanë përfituar 95 familje.</w:t>
      </w:r>
    </w:p>
    <w:p w:rsidR="00B60C08"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Subvencionimi i qirasë për familjet e prekura nga tërmeti, janë alokuar 1 000 000 mijë lekë për vitin 2022 dhe realizimi faktit i fondeve është në vlerën 736 736 mijë lekë. Numri i familjeve përfituese të subvencionimit të qirasë për këtë vit është 10 630.</w:t>
      </w:r>
    </w:p>
    <w:p w:rsidR="00B60C08"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Granti i menjëhershëm, nuk ka pasur përfitues pasi janë duke u shqyrtuar kërkesat e 7 bashkive dhe pritet të ketë realizim faktik për muajt në vijim.</w:t>
      </w:r>
    </w:p>
    <w:p w:rsidR="00B60C08"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Përmirësim i kushteve të banimit, është alokuar vlera 270 000 prej mijë lekë tek Njësitë e Qeverisjes Vendore, nga atë cilat janë realizuar 31 901  mijë lekë, dhe kanë përfituar 72 familje nga 415 të  parashikuara.</w:t>
      </w:r>
    </w:p>
    <w:p w:rsidR="00990CDF" w:rsidRPr="00FA4974" w:rsidRDefault="00B60C08" w:rsidP="003F6B21">
      <w:pPr>
        <w:numPr>
          <w:ilvl w:val="0"/>
          <w:numId w:val="23"/>
        </w:numPr>
        <w:contextualSpacing/>
        <w:jc w:val="both"/>
        <w:rPr>
          <w:rFonts w:ascii="Calibri" w:hAnsi="Calibri"/>
          <w:i/>
          <w:sz w:val="22"/>
          <w:lang w:val="sq-AL"/>
        </w:rPr>
      </w:pPr>
      <w:r w:rsidRPr="00FA4974">
        <w:rPr>
          <w:rFonts w:ascii="Calibri" w:hAnsi="Calibri"/>
          <w:i/>
          <w:sz w:val="22"/>
          <w:lang w:val="sq-AL"/>
        </w:rPr>
        <w:t>Rikonstruksion i godinave në pronësi të NJVV për Strehim Social, është alokuar vlera prej 130 000 mijë lekë tek Njësitë e Qeverisjes Vendore, nga atë cilat janë realizuar 9 753 mijë lekë, dhe kanë përfituar 18 familje nga 81 të  parashikuara për këtë vit</w:t>
      </w:r>
      <w:r w:rsidR="00990CDF" w:rsidRPr="00FA4974">
        <w:rPr>
          <w:rFonts w:ascii="Calibri" w:hAnsi="Calibri"/>
          <w:i/>
          <w:sz w:val="22"/>
          <w:lang w:val="sq-AL"/>
        </w:rPr>
        <w:t>.</w:t>
      </w:r>
    </w:p>
    <w:p w:rsidR="0056470D" w:rsidRPr="00FA4974" w:rsidRDefault="0056470D" w:rsidP="006F25E7">
      <w:pPr>
        <w:spacing w:before="120" w:after="120" w:line="276" w:lineRule="auto"/>
        <w:jc w:val="both"/>
        <w:rPr>
          <w:rFonts w:asciiTheme="minorHAnsi" w:hAnsiTheme="minorHAnsi"/>
          <w:b/>
          <w:noProof/>
          <w:color w:val="0070C0"/>
          <w:sz w:val="18"/>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MBROJTJA</w:t>
      </w:r>
    </w:p>
    <w:p w:rsidR="00990CDF" w:rsidRDefault="001C7B59" w:rsidP="00FA4974">
      <w:pPr>
        <w:jc w:val="both"/>
        <w:rPr>
          <w:rFonts w:asciiTheme="minorHAnsi" w:eastAsia="MS Mincho" w:hAnsiTheme="minorHAnsi"/>
          <w:color w:val="000000"/>
          <w:lang w:val="sq-AL"/>
        </w:rPr>
      </w:pPr>
      <w:r w:rsidRPr="00C472AD">
        <w:rPr>
          <w:rFonts w:ascii="Calibri" w:hAnsi="Calibri"/>
          <w:lang w:val="sq-AL"/>
        </w:rPr>
        <w:t>Shpenzimet e planifikuara dhe ato faktike si dhe realizimi në përqindje për 4 mujorin e pare 2022 për Ministrinë e Mbrojtjes, paraqiten si më poshtë</w:t>
      </w:r>
      <w:r w:rsidR="00990CDF" w:rsidRPr="00BF005F">
        <w:rPr>
          <w:rFonts w:asciiTheme="minorHAnsi" w:eastAsia="MS Mincho" w:hAnsiTheme="minorHAnsi"/>
          <w:color w:val="000000"/>
          <w:lang w:val="sq-AL"/>
        </w:rPr>
        <w:t>:</w:t>
      </w:r>
    </w:p>
    <w:p w:rsidR="001C7B59" w:rsidRPr="001C7B59" w:rsidRDefault="001C7B59" w:rsidP="00FA4974">
      <w:pPr>
        <w:jc w:val="both"/>
        <w:rPr>
          <w:rFonts w:asciiTheme="minorHAnsi" w:eastAsia="MS Mincho" w:hAnsiTheme="minorHAnsi"/>
          <w:color w:val="000000"/>
          <w:sz w:val="8"/>
          <w:lang w:val="sq-AL"/>
        </w:rPr>
      </w:pPr>
    </w:p>
    <w:p w:rsidR="00340D6B" w:rsidRDefault="00990CDF" w:rsidP="00FA4974">
      <w:pPr>
        <w:jc w:val="both"/>
        <w:rPr>
          <w:rFonts w:asciiTheme="minorHAnsi" w:eastAsia="MS Mincho" w:hAnsiTheme="minorHAnsi"/>
          <w:i/>
          <w:color w:val="000000"/>
          <w:sz w:val="22"/>
          <w:lang w:val="sq-AL"/>
        </w:rPr>
      </w:pPr>
      <w:bookmarkStart w:id="217" w:name="_Toc107496782"/>
      <w:r w:rsidRPr="009638F4">
        <w:rPr>
          <w:rFonts w:asciiTheme="minorHAnsi" w:hAnsiTheme="minorHAnsi"/>
          <w:i/>
          <w:noProof/>
          <w:sz w:val="22"/>
        </w:rPr>
        <w:t xml:space="preserve">Tabela </w:t>
      </w:r>
      <w:r w:rsidRPr="009638F4">
        <w:rPr>
          <w:rFonts w:asciiTheme="minorHAnsi" w:hAnsiTheme="minorHAnsi"/>
          <w:i/>
          <w:noProof/>
          <w:sz w:val="22"/>
        </w:rPr>
        <w:fldChar w:fldCharType="begin"/>
      </w:r>
      <w:r w:rsidRPr="009638F4">
        <w:rPr>
          <w:rFonts w:asciiTheme="minorHAnsi" w:hAnsiTheme="minorHAnsi"/>
          <w:i/>
          <w:noProof/>
          <w:sz w:val="22"/>
        </w:rPr>
        <w:instrText xml:space="preserve"> SEQ Tabela \* ARABIC </w:instrText>
      </w:r>
      <w:r w:rsidRPr="009638F4">
        <w:rPr>
          <w:rFonts w:asciiTheme="minorHAnsi" w:hAnsiTheme="minorHAnsi"/>
          <w:i/>
          <w:noProof/>
          <w:sz w:val="22"/>
        </w:rPr>
        <w:fldChar w:fldCharType="separate"/>
      </w:r>
      <w:r w:rsidR="003B2B9B">
        <w:rPr>
          <w:rFonts w:asciiTheme="minorHAnsi" w:hAnsiTheme="minorHAnsi"/>
          <w:i/>
          <w:noProof/>
          <w:sz w:val="22"/>
        </w:rPr>
        <w:t>46</w:t>
      </w:r>
      <w:r w:rsidRPr="009638F4">
        <w:rPr>
          <w:rFonts w:asciiTheme="minorHAnsi" w:hAnsiTheme="minorHAnsi"/>
          <w:i/>
          <w:noProof/>
          <w:sz w:val="22"/>
        </w:rPr>
        <w:fldChar w:fldCharType="end"/>
      </w:r>
      <w:r w:rsidRPr="009638F4">
        <w:rPr>
          <w:rFonts w:asciiTheme="minorHAnsi" w:hAnsiTheme="minorHAnsi"/>
          <w:i/>
          <w:noProof/>
          <w:sz w:val="22"/>
        </w:rPr>
        <w:t>: Mbrojtja</w:t>
      </w:r>
      <w:bookmarkEnd w:id="217"/>
      <w:r w:rsidR="00340D6B" w:rsidRPr="00340D6B">
        <w:rPr>
          <w:rFonts w:asciiTheme="minorHAnsi" w:eastAsia="MS Mincho" w:hAnsiTheme="minorHAnsi"/>
          <w:i/>
          <w:color w:val="000000"/>
          <w:sz w:val="22"/>
          <w:lang w:val="sq-AL"/>
        </w:rPr>
        <w:t xml:space="preserve"> </w:t>
      </w:r>
    </w:p>
    <w:p w:rsidR="00340D6B" w:rsidRPr="009638F4" w:rsidRDefault="00340D6B" w:rsidP="001C7B59">
      <w:pPr>
        <w:ind w:left="2880" w:firstLine="720"/>
        <w:jc w:val="right"/>
        <w:rPr>
          <w:rFonts w:asciiTheme="minorHAnsi" w:eastAsia="MS Mincho" w:hAnsiTheme="minorHAnsi"/>
          <w:i/>
          <w:color w:val="000000"/>
          <w:sz w:val="22"/>
          <w:lang w:val="sq-AL"/>
        </w:rPr>
      </w:pPr>
      <w:r w:rsidRPr="009638F4">
        <w:rPr>
          <w:rFonts w:asciiTheme="minorHAnsi" w:eastAsia="MS Mincho" w:hAnsiTheme="minorHAnsi"/>
          <w:i/>
          <w:color w:val="000000"/>
          <w:sz w:val="22"/>
          <w:lang w:val="sq-AL"/>
        </w:rPr>
        <w:t>Në mijë lekë</w:t>
      </w:r>
    </w:p>
    <w:tbl>
      <w:tblPr>
        <w:tblW w:w="9758" w:type="dxa"/>
        <w:tblInd w:w="93" w:type="dxa"/>
        <w:tblLook w:val="04A0" w:firstRow="1" w:lastRow="0" w:firstColumn="1" w:lastColumn="0" w:noHBand="0" w:noVBand="1"/>
      </w:tblPr>
      <w:tblGrid>
        <w:gridCol w:w="3431"/>
        <w:gridCol w:w="1081"/>
        <w:gridCol w:w="1124"/>
        <w:gridCol w:w="1030"/>
        <w:gridCol w:w="1031"/>
        <w:gridCol w:w="1070"/>
        <w:gridCol w:w="991"/>
      </w:tblGrid>
      <w:tr w:rsidR="001C7B59" w:rsidRPr="001C7B59" w:rsidTr="001C7B59">
        <w:trPr>
          <w:trHeight w:val="361"/>
        </w:trPr>
        <w:tc>
          <w:tcPr>
            <w:tcW w:w="3431" w:type="dxa"/>
            <w:vMerge w:val="restart"/>
            <w:tcBorders>
              <w:top w:val="single" w:sz="8" w:space="0" w:color="4BACC6"/>
              <w:left w:val="single" w:sz="8" w:space="0" w:color="4BACC6"/>
              <w:bottom w:val="single" w:sz="8" w:space="0" w:color="4BACC6"/>
              <w:right w:val="single" w:sz="8" w:space="0" w:color="4BACC6"/>
            </w:tcBorders>
            <w:shd w:val="clear" w:color="000000" w:fill="4BACC6"/>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Emërtimi i Programit</w:t>
            </w:r>
          </w:p>
        </w:tc>
        <w:tc>
          <w:tcPr>
            <w:tcW w:w="2205" w:type="dxa"/>
            <w:gridSpan w:val="2"/>
            <w:tcBorders>
              <w:top w:val="single" w:sz="8" w:space="0" w:color="4BACC6"/>
              <w:left w:val="nil"/>
              <w:bottom w:val="single" w:sz="8" w:space="0" w:color="4BACC6"/>
              <w:right w:val="single" w:sz="8" w:space="0" w:color="4BACC6"/>
            </w:tcBorders>
            <w:shd w:val="clear" w:color="000000" w:fill="4BACC6"/>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Plani 2022</w:t>
            </w:r>
          </w:p>
        </w:tc>
        <w:tc>
          <w:tcPr>
            <w:tcW w:w="2061" w:type="dxa"/>
            <w:gridSpan w:val="2"/>
            <w:tcBorders>
              <w:top w:val="single" w:sz="8" w:space="0" w:color="4BACC6"/>
              <w:left w:val="nil"/>
              <w:bottom w:val="single" w:sz="8" w:space="0" w:color="4BACC6"/>
              <w:right w:val="single" w:sz="8" w:space="0" w:color="4BACC6"/>
            </w:tcBorders>
            <w:shd w:val="clear" w:color="000000" w:fill="4BACC6"/>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 xml:space="preserve">Fakti 4M </w:t>
            </w:r>
          </w:p>
        </w:tc>
        <w:tc>
          <w:tcPr>
            <w:tcW w:w="2061" w:type="dxa"/>
            <w:gridSpan w:val="2"/>
            <w:tcBorders>
              <w:top w:val="single" w:sz="8" w:space="0" w:color="4BACC6"/>
              <w:left w:val="nil"/>
              <w:bottom w:val="single" w:sz="8" w:space="0" w:color="4BACC6"/>
              <w:right w:val="single" w:sz="8" w:space="0" w:color="4BACC6"/>
            </w:tcBorders>
            <w:shd w:val="clear" w:color="000000" w:fill="4BACC6"/>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Përqindja  e realizimit</w:t>
            </w:r>
          </w:p>
        </w:tc>
      </w:tr>
      <w:tr w:rsidR="001C7B59" w:rsidRPr="001C7B59" w:rsidTr="001C7B59">
        <w:trPr>
          <w:trHeight w:val="284"/>
        </w:trPr>
        <w:tc>
          <w:tcPr>
            <w:tcW w:w="3431" w:type="dxa"/>
            <w:vMerge/>
            <w:tcBorders>
              <w:top w:val="single" w:sz="8" w:space="0" w:color="4BACC6"/>
              <w:left w:val="single" w:sz="8" w:space="0" w:color="4BACC6"/>
              <w:bottom w:val="single" w:sz="8" w:space="0" w:color="4BACC6"/>
              <w:right w:val="single" w:sz="8" w:space="0" w:color="4BACC6"/>
            </w:tcBorders>
            <w:vAlign w:val="center"/>
            <w:hideMark/>
          </w:tcPr>
          <w:p w:rsidR="001C7B59" w:rsidRPr="001C7B59" w:rsidRDefault="001C7B59" w:rsidP="003C5935">
            <w:pPr>
              <w:rPr>
                <w:rFonts w:asciiTheme="minorHAnsi" w:hAnsiTheme="minorHAnsi"/>
                <w:b/>
                <w:bCs/>
                <w:sz w:val="18"/>
                <w:szCs w:val="18"/>
                <w:lang w:val="sq-AL"/>
              </w:rPr>
            </w:pPr>
          </w:p>
        </w:tc>
        <w:tc>
          <w:tcPr>
            <w:tcW w:w="108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Korrente</w:t>
            </w:r>
          </w:p>
        </w:tc>
        <w:tc>
          <w:tcPr>
            <w:tcW w:w="1124"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Investime</w:t>
            </w:r>
          </w:p>
        </w:tc>
        <w:tc>
          <w:tcPr>
            <w:tcW w:w="103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Korrente</w:t>
            </w:r>
          </w:p>
        </w:tc>
        <w:tc>
          <w:tcPr>
            <w:tcW w:w="103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Investime</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Korrente</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Investime</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Planifikimi, Menaxhimi dhe Administrimi</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1,316,356</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320,000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231,736</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17.6%</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0.0%</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Forcat e Luftimit</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5,928,739</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4,136,500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1,465,306</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19,031</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24.7%</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0.5%</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Arsimi Ushtarak</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803,551</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500,000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237,950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29.6%</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0.0%</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Mbështetja e Luftimit</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5,870,927</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1,113,000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1,240,124</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72,295</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21.1%</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6.5%</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Mbështetje për Shëndetësinë</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919,930</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200,000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303,267</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39,536</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33.0%</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19.8%</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Emergjencat Civile</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1,547,225</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2,070,000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49,124</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3.2%</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0.0%</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noWrap/>
            <w:vAlign w:val="center"/>
            <w:hideMark/>
          </w:tcPr>
          <w:p w:rsidR="001C7B59" w:rsidRPr="001C7B59" w:rsidRDefault="001C7B59" w:rsidP="003C5935">
            <w:pPr>
              <w:rPr>
                <w:rFonts w:asciiTheme="minorHAnsi" w:hAnsiTheme="minorHAnsi"/>
                <w:sz w:val="18"/>
                <w:szCs w:val="18"/>
                <w:lang w:val="sq-AL"/>
              </w:rPr>
            </w:pPr>
            <w:r w:rsidRPr="001C7B59">
              <w:rPr>
                <w:rFonts w:asciiTheme="minorHAnsi" w:hAnsiTheme="minorHAnsi"/>
                <w:sz w:val="18"/>
                <w:szCs w:val="18"/>
                <w:lang w:val="sq-AL"/>
              </w:rPr>
              <w:t>Sigurimet Shoqerore per ushtaraket</w:t>
            </w:r>
          </w:p>
        </w:tc>
        <w:tc>
          <w:tcPr>
            <w:tcW w:w="1081"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5,310,665</w:t>
            </w:r>
          </w:p>
        </w:tc>
        <w:tc>
          <w:tcPr>
            <w:tcW w:w="1124"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1,730,592</w:t>
            </w:r>
          </w:p>
        </w:tc>
        <w:tc>
          <w:tcPr>
            <w:tcW w:w="1030" w:type="dxa"/>
            <w:tcBorders>
              <w:top w:val="nil"/>
              <w:left w:val="nil"/>
              <w:bottom w:val="single" w:sz="8" w:space="0" w:color="4BACC6"/>
              <w:right w:val="single" w:sz="8" w:space="0" w:color="4BACC6"/>
            </w:tcBorders>
            <w:shd w:val="clear" w:color="auto" w:fill="auto"/>
            <w:noWrap/>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32.6%</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sz w:val="18"/>
                <w:szCs w:val="18"/>
                <w:lang w:val="sq-AL"/>
              </w:rPr>
            </w:pPr>
            <w:r w:rsidRPr="001C7B59">
              <w:rPr>
                <w:rFonts w:asciiTheme="minorHAnsi" w:hAnsiTheme="minorHAnsi"/>
                <w:sz w:val="18"/>
                <w:szCs w:val="18"/>
                <w:lang w:val="sq-AL"/>
              </w:rPr>
              <w:t>0.0%</w:t>
            </w:r>
          </w:p>
        </w:tc>
      </w:tr>
      <w:tr w:rsidR="001C7B59" w:rsidRPr="001C7B59" w:rsidTr="001C7B59">
        <w:trPr>
          <w:trHeight w:val="230"/>
        </w:trPr>
        <w:tc>
          <w:tcPr>
            <w:tcW w:w="3431" w:type="dxa"/>
            <w:tcBorders>
              <w:top w:val="nil"/>
              <w:left w:val="single" w:sz="8" w:space="0" w:color="4BACC6"/>
              <w:bottom w:val="single" w:sz="8" w:space="0" w:color="4BACC6"/>
              <w:right w:val="single" w:sz="8" w:space="0" w:color="4BACC6"/>
            </w:tcBorders>
            <w:shd w:val="clear" w:color="000000" w:fill="FFFFFF"/>
            <w:vAlign w:val="center"/>
            <w:hideMark/>
          </w:tcPr>
          <w:p w:rsidR="001C7B59" w:rsidRPr="001C7B59" w:rsidRDefault="001C7B59" w:rsidP="001C7B59">
            <w:pPr>
              <w:jc w:val="center"/>
              <w:rPr>
                <w:rFonts w:asciiTheme="minorHAnsi" w:hAnsiTheme="minorHAnsi"/>
                <w:b/>
                <w:bCs/>
                <w:sz w:val="18"/>
                <w:szCs w:val="18"/>
                <w:lang w:val="sq-AL"/>
              </w:rPr>
            </w:pPr>
            <w:r w:rsidRPr="001C7B59">
              <w:rPr>
                <w:rFonts w:asciiTheme="minorHAnsi" w:hAnsiTheme="minorHAnsi"/>
                <w:b/>
                <w:bCs/>
                <w:sz w:val="18"/>
                <w:szCs w:val="18"/>
                <w:lang w:val="sq-AL"/>
              </w:rPr>
              <w:t xml:space="preserve">Totali </w:t>
            </w:r>
          </w:p>
        </w:tc>
        <w:tc>
          <w:tcPr>
            <w:tcW w:w="108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21,697,392</w:t>
            </w:r>
          </w:p>
        </w:tc>
        <w:tc>
          <w:tcPr>
            <w:tcW w:w="1124"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8,339,500</w:t>
            </w:r>
          </w:p>
        </w:tc>
        <w:tc>
          <w:tcPr>
            <w:tcW w:w="103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5,258,099</w:t>
            </w:r>
          </w:p>
        </w:tc>
        <w:tc>
          <w:tcPr>
            <w:tcW w:w="103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130,862</w:t>
            </w:r>
          </w:p>
        </w:tc>
        <w:tc>
          <w:tcPr>
            <w:tcW w:w="1070"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24.2%</w:t>
            </w:r>
          </w:p>
        </w:tc>
        <w:tc>
          <w:tcPr>
            <w:tcW w:w="991" w:type="dxa"/>
            <w:tcBorders>
              <w:top w:val="nil"/>
              <w:left w:val="nil"/>
              <w:bottom w:val="single" w:sz="8" w:space="0" w:color="4BACC6"/>
              <w:right w:val="single" w:sz="8" w:space="0" w:color="4BACC6"/>
            </w:tcBorders>
            <w:shd w:val="clear" w:color="auto" w:fill="auto"/>
            <w:vAlign w:val="center"/>
            <w:hideMark/>
          </w:tcPr>
          <w:p w:rsidR="001C7B59" w:rsidRPr="001C7B59" w:rsidRDefault="001C7B59" w:rsidP="003C5935">
            <w:pPr>
              <w:jc w:val="center"/>
              <w:rPr>
                <w:rFonts w:asciiTheme="minorHAnsi" w:hAnsiTheme="minorHAnsi"/>
                <w:b/>
                <w:bCs/>
                <w:sz w:val="18"/>
                <w:szCs w:val="18"/>
                <w:lang w:val="sq-AL"/>
              </w:rPr>
            </w:pPr>
            <w:r w:rsidRPr="001C7B59">
              <w:rPr>
                <w:rFonts w:asciiTheme="minorHAnsi" w:hAnsiTheme="minorHAnsi"/>
                <w:b/>
                <w:bCs/>
                <w:sz w:val="18"/>
                <w:szCs w:val="18"/>
                <w:lang w:val="sq-AL"/>
              </w:rPr>
              <w:t>1.6%</w:t>
            </w:r>
          </w:p>
        </w:tc>
      </w:tr>
    </w:tbl>
    <w:p w:rsidR="00340D6B" w:rsidRPr="00FA4974" w:rsidRDefault="00340D6B" w:rsidP="001C7B59">
      <w:pPr>
        <w:spacing w:line="276" w:lineRule="auto"/>
        <w:jc w:val="center"/>
        <w:rPr>
          <w:rFonts w:asciiTheme="minorHAnsi" w:hAnsiTheme="minorHAnsi"/>
          <w:sz w:val="12"/>
          <w:lang w:val="sq-AL"/>
        </w:rPr>
      </w:pPr>
    </w:p>
    <w:p w:rsidR="003468EB" w:rsidRDefault="001C7B59" w:rsidP="00FA4974">
      <w:pPr>
        <w:autoSpaceDE w:val="0"/>
        <w:autoSpaceDN w:val="0"/>
        <w:adjustRightInd w:val="0"/>
        <w:jc w:val="both"/>
        <w:rPr>
          <w:rFonts w:ascii="Calibri" w:eastAsia="Calibri" w:hAnsi="Calibri"/>
          <w:lang w:val="sq-AL"/>
        </w:rPr>
      </w:pPr>
      <w:r w:rsidRPr="00C472AD">
        <w:rPr>
          <w:rFonts w:ascii="Calibri" w:hAnsi="Calibri" w:cs="Calibri"/>
          <w:lang w:val="sq-AL"/>
        </w:rPr>
        <w:t>Për vitin 2022 objektivi kryesor në programin “</w:t>
      </w:r>
      <w:r w:rsidRPr="00C472AD">
        <w:rPr>
          <w:rFonts w:ascii="Calibri" w:hAnsi="Calibri" w:cs="Calibri"/>
          <w:b/>
          <w:lang w:val="sq-AL"/>
        </w:rPr>
        <w:t>Planifikimi menaxhimi administrimi</w:t>
      </w:r>
      <w:r w:rsidRPr="00C472AD">
        <w:rPr>
          <w:rFonts w:ascii="Calibri" w:hAnsi="Calibri" w:cs="Calibri"/>
          <w:lang w:val="sq-AL"/>
        </w:rPr>
        <w:t>” është Menaxhimi me efiçencë dhe efektivitet i burimeve njerëzore dhe financiare. Realizimi i fondeve në këtë program buxhetor për grupin e shpenzimeve korente rezulton në masën 18 përqind, ndërkohë për grupin e projekteve dhe invstimeve ka mosrealizim të fondeve.</w:t>
      </w:r>
      <w:r w:rsidRPr="00C472AD">
        <w:rPr>
          <w:rFonts w:ascii="Calibri" w:eastAsia="Calibri" w:hAnsi="Calibri"/>
          <w:lang w:val="sq-AL"/>
        </w:rPr>
        <w:t xml:space="preserve"> </w:t>
      </w:r>
    </w:p>
    <w:p w:rsidR="003468EB" w:rsidRPr="003468EB" w:rsidRDefault="003468EB" w:rsidP="00FA4974">
      <w:pPr>
        <w:autoSpaceDE w:val="0"/>
        <w:autoSpaceDN w:val="0"/>
        <w:adjustRightInd w:val="0"/>
        <w:jc w:val="both"/>
        <w:rPr>
          <w:rFonts w:ascii="Calibri" w:eastAsia="Calibri" w:hAnsi="Calibri"/>
          <w:sz w:val="8"/>
          <w:szCs w:val="8"/>
          <w:lang w:val="sq-AL"/>
        </w:rPr>
      </w:pPr>
    </w:p>
    <w:p w:rsidR="001C7B59" w:rsidRPr="00C472AD" w:rsidRDefault="001C7B59" w:rsidP="00FA4974">
      <w:pPr>
        <w:autoSpaceDE w:val="0"/>
        <w:autoSpaceDN w:val="0"/>
        <w:adjustRightInd w:val="0"/>
        <w:jc w:val="both"/>
        <w:rPr>
          <w:rFonts w:ascii="Calibri" w:hAnsi="Calibri" w:cs="Calibri"/>
          <w:lang w:val="sq-AL"/>
        </w:rPr>
      </w:pPr>
      <w:r w:rsidRPr="00C472AD">
        <w:rPr>
          <w:rFonts w:ascii="Calibri" w:hAnsi="Calibri" w:cs="Calibri"/>
          <w:lang w:val="sq-AL"/>
        </w:rPr>
        <w:t>Treguesit e performancës për këtë objektiv</w:t>
      </w:r>
      <w:r>
        <w:rPr>
          <w:rFonts w:ascii="Calibri" w:hAnsi="Calibri" w:cs="Calibri"/>
          <w:lang w:val="sq-AL"/>
        </w:rPr>
        <w:t xml:space="preserve"> jan</w:t>
      </w:r>
      <w:r w:rsidR="009647C4">
        <w:rPr>
          <w:rFonts w:ascii="Calibri" w:hAnsi="Calibri" w:cs="Calibri"/>
          <w:lang w:val="sq-AL"/>
        </w:rPr>
        <w:t>ë</w:t>
      </w:r>
      <w:r w:rsidRPr="00C472AD">
        <w:rPr>
          <w:rFonts w:ascii="Calibri" w:hAnsi="Calibri" w:cs="Calibri"/>
          <w:lang w:val="sq-AL"/>
        </w:rPr>
        <w:t xml:space="preserve">: </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Rritja e % e punonjësve të trajnuar kundrejt totalit.</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Numër raportesh vlerësimi të kryera,</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Numër Aktesh  ligjore e nënligjore të përgatitura kundrejt planifikimit,</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Numër Auditimesh  të kryera kundrejt planifikimit,</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Rritja e numrit të  personave  të rekrutuar,</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Rritja e numrit të  Marrëveshjeve të realizuara kundrejt planifikimit.</w:t>
      </w:r>
    </w:p>
    <w:p w:rsidR="00E04AC3" w:rsidRPr="00FA4974" w:rsidRDefault="00E04AC3" w:rsidP="00FA4974">
      <w:pPr>
        <w:autoSpaceDE w:val="0"/>
        <w:autoSpaceDN w:val="0"/>
        <w:adjustRightInd w:val="0"/>
        <w:jc w:val="both"/>
        <w:rPr>
          <w:rFonts w:ascii="Calibri" w:hAnsi="Calibri" w:cs="Calibri"/>
          <w:sz w:val="12"/>
          <w:lang w:val="sq-AL"/>
        </w:rPr>
      </w:pPr>
    </w:p>
    <w:p w:rsidR="001C7B59" w:rsidRPr="00C472AD" w:rsidRDefault="001C7B59" w:rsidP="00FA4974">
      <w:pPr>
        <w:autoSpaceDE w:val="0"/>
        <w:autoSpaceDN w:val="0"/>
        <w:adjustRightInd w:val="0"/>
        <w:jc w:val="both"/>
        <w:rPr>
          <w:rFonts w:ascii="Calibri" w:hAnsi="Calibri" w:cs="Calibri"/>
          <w:lang w:val="sq-AL"/>
        </w:rPr>
      </w:pPr>
      <w:r w:rsidRPr="00C472AD">
        <w:rPr>
          <w:rFonts w:ascii="Calibri" w:hAnsi="Calibri" w:cs="Calibri"/>
          <w:lang w:val="sq-AL"/>
        </w:rPr>
        <w:t>Për ketë program buxhetor janë realizuar 3 produkte si më poshtë:</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Akte ligjore e nënligjore te përgatitura nga Ministria e Mbrojtjes, realizuar 100% kundrejt planit të periudhës.</w:t>
      </w:r>
    </w:p>
    <w:p w:rsidR="001C7B59" w:rsidRPr="00FA4974" w:rsidRDefault="001C7B59" w:rsidP="00FA4974">
      <w:pPr>
        <w:numPr>
          <w:ilvl w:val="0"/>
          <w:numId w:val="23"/>
        </w:numPr>
        <w:contextualSpacing/>
        <w:jc w:val="both"/>
        <w:rPr>
          <w:rFonts w:ascii="Calibri" w:hAnsi="Calibri"/>
          <w:i/>
          <w:sz w:val="22"/>
          <w:lang w:val="sq-AL"/>
        </w:rPr>
      </w:pPr>
      <w:r w:rsidRPr="00FA4974">
        <w:rPr>
          <w:rFonts w:ascii="Calibri" w:hAnsi="Calibri"/>
          <w:i/>
          <w:sz w:val="22"/>
          <w:lang w:val="sq-AL"/>
        </w:rPr>
        <w:t>Marrëveshje ndërkombëtare të nënshkruara, realizuar 100% kundrejt planit të periudhës.</w:t>
      </w:r>
    </w:p>
    <w:p w:rsidR="001C7B59" w:rsidRPr="00FA4974" w:rsidRDefault="001C7B59" w:rsidP="003F6B21">
      <w:pPr>
        <w:numPr>
          <w:ilvl w:val="0"/>
          <w:numId w:val="23"/>
        </w:numPr>
        <w:contextualSpacing/>
        <w:jc w:val="both"/>
        <w:rPr>
          <w:rFonts w:ascii="Calibri" w:hAnsi="Calibri"/>
          <w:i/>
          <w:sz w:val="22"/>
          <w:lang w:val="sq-AL"/>
        </w:rPr>
      </w:pPr>
      <w:r w:rsidRPr="00FA4974">
        <w:rPr>
          <w:rFonts w:ascii="Calibri" w:hAnsi="Calibri"/>
          <w:i/>
          <w:sz w:val="22"/>
          <w:lang w:val="sq-AL"/>
        </w:rPr>
        <w:t>Sisteme te mirëmbajtura për aparatin e  Ministrisë së Mbrojtjes</w:t>
      </w:r>
    </w:p>
    <w:p w:rsidR="003468EB" w:rsidRPr="00C472AD" w:rsidRDefault="00990CDF" w:rsidP="0056470D">
      <w:pPr>
        <w:autoSpaceDE w:val="0"/>
        <w:autoSpaceDN w:val="0"/>
        <w:adjustRightInd w:val="0"/>
        <w:jc w:val="both"/>
        <w:rPr>
          <w:rFonts w:ascii="Calibri" w:hAnsi="Calibri" w:cs="Calibri"/>
          <w:lang w:val="sq-AL"/>
        </w:rPr>
      </w:pPr>
      <w:r w:rsidRPr="00BF005F">
        <w:rPr>
          <w:rFonts w:asciiTheme="minorHAnsi" w:hAnsiTheme="minorHAnsi" w:cstheme="minorHAnsi"/>
          <w:lang w:val="sq-AL"/>
        </w:rPr>
        <w:lastRenderedPageBreak/>
        <w:t>Fondet e akorduara për programin “</w:t>
      </w:r>
      <w:r w:rsidRPr="00BF005F">
        <w:rPr>
          <w:rFonts w:asciiTheme="minorHAnsi" w:hAnsiTheme="minorHAnsi" w:cstheme="minorHAnsi"/>
          <w:b/>
          <w:lang w:val="sq-AL"/>
        </w:rPr>
        <w:t>Forca e Luftimit</w:t>
      </w:r>
      <w:r w:rsidRPr="00BF005F">
        <w:rPr>
          <w:rFonts w:asciiTheme="minorHAnsi" w:hAnsiTheme="minorHAnsi" w:cstheme="minorHAnsi"/>
          <w:lang w:val="sq-AL"/>
        </w:rPr>
        <w:t xml:space="preserve">” </w:t>
      </w:r>
      <w:r w:rsidR="003468EB" w:rsidRPr="00C472AD">
        <w:rPr>
          <w:rFonts w:ascii="Calibri" w:hAnsi="Calibri" w:cs="Calibri"/>
          <w:lang w:val="sq-AL"/>
        </w:rPr>
        <w:t xml:space="preserve">përbëjnë rreth 34 </w:t>
      </w:r>
      <w:r w:rsidR="003468EB" w:rsidRPr="00C472AD">
        <w:rPr>
          <w:rFonts w:ascii="Calibri" w:hAnsi="Calibri" w:cs="Calibri"/>
          <w:lang w:val="sq-AL" w:eastAsia="en-GB"/>
        </w:rPr>
        <w:t>përqind</w:t>
      </w:r>
      <w:r w:rsidR="003468EB" w:rsidRPr="00C472AD">
        <w:rPr>
          <w:rFonts w:ascii="Calibri" w:hAnsi="Calibri" w:cs="Calibri"/>
          <w:lang w:val="sq-AL"/>
        </w:rPr>
        <w:t xml:space="preserve"> të buxhetit me ndryshime të miratuar për Ministrinë e Mbrojtjes për vitin 2022. Programi Forcat e Luftimit ka parashikuar objektiva specifike dhe plane veprimi për realizimin e tyre. Realizimi i fondeve në këtë program buxhetor për grupin e shpenzimeve korente rezulton në masën 25 përqind, ndërkohë për grupin e projekteve dhe invstimeve ka realizim të ulët të fondeve, vetëm 0.5 përqind.</w:t>
      </w:r>
      <w:r w:rsidR="003468EB" w:rsidRPr="00C472AD">
        <w:rPr>
          <w:rFonts w:ascii="Calibri" w:eastAsia="Calibri" w:hAnsi="Calibri"/>
          <w:lang w:val="sq-AL"/>
        </w:rPr>
        <w:t xml:space="preserve"> </w:t>
      </w:r>
    </w:p>
    <w:p w:rsidR="003468EB" w:rsidRPr="003468EB" w:rsidRDefault="003468EB" w:rsidP="0056470D">
      <w:pPr>
        <w:autoSpaceDE w:val="0"/>
        <w:autoSpaceDN w:val="0"/>
        <w:adjustRightInd w:val="0"/>
        <w:contextualSpacing/>
        <w:jc w:val="both"/>
        <w:rPr>
          <w:rFonts w:ascii="Calibri" w:hAnsi="Calibri" w:cs="Calibri"/>
          <w:sz w:val="8"/>
          <w:szCs w:val="8"/>
          <w:lang w:val="sq-AL"/>
        </w:rPr>
      </w:pPr>
    </w:p>
    <w:p w:rsidR="003468EB" w:rsidRPr="00C472AD" w:rsidRDefault="003468EB" w:rsidP="0056470D">
      <w:pPr>
        <w:autoSpaceDE w:val="0"/>
        <w:autoSpaceDN w:val="0"/>
        <w:adjustRightInd w:val="0"/>
        <w:contextualSpacing/>
        <w:jc w:val="both"/>
        <w:rPr>
          <w:rFonts w:ascii="Calibri" w:hAnsi="Calibri" w:cs="Calibri"/>
          <w:lang w:val="sq-AL"/>
        </w:rPr>
      </w:pPr>
      <w:r w:rsidRPr="00C472AD">
        <w:rPr>
          <w:rFonts w:ascii="Calibri" w:hAnsi="Calibri" w:cs="Calibri"/>
          <w:lang w:val="sq-AL"/>
        </w:rPr>
        <w:t>Objektivat e këtij programi për vitin 2022 janë:</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Mbajtja në gatishmëri dhe përmirësimi i kapaciteteve Operacionale të Forcës Tokësore</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Mbajtja në gatishmëri dhe përmirësimi i kapaciteteve Operacionale të Forcës Detare</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Mbajtja në gatishmëri dhe përmirësimi i kapaciteteve Operacionale të Forcës Ajrore</w:t>
      </w:r>
    </w:p>
    <w:p w:rsidR="003468EB" w:rsidRPr="003468EB" w:rsidRDefault="003468EB" w:rsidP="0056470D">
      <w:pPr>
        <w:jc w:val="both"/>
        <w:rPr>
          <w:rFonts w:ascii="Calibri" w:hAnsi="Calibri" w:cs="Calibri"/>
          <w:sz w:val="8"/>
          <w:szCs w:val="8"/>
          <w:lang w:val="sq-AL"/>
        </w:rPr>
      </w:pPr>
    </w:p>
    <w:p w:rsidR="003468EB" w:rsidRPr="00C472AD" w:rsidRDefault="003468EB" w:rsidP="0056470D">
      <w:pPr>
        <w:jc w:val="both"/>
        <w:rPr>
          <w:rFonts w:ascii="Calibri" w:hAnsi="Calibri" w:cs="Calibri"/>
          <w:lang w:val="sq-AL"/>
        </w:rPr>
      </w:pPr>
      <w:r w:rsidRPr="00C472AD">
        <w:rPr>
          <w:rFonts w:ascii="Calibri" w:hAnsi="Calibri" w:cs="Calibri"/>
          <w:lang w:val="sq-AL"/>
        </w:rPr>
        <w:t>Treguesit e performancës për këto objektiva:</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Përgatitja e trupave për misione paqeruajtëse.</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Aftësia dislokuese e trupave për përmbushjen e misionit në një kohë rekord.</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Ndërveprueshmëria e trupave për përmbushjen e misioneve në det.</w:t>
      </w:r>
    </w:p>
    <w:p w:rsidR="003468EB" w:rsidRPr="00FA4974" w:rsidRDefault="003468EB" w:rsidP="003F6B21">
      <w:pPr>
        <w:numPr>
          <w:ilvl w:val="0"/>
          <w:numId w:val="23"/>
        </w:numPr>
        <w:contextualSpacing/>
        <w:jc w:val="both"/>
        <w:rPr>
          <w:rFonts w:ascii="Calibri" w:hAnsi="Calibri"/>
          <w:i/>
          <w:sz w:val="22"/>
          <w:lang w:val="sq-AL"/>
        </w:rPr>
      </w:pPr>
      <w:r w:rsidRPr="00FA4974">
        <w:rPr>
          <w:rFonts w:ascii="Calibri" w:hAnsi="Calibri"/>
          <w:i/>
          <w:sz w:val="22"/>
          <w:lang w:val="sq-AL"/>
        </w:rPr>
        <w:t>Kontrolli i hapësirës ajrore të Republikës së Shqipërisë.</w:t>
      </w:r>
    </w:p>
    <w:p w:rsidR="00990CDF" w:rsidRPr="00FA4974" w:rsidRDefault="00990CDF" w:rsidP="0056470D">
      <w:pPr>
        <w:autoSpaceDE w:val="0"/>
        <w:autoSpaceDN w:val="0"/>
        <w:adjustRightInd w:val="0"/>
        <w:contextualSpacing/>
        <w:jc w:val="both"/>
        <w:rPr>
          <w:rFonts w:asciiTheme="minorHAnsi" w:hAnsiTheme="minorHAnsi" w:cstheme="minorHAnsi"/>
          <w:sz w:val="6"/>
          <w:szCs w:val="8"/>
          <w:lang w:val="sq-AL" w:eastAsia="sq-AL"/>
        </w:rPr>
      </w:pPr>
    </w:p>
    <w:p w:rsidR="003468EB" w:rsidRPr="00C472AD" w:rsidRDefault="00990CDF" w:rsidP="0056470D">
      <w:pPr>
        <w:jc w:val="both"/>
        <w:rPr>
          <w:rFonts w:ascii="Calibri" w:hAnsi="Calibri" w:cs="Calibri"/>
          <w:lang w:val="sq-AL" w:eastAsia="sq-AL"/>
        </w:rPr>
      </w:pPr>
      <w:r w:rsidRPr="00BF005F">
        <w:rPr>
          <w:rFonts w:asciiTheme="minorHAnsi" w:hAnsiTheme="minorHAnsi" w:cstheme="minorHAnsi"/>
          <w:lang w:val="sq-AL" w:eastAsia="sq-AL"/>
        </w:rPr>
        <w:t>Fondet e akorduara për Programin “</w:t>
      </w:r>
      <w:r w:rsidRPr="00BF005F">
        <w:rPr>
          <w:rFonts w:asciiTheme="minorHAnsi" w:hAnsiTheme="minorHAnsi" w:cstheme="minorHAnsi"/>
          <w:b/>
          <w:bCs/>
          <w:color w:val="000000"/>
          <w:lang w:val="sq-AL"/>
        </w:rPr>
        <w:t>Mbështetja e Luftimit</w:t>
      </w:r>
      <w:r w:rsidRPr="00BF005F">
        <w:rPr>
          <w:rFonts w:asciiTheme="minorHAnsi" w:hAnsiTheme="minorHAnsi" w:cstheme="minorHAnsi"/>
          <w:lang w:val="sq-AL" w:eastAsia="sq-AL"/>
        </w:rPr>
        <w:t xml:space="preserve">” </w:t>
      </w:r>
      <w:r w:rsidR="003468EB" w:rsidRPr="00C472AD">
        <w:rPr>
          <w:rFonts w:ascii="Calibri" w:hAnsi="Calibri" w:cs="Calibri"/>
          <w:lang w:val="sq-AL" w:eastAsia="sq-AL"/>
        </w:rPr>
        <w:t xml:space="preserve">përbëjnë rreth 23 </w:t>
      </w:r>
      <w:r w:rsidR="003468EB" w:rsidRPr="00C472AD">
        <w:rPr>
          <w:rFonts w:ascii="Calibri" w:hAnsi="Calibri" w:cs="Calibri"/>
          <w:lang w:val="sq-AL" w:eastAsia="en-GB"/>
        </w:rPr>
        <w:t>përqind</w:t>
      </w:r>
      <w:r w:rsidR="003468EB" w:rsidRPr="00C472AD">
        <w:rPr>
          <w:rFonts w:ascii="Calibri" w:hAnsi="Calibri" w:cs="Calibri"/>
          <w:lang w:val="sq-AL" w:eastAsia="sq-AL"/>
        </w:rPr>
        <w:t xml:space="preserve"> të buxhetit me ndryshime të miratuar për </w:t>
      </w:r>
      <w:r w:rsidR="003468EB" w:rsidRPr="00C472AD">
        <w:rPr>
          <w:rFonts w:ascii="Calibri" w:hAnsi="Calibri" w:cs="Calibri"/>
          <w:lang w:val="sq-AL"/>
        </w:rPr>
        <w:t xml:space="preserve">Ministrinë e Mbrojtjes </w:t>
      </w:r>
      <w:r w:rsidR="003468EB" w:rsidRPr="00C472AD">
        <w:rPr>
          <w:rFonts w:ascii="Calibri" w:hAnsi="Calibri" w:cs="Calibri"/>
          <w:lang w:val="sq-AL" w:eastAsia="sq-AL"/>
        </w:rPr>
        <w:t>për 4-mujorin e parë të vitit 2022. Për këtë program janë parashikuar objektiva specifike për realizimin e tyre, si:</w:t>
      </w:r>
    </w:p>
    <w:p w:rsidR="003468EB" w:rsidRPr="003468EB" w:rsidRDefault="003468EB" w:rsidP="003F6B21">
      <w:pPr>
        <w:numPr>
          <w:ilvl w:val="0"/>
          <w:numId w:val="23"/>
        </w:numPr>
        <w:contextualSpacing/>
        <w:jc w:val="both"/>
        <w:rPr>
          <w:rFonts w:ascii="Calibri" w:hAnsi="Calibri"/>
          <w:i/>
          <w:lang w:val="sq-AL"/>
        </w:rPr>
      </w:pPr>
      <w:r w:rsidRPr="003468EB">
        <w:rPr>
          <w:rFonts w:ascii="Calibri" w:hAnsi="Calibri"/>
          <w:i/>
          <w:lang w:val="sq-AL"/>
        </w:rPr>
        <w:t xml:space="preserve">Sigurimi i logjistikes së  nevojshme si dhe mbështetja në operacione humanitare dhe misione ndërkombëtare.Treguesit e performancës për këtë objektiv janë: </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Përqindja e furnizimit në kohë dhe mbështetja logjistike e Forcave të Armatosura.</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Menaxhimi në kohë dhe profesional i operacioneve të EC dhe CIMIC.</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Dokumente të procesuara dhe arkivuara sipas legjislacionit ne fuqi.</w:t>
      </w:r>
    </w:p>
    <w:p w:rsidR="003468EB" w:rsidRPr="003468EB" w:rsidRDefault="003468EB" w:rsidP="0056470D">
      <w:pPr>
        <w:autoSpaceDE w:val="0"/>
        <w:autoSpaceDN w:val="0"/>
        <w:adjustRightInd w:val="0"/>
        <w:spacing w:after="200"/>
        <w:contextualSpacing/>
        <w:jc w:val="both"/>
        <w:rPr>
          <w:rFonts w:ascii="Calibri" w:hAnsi="Calibri" w:cs="Calibri"/>
          <w:sz w:val="8"/>
          <w:szCs w:val="8"/>
          <w:lang w:val="sq-AL"/>
        </w:rPr>
      </w:pPr>
    </w:p>
    <w:p w:rsidR="003468EB" w:rsidRPr="00C472AD" w:rsidRDefault="003468EB" w:rsidP="0056470D">
      <w:pPr>
        <w:autoSpaceDE w:val="0"/>
        <w:autoSpaceDN w:val="0"/>
        <w:adjustRightInd w:val="0"/>
        <w:spacing w:after="200"/>
        <w:contextualSpacing/>
        <w:jc w:val="both"/>
        <w:rPr>
          <w:rFonts w:ascii="Calibri" w:hAnsi="Calibri" w:cs="Calibri"/>
          <w:lang w:val="sq-AL"/>
        </w:rPr>
      </w:pPr>
      <w:r w:rsidRPr="00C472AD">
        <w:rPr>
          <w:rFonts w:ascii="Calibri" w:hAnsi="Calibri" w:cs="Calibri"/>
          <w:lang w:val="sq-AL"/>
        </w:rPr>
        <w:t>Për realizimin e objektivit kanë kontribuar produktet sa më poshtë:</w:t>
      </w:r>
    </w:p>
    <w:p w:rsidR="003468EB" w:rsidRPr="003468EB" w:rsidRDefault="003468EB" w:rsidP="003F6B21">
      <w:pPr>
        <w:numPr>
          <w:ilvl w:val="0"/>
          <w:numId w:val="23"/>
        </w:numPr>
        <w:contextualSpacing/>
        <w:jc w:val="both"/>
        <w:rPr>
          <w:rFonts w:ascii="Calibri" w:hAnsi="Calibri"/>
          <w:i/>
          <w:lang w:val="sq-AL"/>
        </w:rPr>
      </w:pPr>
      <w:r w:rsidRPr="003468EB">
        <w:rPr>
          <w:rFonts w:ascii="Calibri" w:hAnsi="Calibri"/>
          <w:i/>
          <w:lang w:val="sq-AL"/>
        </w:rPr>
        <w:t>Sigurimi i inteligjencës strategjike të nevojshme dhe sipas standardeve të NATO-s  për siguri dhe stabilitet .Treguesit e pe</w:t>
      </w:r>
      <w:r>
        <w:rPr>
          <w:rFonts w:ascii="Calibri" w:hAnsi="Calibri"/>
          <w:i/>
          <w:lang w:val="sq-AL"/>
        </w:rPr>
        <w:t>rformancës për këtë objektiv Nr.</w:t>
      </w:r>
      <w:r w:rsidRPr="003468EB">
        <w:rPr>
          <w:rFonts w:ascii="Calibri" w:hAnsi="Calibri"/>
          <w:i/>
          <w:lang w:val="sq-AL"/>
        </w:rPr>
        <w:t>2:</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Përqindja e arritjes së përmbushjes së objektivave të kapaciteteve në fushën e inteligjencës ushtarake dhe të NATO-s.</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Përqindja e arritjes së kapaciteteve te nevojshme operacionale.</w:t>
      </w:r>
    </w:p>
    <w:p w:rsidR="003468EB" w:rsidRPr="003468EB" w:rsidRDefault="003468EB" w:rsidP="0056470D">
      <w:pPr>
        <w:ind w:left="2160"/>
        <w:contextualSpacing/>
        <w:jc w:val="both"/>
        <w:rPr>
          <w:rFonts w:ascii="Calibri" w:hAnsi="Calibri" w:cs="Calibri"/>
          <w:sz w:val="8"/>
          <w:szCs w:val="8"/>
          <w:lang w:val="sq-AL" w:eastAsia="sq-AL"/>
        </w:rPr>
      </w:pPr>
    </w:p>
    <w:p w:rsidR="003468EB" w:rsidRPr="003468EB" w:rsidRDefault="003468EB" w:rsidP="003F6B21">
      <w:pPr>
        <w:numPr>
          <w:ilvl w:val="0"/>
          <w:numId w:val="23"/>
        </w:numPr>
        <w:contextualSpacing/>
        <w:jc w:val="both"/>
        <w:rPr>
          <w:rFonts w:ascii="Calibri" w:hAnsi="Calibri"/>
          <w:i/>
          <w:lang w:val="sq-AL"/>
        </w:rPr>
      </w:pPr>
      <w:r w:rsidRPr="003468EB">
        <w:rPr>
          <w:rFonts w:ascii="Calibri" w:hAnsi="Calibri"/>
          <w:i/>
          <w:lang w:val="sq-AL"/>
        </w:rPr>
        <w:t xml:space="preserve">Sigurimi dhe mbështesja e sistemeve të teknologjisë  brenda standardeve  të NATO-s. Treguesit e performancës për këtë objektiv Nr 3: </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 xml:space="preserve">Kapacitete operacionale per ASNI </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Ruajtja e nivelit oreracional për Repartin nr. 6630</w:t>
      </w:r>
    </w:p>
    <w:p w:rsidR="003468EB" w:rsidRPr="0056470D" w:rsidRDefault="003468EB" w:rsidP="003F6B21">
      <w:pPr>
        <w:numPr>
          <w:ilvl w:val="0"/>
          <w:numId w:val="19"/>
        </w:numPr>
        <w:autoSpaceDE w:val="0"/>
        <w:autoSpaceDN w:val="0"/>
        <w:adjustRightInd w:val="0"/>
        <w:spacing w:after="200"/>
        <w:contextualSpacing/>
        <w:jc w:val="both"/>
        <w:rPr>
          <w:rFonts w:ascii="Calibri" w:hAnsi="Calibri" w:cs="Calibri"/>
          <w:sz w:val="22"/>
          <w:lang w:val="sq-AL"/>
        </w:rPr>
      </w:pPr>
      <w:r w:rsidRPr="0056470D">
        <w:rPr>
          <w:rFonts w:ascii="Calibri" w:hAnsi="Calibri" w:cs="Calibri"/>
          <w:sz w:val="22"/>
          <w:lang w:val="sq-AL"/>
        </w:rPr>
        <w:t>Janë planifikuar 12 produkteve në zërat “Shpenzime Korrente “ dhe  36 Projekte Investimi në zërin “Shpenzime Kapitale”.</w:t>
      </w:r>
    </w:p>
    <w:p w:rsidR="003468EB" w:rsidRPr="0056470D" w:rsidRDefault="003468EB" w:rsidP="0056470D">
      <w:pPr>
        <w:autoSpaceDE w:val="0"/>
        <w:autoSpaceDN w:val="0"/>
        <w:adjustRightInd w:val="0"/>
        <w:jc w:val="both"/>
        <w:rPr>
          <w:rFonts w:ascii="Calibri" w:hAnsi="Calibri" w:cs="Calibri"/>
          <w:sz w:val="4"/>
          <w:szCs w:val="8"/>
          <w:lang w:val="sq-AL"/>
        </w:rPr>
      </w:pPr>
    </w:p>
    <w:p w:rsidR="003468EB" w:rsidRPr="00C472AD" w:rsidRDefault="003468EB" w:rsidP="0056470D">
      <w:pPr>
        <w:tabs>
          <w:tab w:val="left" w:pos="2355"/>
        </w:tabs>
        <w:jc w:val="both"/>
        <w:rPr>
          <w:rFonts w:ascii="Calibri" w:hAnsi="Calibri" w:cs="Calibri"/>
          <w:bCs/>
          <w:iCs/>
          <w:lang w:val="sq-AL"/>
        </w:rPr>
      </w:pPr>
      <w:r w:rsidRPr="00C472AD">
        <w:rPr>
          <w:rFonts w:ascii="Calibri" w:hAnsi="Calibri" w:cs="Calibri"/>
          <w:bCs/>
          <w:iCs/>
          <w:lang w:val="sq-AL"/>
        </w:rPr>
        <w:t>Realizimi i fondeve buxhetore për 4</w:t>
      </w:r>
      <w:r w:rsidR="0056470D">
        <w:rPr>
          <w:rFonts w:ascii="Calibri" w:hAnsi="Calibri" w:cs="Calibri"/>
          <w:bCs/>
          <w:iCs/>
          <w:lang w:val="sq-AL"/>
        </w:rPr>
        <w:t xml:space="preserve">M I </w:t>
      </w:r>
      <w:r w:rsidRPr="00C472AD">
        <w:rPr>
          <w:rFonts w:ascii="Calibri" w:hAnsi="Calibri" w:cs="Calibri"/>
          <w:bCs/>
          <w:iCs/>
          <w:lang w:val="sq-AL"/>
        </w:rPr>
        <w:t>2022 në këtë program buxhetor për grupin e shpenzimeve korrente rezulton në masën 21</w:t>
      </w:r>
      <w:r w:rsidR="0056470D">
        <w:rPr>
          <w:rFonts w:ascii="Calibri" w:hAnsi="Calibri" w:cs="Calibri"/>
          <w:bCs/>
          <w:iCs/>
          <w:lang w:val="sq-AL"/>
        </w:rPr>
        <w:t>%</w:t>
      </w:r>
      <w:r w:rsidRPr="00C472AD">
        <w:rPr>
          <w:rFonts w:ascii="Calibri" w:hAnsi="Calibri" w:cs="Calibri"/>
          <w:bCs/>
          <w:iCs/>
          <w:lang w:val="sq-AL"/>
        </w:rPr>
        <w:t>, ndër</w:t>
      </w:r>
      <w:r w:rsidR="0056470D">
        <w:rPr>
          <w:rFonts w:ascii="Calibri" w:hAnsi="Calibri" w:cs="Calibri"/>
          <w:bCs/>
          <w:iCs/>
          <w:lang w:val="sq-AL"/>
        </w:rPr>
        <w:t>sa</w:t>
      </w:r>
      <w:r w:rsidRPr="00C472AD">
        <w:rPr>
          <w:rFonts w:ascii="Calibri" w:hAnsi="Calibri" w:cs="Calibri"/>
          <w:bCs/>
          <w:iCs/>
          <w:lang w:val="sq-AL"/>
        </w:rPr>
        <w:t xml:space="preserve"> realizimi i projekteve të investimeve arrin në masën 6.5</w:t>
      </w:r>
      <w:r w:rsidR="0056470D">
        <w:rPr>
          <w:rFonts w:ascii="Calibri" w:hAnsi="Calibri" w:cs="Calibri"/>
          <w:bCs/>
          <w:iCs/>
          <w:lang w:val="sq-AL"/>
        </w:rPr>
        <w:t>%</w:t>
      </w:r>
      <w:r w:rsidRPr="00C472AD">
        <w:rPr>
          <w:rFonts w:ascii="Calibri" w:hAnsi="Calibri" w:cs="Calibri"/>
          <w:bCs/>
          <w:iCs/>
          <w:lang w:val="sq-AL"/>
        </w:rPr>
        <w:t>.</w:t>
      </w:r>
    </w:p>
    <w:p w:rsidR="003468EB" w:rsidRPr="0056470D" w:rsidRDefault="003468EB" w:rsidP="0056470D">
      <w:pPr>
        <w:tabs>
          <w:tab w:val="left" w:pos="2355"/>
        </w:tabs>
        <w:jc w:val="both"/>
        <w:rPr>
          <w:rFonts w:ascii="Calibri" w:hAnsi="Calibri" w:cs="Calibri"/>
          <w:bCs/>
          <w:iCs/>
          <w:sz w:val="8"/>
          <w:lang w:val="sq-AL"/>
        </w:rPr>
      </w:pPr>
    </w:p>
    <w:p w:rsidR="003468EB" w:rsidRPr="00C472AD" w:rsidRDefault="00990CDF" w:rsidP="0056470D">
      <w:pPr>
        <w:jc w:val="both"/>
        <w:rPr>
          <w:rFonts w:ascii="Calibri" w:hAnsi="Calibri" w:cs="Calibri"/>
          <w:bCs/>
          <w:lang w:val="sq-AL"/>
        </w:rPr>
      </w:pPr>
      <w:r w:rsidRPr="00BF005F">
        <w:rPr>
          <w:rFonts w:asciiTheme="minorHAnsi" w:hAnsiTheme="minorHAnsi" w:cstheme="minorHAnsi"/>
          <w:lang w:val="sq-AL" w:eastAsia="sq-AL"/>
        </w:rPr>
        <w:t>Fondet e akorduara për Programin “</w:t>
      </w:r>
      <w:r w:rsidRPr="00BF005F">
        <w:rPr>
          <w:rFonts w:asciiTheme="minorHAnsi" w:hAnsiTheme="minorHAnsi" w:cstheme="minorHAnsi"/>
          <w:b/>
          <w:lang w:val="sq-AL"/>
        </w:rPr>
        <w:t>Arsimi Ushtarak</w:t>
      </w:r>
      <w:r w:rsidRPr="00BF005F">
        <w:rPr>
          <w:rFonts w:asciiTheme="minorHAnsi" w:hAnsiTheme="minorHAnsi" w:cstheme="minorHAnsi"/>
          <w:lang w:val="sq-AL"/>
        </w:rPr>
        <w:t>”</w:t>
      </w:r>
      <w:r w:rsidRPr="00BF005F">
        <w:rPr>
          <w:rFonts w:asciiTheme="minorHAnsi" w:hAnsiTheme="minorHAnsi" w:cstheme="minorHAnsi"/>
          <w:lang w:val="sq-AL" w:eastAsia="sq-AL"/>
        </w:rPr>
        <w:t xml:space="preserve"> </w:t>
      </w:r>
      <w:r w:rsidR="003468EB" w:rsidRPr="00C472AD">
        <w:rPr>
          <w:rFonts w:ascii="Calibri" w:hAnsi="Calibri" w:cs="Calibri"/>
          <w:lang w:val="sq-AL" w:eastAsia="sq-AL"/>
        </w:rPr>
        <w:t xml:space="preserve">përbëjnë rreth 4.3 përqind të buxhetit me ndryshime të miratuar për MM-në për 4-mujorin e vitit 2022. </w:t>
      </w:r>
      <w:r w:rsidR="003468EB" w:rsidRPr="00C472AD">
        <w:rPr>
          <w:rFonts w:ascii="Calibri" w:hAnsi="Calibri" w:cs="Calibri"/>
          <w:lang w:val="sq-AL"/>
        </w:rPr>
        <w:t>Ky program synon</w:t>
      </w:r>
      <w:r w:rsidR="003468EB" w:rsidRPr="00C472AD">
        <w:rPr>
          <w:rFonts w:ascii="Calibri" w:hAnsi="Calibri" w:cs="Calibri"/>
          <w:bCs/>
          <w:lang w:val="sq-AL"/>
        </w:rPr>
        <w:t xml:space="preserve"> “Rritjen e kapaciteteve të burimeve njerëzore dhe transformimi i sistemit të edukimit ushtarak e civil nëpërmjet programeve të integruara dhe gjithëpërfshirëse në përputhje me standardet e NATO”. </w:t>
      </w:r>
      <w:r w:rsidR="003468EB" w:rsidRPr="00C472AD">
        <w:rPr>
          <w:rFonts w:ascii="Calibri" w:hAnsi="Calibri" w:cs="Calibri"/>
          <w:lang w:val="sq-AL"/>
        </w:rPr>
        <w:t xml:space="preserve">Treguesit e performancës për këtë objektiv: </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ushtarakësh të rinj të trajnuar dhe pranuar kundrejt numrit të aplikimeve</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personeli që përfundojnë trajnimet dhe kalojnë testet.</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manualesh të botuara kundrejt planifikimit.</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kërkimesh shkencore të publikuara kundrejt planifikimit.</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studimesh të zhvilluara për standardizimin e FA-ve.</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personeli ushtarakë të gjinisë femra të pranuara në FA.</w:t>
      </w:r>
    </w:p>
    <w:p w:rsidR="003468EB" w:rsidRPr="0056470D" w:rsidRDefault="003468EB" w:rsidP="003F6B21">
      <w:pPr>
        <w:numPr>
          <w:ilvl w:val="0"/>
          <w:numId w:val="23"/>
        </w:numPr>
        <w:contextualSpacing/>
        <w:jc w:val="both"/>
        <w:rPr>
          <w:rFonts w:ascii="Calibri" w:hAnsi="Calibri"/>
          <w:i/>
          <w:sz w:val="22"/>
          <w:lang w:val="sq-AL"/>
        </w:rPr>
      </w:pPr>
      <w:r w:rsidRPr="0056470D">
        <w:rPr>
          <w:rFonts w:ascii="Calibri" w:hAnsi="Calibri"/>
          <w:i/>
          <w:sz w:val="22"/>
          <w:lang w:val="sq-AL"/>
        </w:rPr>
        <w:t>Numër personeli i trajnuar/stërvitur.</w:t>
      </w:r>
    </w:p>
    <w:p w:rsidR="00226CC1" w:rsidRPr="00226CC1" w:rsidRDefault="00226CC1" w:rsidP="00226CC1">
      <w:pPr>
        <w:contextualSpacing/>
        <w:jc w:val="both"/>
        <w:rPr>
          <w:rFonts w:ascii="Calibri" w:hAnsi="Calibri" w:cs="Calibri"/>
          <w:bCs/>
          <w:iCs/>
          <w:sz w:val="8"/>
          <w:szCs w:val="8"/>
          <w:lang w:val="sq-AL"/>
        </w:rPr>
      </w:pPr>
    </w:p>
    <w:p w:rsidR="003468EB" w:rsidRDefault="003468EB" w:rsidP="0056470D">
      <w:pPr>
        <w:contextualSpacing/>
        <w:jc w:val="both"/>
        <w:rPr>
          <w:rFonts w:ascii="Calibri" w:hAnsi="Calibri" w:cs="Calibri"/>
          <w:bCs/>
          <w:iCs/>
          <w:lang w:val="sq-AL"/>
        </w:rPr>
      </w:pPr>
      <w:r w:rsidRPr="00C472AD">
        <w:rPr>
          <w:rFonts w:ascii="Calibri" w:hAnsi="Calibri" w:cs="Calibri"/>
          <w:bCs/>
          <w:iCs/>
          <w:lang w:val="sq-AL"/>
        </w:rPr>
        <w:lastRenderedPageBreak/>
        <w:t xml:space="preserve">Realizimi i fondeve buxhetore sipas për 4-mujorin 2022 në këtë program buxhetor për grupin e shpenzimeve korente rezulton në masën 30 përqind, nërsa produktet e investimit janë në proces të </w:t>
      </w:r>
      <w:r w:rsidRPr="00226CC1">
        <w:rPr>
          <w:rFonts w:ascii="Calibri" w:hAnsi="Calibri"/>
          <w:i/>
          <w:lang w:val="sq-AL"/>
        </w:rPr>
        <w:t>përgatitjes</w:t>
      </w:r>
      <w:r w:rsidRPr="00C472AD">
        <w:rPr>
          <w:rFonts w:ascii="Calibri" w:hAnsi="Calibri" w:cs="Calibri"/>
          <w:bCs/>
          <w:iCs/>
          <w:lang w:val="sq-AL"/>
        </w:rPr>
        <w:t xml:space="preserve"> së fillimit të procedurave të mëtejshme për realizimin e tyre.</w:t>
      </w:r>
    </w:p>
    <w:p w:rsidR="00990CDF" w:rsidRPr="009638F4" w:rsidRDefault="00990CDF" w:rsidP="0056470D">
      <w:pPr>
        <w:jc w:val="both"/>
        <w:rPr>
          <w:rFonts w:asciiTheme="minorHAnsi" w:hAnsiTheme="minorHAnsi" w:cstheme="minorHAnsi"/>
          <w:color w:val="201F1E"/>
          <w:sz w:val="8"/>
          <w:szCs w:val="8"/>
          <w:bdr w:val="none" w:sz="0" w:space="0" w:color="auto" w:frame="1"/>
          <w:lang w:val="sq-AL"/>
        </w:rPr>
      </w:pPr>
    </w:p>
    <w:p w:rsidR="00226CC1" w:rsidRDefault="00990CDF" w:rsidP="0056470D">
      <w:pPr>
        <w:shd w:val="clear" w:color="auto" w:fill="FFFFFF"/>
        <w:jc w:val="both"/>
        <w:rPr>
          <w:rFonts w:ascii="Calibri" w:hAnsi="Calibri" w:cs="Calibri"/>
          <w:bdr w:val="none" w:sz="0" w:space="0" w:color="auto" w:frame="1"/>
          <w:lang w:val="sq-AL"/>
        </w:rPr>
      </w:pPr>
      <w:r w:rsidRPr="00BF005F">
        <w:rPr>
          <w:rFonts w:asciiTheme="minorHAnsi" w:hAnsiTheme="minorHAnsi" w:cstheme="minorHAnsi"/>
          <w:bCs/>
          <w:iCs/>
          <w:lang w:val="sq-AL"/>
        </w:rPr>
        <w:t>Fondet e akorduara Mistrisë së Mbrojtjes për Programin “</w:t>
      </w:r>
      <w:r w:rsidRPr="00BF005F">
        <w:rPr>
          <w:rFonts w:asciiTheme="minorHAnsi" w:hAnsiTheme="minorHAnsi" w:cstheme="minorHAnsi"/>
          <w:b/>
          <w:bCs/>
          <w:iCs/>
          <w:lang w:val="sq-AL"/>
        </w:rPr>
        <w:t>Mbështetje për Shëndetësinë</w:t>
      </w:r>
      <w:r w:rsidRPr="00BF005F">
        <w:rPr>
          <w:rFonts w:asciiTheme="minorHAnsi" w:hAnsiTheme="minorHAnsi" w:cstheme="minorHAnsi"/>
          <w:bCs/>
          <w:iCs/>
          <w:lang w:val="sq-AL"/>
        </w:rPr>
        <w:t xml:space="preserve">” </w:t>
      </w:r>
      <w:r w:rsidR="00226CC1" w:rsidRPr="00C472AD">
        <w:rPr>
          <w:rFonts w:ascii="Calibri" w:hAnsi="Calibri" w:cs="Calibri"/>
          <w:bCs/>
          <w:iCs/>
          <w:lang w:val="sq-AL"/>
        </w:rPr>
        <w:t>përbëjnë rreth 3.7 përqind të buxhetit me ndryshime, miratuar për MM në vitin 2022. Qëllimi i këtij programi është ‘Ofrimi i një</w:t>
      </w:r>
      <w:r w:rsidR="00226CC1" w:rsidRPr="00C472AD">
        <w:rPr>
          <w:rFonts w:ascii="Calibri" w:hAnsi="Calibri" w:cs="Calibri"/>
          <w:bdr w:val="none" w:sz="0" w:space="0" w:color="auto" w:frame="1"/>
          <w:lang w:val="sq-AL"/>
        </w:rPr>
        <w:t xml:space="preserve"> Shërbimi sa më të Specializuar Mjekësor dhe Spitalor në nivel Universitar në trajtim në rang Kombëtar të politraumave”. </w:t>
      </w:r>
    </w:p>
    <w:p w:rsidR="00226CC1" w:rsidRPr="00226CC1" w:rsidRDefault="00226CC1" w:rsidP="0056470D">
      <w:pPr>
        <w:shd w:val="clear" w:color="auto" w:fill="FFFFFF"/>
        <w:jc w:val="both"/>
        <w:rPr>
          <w:rFonts w:ascii="Calibri" w:hAnsi="Calibri" w:cs="Calibri"/>
          <w:sz w:val="8"/>
          <w:szCs w:val="8"/>
          <w:bdr w:val="none" w:sz="0" w:space="0" w:color="auto" w:frame="1"/>
          <w:lang w:val="sq-AL"/>
        </w:rPr>
      </w:pPr>
    </w:p>
    <w:p w:rsidR="00226CC1" w:rsidRPr="00C472AD" w:rsidRDefault="00226CC1" w:rsidP="0056470D">
      <w:pPr>
        <w:shd w:val="clear" w:color="auto" w:fill="FFFFFF"/>
        <w:jc w:val="both"/>
        <w:rPr>
          <w:rFonts w:ascii="Calibri" w:hAnsi="Calibri" w:cs="Calibri"/>
          <w:bCs/>
          <w:iCs/>
          <w:lang w:val="sq-AL"/>
        </w:rPr>
      </w:pPr>
      <w:r w:rsidRPr="00C472AD">
        <w:rPr>
          <w:rFonts w:ascii="Calibri" w:hAnsi="Calibri" w:cs="Calibri"/>
          <w:bdr w:val="none" w:sz="0" w:space="0" w:color="auto" w:frame="1"/>
          <w:lang w:val="sq-AL"/>
        </w:rPr>
        <w:t>Treguesi i performancës për këtë qëllim:</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Numri i Urgjencave të shërbimit të Kirurgjisë dhe Terapisë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Numri i Pacienteve të shtruar, të planifikuar dhe urgjente në SUT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Numri i Operacioneve të sallës operatore të urgjencës</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Përqindja e vdekshmërisë.</w:t>
      </w:r>
    </w:p>
    <w:p w:rsidR="00226CC1" w:rsidRPr="00226CC1" w:rsidRDefault="00226CC1" w:rsidP="0056470D">
      <w:pPr>
        <w:shd w:val="clear" w:color="auto" w:fill="FFFFFF"/>
        <w:jc w:val="both"/>
        <w:rPr>
          <w:rFonts w:ascii="Calibri" w:hAnsi="Calibri" w:cs="Calibri"/>
          <w:sz w:val="8"/>
          <w:szCs w:val="8"/>
          <w:bdr w:val="none" w:sz="0" w:space="0" w:color="auto" w:frame="1"/>
          <w:lang w:val="sq-AL"/>
        </w:rPr>
      </w:pPr>
    </w:p>
    <w:p w:rsidR="00226CC1" w:rsidRPr="00C472AD" w:rsidRDefault="00226CC1" w:rsidP="0056470D">
      <w:pPr>
        <w:shd w:val="clear" w:color="auto" w:fill="FFFFFF"/>
        <w:jc w:val="both"/>
        <w:rPr>
          <w:rFonts w:ascii="Calibri" w:hAnsi="Calibri" w:cs="Calibri"/>
          <w:lang w:val="sq-AL"/>
        </w:rPr>
      </w:pPr>
      <w:r w:rsidRPr="00C472AD">
        <w:rPr>
          <w:rFonts w:ascii="Calibri" w:hAnsi="Calibri" w:cs="Calibri"/>
          <w:bdr w:val="none" w:sz="0" w:space="0" w:color="auto" w:frame="1"/>
          <w:lang w:val="sq-AL"/>
        </w:rPr>
        <w:t xml:space="preserve">Objektivi i parë  për këtë program është “Pritja dhe trajtimi I  pacienteve te poli traumatizuar  nëe kohe reale pranë Urgjencës të SUT”. </w:t>
      </w:r>
      <w:r w:rsidRPr="00C472AD">
        <w:rPr>
          <w:rFonts w:ascii="Calibri" w:hAnsi="Calibri" w:cs="Calibri"/>
          <w:lang w:val="sq-AL"/>
        </w:rPr>
        <w:t>Treguesi i performancës për këtë objektiv:</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Nr. i Shtrimeve nga Urgjenca</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Urgjencave te shërbimit te Kirurgjisë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operacioneve ne Sallat Operatore te Urgjencës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manipulimeve te ndryshme kirurgjikale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 e Mortalitetit ne Urgjence </w:t>
      </w:r>
    </w:p>
    <w:p w:rsidR="00226CC1" w:rsidRPr="00226CC1" w:rsidRDefault="00226CC1" w:rsidP="0056470D">
      <w:pPr>
        <w:shd w:val="clear" w:color="auto" w:fill="FFFFFF"/>
        <w:jc w:val="both"/>
        <w:rPr>
          <w:rFonts w:ascii="Calibri" w:hAnsi="Calibri" w:cs="Calibri"/>
          <w:bCs/>
          <w:sz w:val="8"/>
          <w:szCs w:val="8"/>
          <w:bdr w:val="none" w:sz="0" w:space="0" w:color="auto" w:frame="1"/>
          <w:lang w:val="sq-AL"/>
        </w:rPr>
      </w:pPr>
    </w:p>
    <w:p w:rsidR="00226CC1" w:rsidRPr="00C472AD" w:rsidRDefault="00226CC1" w:rsidP="0056470D">
      <w:pPr>
        <w:shd w:val="clear" w:color="auto" w:fill="FFFFFF"/>
        <w:jc w:val="both"/>
        <w:rPr>
          <w:rFonts w:ascii="Calibri" w:hAnsi="Calibri" w:cs="Calibri"/>
          <w:lang w:val="sq-AL"/>
        </w:rPr>
      </w:pPr>
      <w:r w:rsidRPr="00C472AD">
        <w:rPr>
          <w:rFonts w:ascii="Calibri" w:hAnsi="Calibri" w:cs="Calibri"/>
          <w:bCs/>
          <w:bdr w:val="none" w:sz="0" w:space="0" w:color="auto" w:frame="1"/>
          <w:lang w:val="sq-AL"/>
        </w:rPr>
        <w:t xml:space="preserve">Objektivi i dytë “Trajtimi  shëndetësor dhe spitalor i pacienteve te afruara nga specialitetet mjekësore pranë SUT”. </w:t>
      </w:r>
      <w:r w:rsidRPr="00C472AD">
        <w:rPr>
          <w:rFonts w:ascii="Calibri" w:hAnsi="Calibri" w:cs="Calibri"/>
          <w:lang w:val="sq-AL"/>
        </w:rPr>
        <w:t>Treguesi i performancës për këtë objektiv:</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shtrimeve reanimatore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operacioneve sipas specialiteteve mjekësore ne bllokun operator  te SUT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Nr. i Ekzaminimeve imazherike </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Nr. i Ekzaminimeve Laboratorike</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Ditë Qëndrimi në spital</w:t>
      </w:r>
    </w:p>
    <w:p w:rsidR="00226CC1" w:rsidRPr="0056470D" w:rsidRDefault="00226CC1" w:rsidP="003F6B21">
      <w:pPr>
        <w:numPr>
          <w:ilvl w:val="0"/>
          <w:numId w:val="23"/>
        </w:numPr>
        <w:contextualSpacing/>
        <w:jc w:val="both"/>
        <w:rPr>
          <w:rFonts w:ascii="Calibri" w:hAnsi="Calibri"/>
          <w:i/>
          <w:sz w:val="22"/>
          <w:lang w:val="sq-AL"/>
        </w:rPr>
      </w:pPr>
      <w:r w:rsidRPr="0056470D">
        <w:rPr>
          <w:rFonts w:ascii="Calibri" w:hAnsi="Calibri"/>
          <w:i/>
          <w:sz w:val="22"/>
          <w:lang w:val="sq-AL"/>
        </w:rPr>
        <w:t>Koeficienti i shfrytëzimit të shtratit etj</w:t>
      </w:r>
    </w:p>
    <w:p w:rsidR="00226CC1" w:rsidRPr="0056470D" w:rsidRDefault="00226CC1" w:rsidP="0056470D">
      <w:pPr>
        <w:numPr>
          <w:ilvl w:val="1"/>
          <w:numId w:val="0"/>
        </w:numPr>
        <w:jc w:val="both"/>
        <w:rPr>
          <w:rFonts w:ascii="Calibri" w:hAnsi="Calibri" w:cs="Calibri"/>
          <w:i/>
          <w:iCs/>
          <w:spacing w:val="15"/>
          <w:sz w:val="8"/>
          <w:szCs w:val="8"/>
          <w:lang w:val="sq-AL" w:eastAsia="en-GB"/>
        </w:rPr>
      </w:pPr>
    </w:p>
    <w:p w:rsidR="00226CC1" w:rsidRDefault="00226CC1" w:rsidP="0056470D">
      <w:pPr>
        <w:shd w:val="clear" w:color="auto" w:fill="FFFFFF"/>
        <w:jc w:val="both"/>
        <w:rPr>
          <w:rFonts w:ascii="Calibri" w:hAnsi="Calibri" w:cs="Calibri"/>
          <w:bCs/>
          <w:iCs/>
          <w:lang w:val="sq-AL"/>
        </w:rPr>
      </w:pPr>
      <w:r w:rsidRPr="00C472AD">
        <w:rPr>
          <w:rFonts w:ascii="Calibri" w:hAnsi="Calibri" w:cs="Calibri"/>
          <w:bCs/>
          <w:bdr w:val="none" w:sz="0" w:space="0" w:color="auto" w:frame="1"/>
          <w:lang w:val="sq-AL"/>
        </w:rPr>
        <w:t xml:space="preserve">Për programin ”Mbështetje për Shëndetësinë”, realizimi i buxhetit për shpenzimet korrente të programit kundrejt buxhetit të akorduar për vitin 2022 është në nivelin 33%, </w:t>
      </w:r>
      <w:r w:rsidRPr="00C472AD">
        <w:rPr>
          <w:rFonts w:ascii="Calibri" w:hAnsi="Calibri" w:cs="Calibri"/>
          <w:bCs/>
          <w:iCs/>
          <w:lang w:val="sq-AL"/>
        </w:rPr>
        <w:t>ndërkohë realizimi i projekteve të investimeve arrin në masën 19.7 përqind.</w:t>
      </w:r>
    </w:p>
    <w:p w:rsidR="0056470D" w:rsidRPr="0056470D" w:rsidRDefault="0056470D" w:rsidP="0056470D">
      <w:pPr>
        <w:shd w:val="clear" w:color="auto" w:fill="FFFFFF"/>
        <w:jc w:val="both"/>
        <w:rPr>
          <w:rFonts w:asciiTheme="minorHAnsi" w:hAnsiTheme="minorHAnsi" w:cstheme="minorHAnsi"/>
          <w:sz w:val="8"/>
          <w:szCs w:val="8"/>
          <w:lang w:val="sq-AL"/>
        </w:rPr>
      </w:pPr>
    </w:p>
    <w:p w:rsidR="00EB6DA1" w:rsidRPr="00C472AD" w:rsidRDefault="00990CDF" w:rsidP="0056470D">
      <w:pPr>
        <w:shd w:val="clear" w:color="auto" w:fill="FFFFFF"/>
        <w:jc w:val="both"/>
        <w:rPr>
          <w:rFonts w:ascii="Calibri" w:hAnsi="Calibri" w:cs="Calibri"/>
          <w:bCs/>
          <w:bdr w:val="none" w:sz="0" w:space="0" w:color="auto" w:frame="1"/>
          <w:lang w:val="sq-AL"/>
        </w:rPr>
      </w:pPr>
      <w:r w:rsidRPr="00BF005F">
        <w:rPr>
          <w:rFonts w:asciiTheme="minorHAnsi" w:hAnsiTheme="minorHAnsi" w:cstheme="minorHAnsi"/>
          <w:lang w:val="sq-AL"/>
        </w:rPr>
        <w:t xml:space="preserve">Fondet e miratuara </w:t>
      </w:r>
      <w:r w:rsidRPr="00BF005F">
        <w:rPr>
          <w:rFonts w:asciiTheme="minorHAnsi" w:hAnsiTheme="minorHAnsi" w:cstheme="minorHAnsi"/>
          <w:lang w:val="sq-AL" w:eastAsia="sq-AL"/>
        </w:rPr>
        <w:t xml:space="preserve">për vitin 2021 </w:t>
      </w:r>
      <w:r w:rsidRPr="00BF005F">
        <w:rPr>
          <w:rFonts w:asciiTheme="minorHAnsi" w:hAnsiTheme="minorHAnsi" w:cstheme="minorHAnsi"/>
          <w:lang w:val="sq-AL"/>
        </w:rPr>
        <w:t>për programin “</w:t>
      </w:r>
      <w:r w:rsidRPr="00BF005F">
        <w:rPr>
          <w:rFonts w:asciiTheme="minorHAnsi" w:hAnsiTheme="minorHAnsi" w:cstheme="minorHAnsi"/>
          <w:b/>
          <w:lang w:val="sq-AL"/>
        </w:rPr>
        <w:t>Emergjencat Civile</w:t>
      </w:r>
      <w:r w:rsidRPr="00BF005F">
        <w:rPr>
          <w:rFonts w:asciiTheme="minorHAnsi" w:hAnsiTheme="minorHAnsi" w:cstheme="minorHAnsi"/>
          <w:lang w:val="sq-AL"/>
        </w:rPr>
        <w:t xml:space="preserve">” </w:t>
      </w:r>
      <w:r w:rsidR="00EB6DA1" w:rsidRPr="00C472AD">
        <w:rPr>
          <w:rFonts w:ascii="Calibri" w:hAnsi="Calibri" w:cs="Calibri"/>
          <w:lang w:val="sq-AL"/>
        </w:rPr>
        <w:t>përbëjnë</w:t>
      </w:r>
      <w:r w:rsidR="00EB6DA1" w:rsidRPr="00C472AD">
        <w:rPr>
          <w:rFonts w:ascii="Calibri" w:hAnsi="Calibri" w:cs="Calibri"/>
          <w:lang w:val="sq-AL" w:eastAsia="sq-AL"/>
        </w:rPr>
        <w:t xml:space="preserve"> rreth 12% të buxhetit të Ministrisë së Mbrojtjes dhe </w:t>
      </w:r>
      <w:r w:rsidR="00EB6DA1" w:rsidRPr="00C472AD">
        <w:rPr>
          <w:rFonts w:ascii="Calibri" w:hAnsi="Calibri" w:cs="Calibri"/>
          <w:lang w:val="sq-AL"/>
        </w:rPr>
        <w:t>shpenzohen për realizimin e objektivave:</w:t>
      </w:r>
    </w:p>
    <w:p w:rsidR="00EB6DA1" w:rsidRPr="00EB6DA1" w:rsidRDefault="00EB6DA1" w:rsidP="003F6B21">
      <w:pPr>
        <w:numPr>
          <w:ilvl w:val="0"/>
          <w:numId w:val="23"/>
        </w:numPr>
        <w:contextualSpacing/>
        <w:jc w:val="both"/>
        <w:rPr>
          <w:rFonts w:ascii="Calibri" w:hAnsi="Calibri"/>
          <w:i/>
          <w:lang w:val="sq-AL"/>
        </w:rPr>
      </w:pPr>
      <w:r w:rsidRPr="00EB6DA1">
        <w:rPr>
          <w:rFonts w:ascii="Calibri" w:hAnsi="Calibri"/>
          <w:i/>
          <w:lang w:val="sq-AL"/>
        </w:rPr>
        <w:t xml:space="preserve">Zvogëlimi e humbjeve në jetë njerëzish, pasurisë, trashëgimisë kulturore dhe në mjedis. Tregues performance: </w:t>
      </w:r>
      <w:r w:rsidRPr="00EB6DA1">
        <w:rPr>
          <w:rFonts w:ascii="Calibri" w:hAnsi="Calibri"/>
          <w:i/>
          <w:lang w:val="sq-AL"/>
        </w:rPr>
        <w:tab/>
      </w:r>
    </w:p>
    <w:p w:rsidR="00EB6DA1" w:rsidRPr="00FA4974" w:rsidRDefault="00EB6DA1" w:rsidP="003F6B21">
      <w:pPr>
        <w:numPr>
          <w:ilvl w:val="0"/>
          <w:numId w:val="19"/>
        </w:numPr>
        <w:autoSpaceDE w:val="0"/>
        <w:autoSpaceDN w:val="0"/>
        <w:adjustRightInd w:val="0"/>
        <w:contextualSpacing/>
        <w:jc w:val="both"/>
        <w:rPr>
          <w:rFonts w:ascii="Calibri" w:hAnsi="Calibri" w:cs="Calibri"/>
          <w:sz w:val="22"/>
          <w:lang w:val="sq-AL"/>
        </w:rPr>
      </w:pPr>
      <w:r w:rsidRPr="00FA4974">
        <w:rPr>
          <w:rFonts w:ascii="Calibri" w:hAnsi="Calibri" w:cs="Calibri"/>
          <w:sz w:val="22"/>
          <w:lang w:val="sq-AL"/>
        </w:rPr>
        <w:t>Jetë të shpëtuara</w:t>
      </w:r>
    </w:p>
    <w:p w:rsidR="00EB6DA1" w:rsidRPr="00FA4974" w:rsidRDefault="00EB6DA1" w:rsidP="003F6B21">
      <w:pPr>
        <w:numPr>
          <w:ilvl w:val="0"/>
          <w:numId w:val="19"/>
        </w:numPr>
        <w:autoSpaceDE w:val="0"/>
        <w:autoSpaceDN w:val="0"/>
        <w:adjustRightInd w:val="0"/>
        <w:contextualSpacing/>
        <w:jc w:val="both"/>
        <w:rPr>
          <w:rFonts w:ascii="Calibri" w:hAnsi="Calibri" w:cs="Calibri"/>
          <w:sz w:val="22"/>
          <w:lang w:val="sq-AL"/>
        </w:rPr>
      </w:pPr>
      <w:r w:rsidRPr="00FA4974">
        <w:rPr>
          <w:rFonts w:ascii="Calibri" w:hAnsi="Calibri" w:cs="Calibri"/>
          <w:sz w:val="22"/>
          <w:lang w:val="sq-AL"/>
        </w:rPr>
        <w:t>Familje të dëmshpërblyera</w:t>
      </w:r>
    </w:p>
    <w:p w:rsidR="00EB6DA1" w:rsidRPr="00FA4974" w:rsidRDefault="00EB6DA1" w:rsidP="003F6B21">
      <w:pPr>
        <w:numPr>
          <w:ilvl w:val="0"/>
          <w:numId w:val="19"/>
        </w:numPr>
        <w:autoSpaceDE w:val="0"/>
        <w:autoSpaceDN w:val="0"/>
        <w:adjustRightInd w:val="0"/>
        <w:contextualSpacing/>
        <w:jc w:val="both"/>
        <w:rPr>
          <w:rFonts w:ascii="Calibri" w:hAnsi="Calibri" w:cs="Calibri"/>
          <w:sz w:val="22"/>
          <w:lang w:val="sq-AL"/>
        </w:rPr>
      </w:pPr>
      <w:r w:rsidRPr="00FA4974">
        <w:rPr>
          <w:rFonts w:ascii="Calibri" w:hAnsi="Calibri" w:cs="Calibri"/>
          <w:sz w:val="22"/>
          <w:lang w:val="sq-AL"/>
        </w:rPr>
        <w:t>Infrastrukturë dhe mjedis i mbrojtur</w:t>
      </w:r>
    </w:p>
    <w:p w:rsidR="00EB6DA1" w:rsidRPr="00EB6DA1" w:rsidRDefault="00EB6DA1" w:rsidP="003F6B21">
      <w:pPr>
        <w:numPr>
          <w:ilvl w:val="0"/>
          <w:numId w:val="23"/>
        </w:numPr>
        <w:contextualSpacing/>
        <w:jc w:val="both"/>
        <w:rPr>
          <w:rFonts w:ascii="Calibri" w:hAnsi="Calibri"/>
          <w:i/>
          <w:lang w:val="sq-AL"/>
        </w:rPr>
      </w:pPr>
      <w:r w:rsidRPr="00EB6DA1">
        <w:rPr>
          <w:rFonts w:ascii="Calibri" w:hAnsi="Calibri"/>
          <w:i/>
          <w:lang w:val="sq-AL"/>
        </w:rPr>
        <w:t>Rritja e stokut ne mallra ushqimore e industriale dhe krijimi i kushteve optimale për miradministrimin e mallrave të konsideruara si rezervë shtetërore. Tregues performance:</w:t>
      </w:r>
      <w:r w:rsidRPr="00EB6DA1">
        <w:rPr>
          <w:rFonts w:ascii="Calibri" w:hAnsi="Calibri"/>
          <w:i/>
          <w:lang w:val="sq-AL"/>
        </w:rPr>
        <w:tab/>
      </w:r>
    </w:p>
    <w:p w:rsidR="00EB6DA1" w:rsidRPr="00FA4974" w:rsidRDefault="00EB6DA1" w:rsidP="003F6B21">
      <w:pPr>
        <w:numPr>
          <w:ilvl w:val="0"/>
          <w:numId w:val="19"/>
        </w:numPr>
        <w:autoSpaceDE w:val="0"/>
        <w:autoSpaceDN w:val="0"/>
        <w:adjustRightInd w:val="0"/>
        <w:spacing w:after="200"/>
        <w:contextualSpacing/>
        <w:jc w:val="both"/>
        <w:rPr>
          <w:rFonts w:ascii="Calibri" w:hAnsi="Calibri" w:cs="Calibri"/>
          <w:sz w:val="22"/>
          <w:lang w:val="sq-AL"/>
        </w:rPr>
      </w:pPr>
      <w:r w:rsidRPr="00FA4974">
        <w:rPr>
          <w:rFonts w:ascii="Calibri" w:hAnsi="Calibri" w:cs="Calibri"/>
          <w:sz w:val="22"/>
          <w:lang w:val="sq-AL"/>
        </w:rPr>
        <w:t>Rritja e stokut të mallrave rezervë shteti, të cilat do të përdoren për t’i ardhur në ndihmë 4 000 familjeve të prekur nga fatkeqësitë natyrore me mallra rezervë  shtetërore për një periudhë 1 mujore.</w:t>
      </w:r>
    </w:p>
    <w:p w:rsidR="00EB6DA1" w:rsidRPr="00EB6DA1" w:rsidRDefault="00EB6DA1" w:rsidP="0056470D">
      <w:pPr>
        <w:spacing w:before="120" w:after="120"/>
        <w:jc w:val="both"/>
        <w:rPr>
          <w:rFonts w:ascii="Calibri" w:hAnsi="Calibri"/>
          <w:noProof/>
          <w:sz w:val="2"/>
          <w:szCs w:val="8"/>
          <w:lang w:val="sq-AL"/>
        </w:rPr>
      </w:pPr>
    </w:p>
    <w:p w:rsidR="00EB6DA1" w:rsidRPr="00C472AD" w:rsidRDefault="00EB6DA1" w:rsidP="0056470D">
      <w:pPr>
        <w:spacing w:before="120" w:after="120"/>
        <w:jc w:val="both"/>
        <w:rPr>
          <w:rFonts w:ascii="Calibri" w:hAnsi="Calibri"/>
          <w:noProof/>
          <w:lang w:val="sq-AL"/>
        </w:rPr>
      </w:pPr>
      <w:r w:rsidRPr="00C472AD">
        <w:rPr>
          <w:rFonts w:ascii="Calibri" w:hAnsi="Calibri"/>
          <w:noProof/>
          <w:lang w:val="sq-AL"/>
        </w:rPr>
        <w:t>Realizimi i fondeve buxhetore sipas për 4-mujorin 2022 në këtë program buxhetor për grupin e shpenzimeve korente rezulton në masën 3.17 përqind, nërsa produktet e investimit janë në proces të përgatitjes së fillimit të procedurave të mëtejshme për realizimin e tyre.</w:t>
      </w:r>
    </w:p>
    <w:p w:rsidR="00990CDF" w:rsidRDefault="00990CDF" w:rsidP="0056470D">
      <w:pPr>
        <w:shd w:val="clear" w:color="auto" w:fill="FFFFFF"/>
        <w:jc w:val="both"/>
        <w:rPr>
          <w:rFonts w:asciiTheme="minorHAnsi" w:hAnsiTheme="minorHAnsi"/>
          <w:b/>
          <w:noProof/>
          <w:color w:val="0070C0"/>
          <w:lang w:val="sq-AL"/>
        </w:rPr>
      </w:pPr>
    </w:p>
    <w:p w:rsidR="0056470D" w:rsidRPr="00BF005F" w:rsidRDefault="0056470D" w:rsidP="0056470D">
      <w:pPr>
        <w:shd w:val="clear" w:color="auto" w:fill="FFFFFF"/>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RENDI DHE SIGURIA PUBLIKE</w:t>
      </w:r>
    </w:p>
    <w:p w:rsidR="00990CDF" w:rsidRPr="00BF005F" w:rsidRDefault="00990CDF" w:rsidP="006F25E7">
      <w:pPr>
        <w:spacing w:line="276" w:lineRule="auto"/>
        <w:jc w:val="both"/>
        <w:rPr>
          <w:rFonts w:asciiTheme="minorHAnsi" w:hAnsiTheme="minorHAnsi"/>
          <w:color w:val="000000"/>
          <w:lang w:val="sq-AL"/>
        </w:rPr>
      </w:pPr>
      <w:r w:rsidRPr="00BF005F">
        <w:rPr>
          <w:rFonts w:asciiTheme="minorHAnsi" w:hAnsiTheme="minorHAnsi"/>
          <w:color w:val="000000"/>
          <w:lang w:val="sq-AL"/>
        </w:rPr>
        <w:t>Performanca e treguesve buxhetorë për 5 programet e Ministrisë së Brendshme paraqitet si mëposhtë:</w:t>
      </w:r>
      <w:r w:rsidRPr="00BF005F">
        <w:rPr>
          <w:rFonts w:asciiTheme="minorHAnsi" w:hAnsiTheme="minorHAnsi"/>
          <w:color w:val="000000"/>
          <w:lang w:val="sq-AL"/>
        </w:rPr>
        <w:tab/>
      </w:r>
      <w:r w:rsidRPr="00BF005F">
        <w:rPr>
          <w:rFonts w:asciiTheme="minorHAnsi" w:hAnsiTheme="minorHAnsi"/>
          <w:color w:val="000000"/>
          <w:lang w:val="sq-AL"/>
        </w:rPr>
        <w:tab/>
      </w:r>
      <w:r w:rsidRPr="00BF005F">
        <w:rPr>
          <w:rFonts w:asciiTheme="minorHAnsi" w:hAnsiTheme="minorHAnsi"/>
          <w:color w:val="000000"/>
          <w:lang w:val="sq-AL"/>
        </w:rPr>
        <w:tab/>
      </w:r>
    </w:p>
    <w:p w:rsidR="00990CDF" w:rsidRPr="00AA20B2" w:rsidRDefault="00990CDF" w:rsidP="00AA20B2">
      <w:pPr>
        <w:spacing w:before="240" w:line="276" w:lineRule="auto"/>
        <w:rPr>
          <w:rFonts w:asciiTheme="minorHAnsi" w:hAnsiTheme="minorHAnsi"/>
          <w:b/>
          <w:i/>
          <w:iCs/>
          <w:color w:val="4F81BD" w:themeColor="accent1"/>
          <w:sz w:val="22"/>
          <w:lang w:val="sq-AL"/>
        </w:rPr>
      </w:pPr>
      <w:bookmarkStart w:id="218" w:name="_Toc107496783"/>
      <w:r w:rsidRPr="00AA20B2">
        <w:rPr>
          <w:rFonts w:asciiTheme="minorHAnsi" w:hAnsiTheme="minorHAnsi"/>
          <w:i/>
          <w:noProof/>
          <w:sz w:val="22"/>
          <w:lang w:val="fr-FR"/>
        </w:rPr>
        <w:t xml:space="preserve">Tabela </w:t>
      </w:r>
      <w:r w:rsidRPr="00AA20B2">
        <w:rPr>
          <w:rFonts w:asciiTheme="minorHAnsi" w:hAnsiTheme="minorHAnsi"/>
          <w:i/>
          <w:noProof/>
          <w:sz w:val="22"/>
        </w:rPr>
        <w:fldChar w:fldCharType="begin"/>
      </w:r>
      <w:r w:rsidRPr="00AA20B2">
        <w:rPr>
          <w:rFonts w:asciiTheme="minorHAnsi" w:hAnsiTheme="minorHAnsi"/>
          <w:i/>
          <w:noProof/>
          <w:sz w:val="22"/>
          <w:lang w:val="fr-FR"/>
        </w:rPr>
        <w:instrText xml:space="preserve"> SEQ Tabela \* ARABIC </w:instrText>
      </w:r>
      <w:r w:rsidRPr="00AA20B2">
        <w:rPr>
          <w:rFonts w:asciiTheme="minorHAnsi" w:hAnsiTheme="minorHAnsi"/>
          <w:i/>
          <w:noProof/>
          <w:sz w:val="22"/>
        </w:rPr>
        <w:fldChar w:fldCharType="separate"/>
      </w:r>
      <w:r w:rsidR="003B2B9B">
        <w:rPr>
          <w:rFonts w:asciiTheme="minorHAnsi" w:hAnsiTheme="minorHAnsi"/>
          <w:i/>
          <w:noProof/>
          <w:sz w:val="22"/>
          <w:lang w:val="fr-FR"/>
        </w:rPr>
        <w:t>47</w:t>
      </w:r>
      <w:r w:rsidRPr="00AA20B2">
        <w:rPr>
          <w:rFonts w:asciiTheme="minorHAnsi" w:hAnsiTheme="minorHAnsi"/>
          <w:i/>
          <w:noProof/>
          <w:sz w:val="22"/>
        </w:rPr>
        <w:fldChar w:fldCharType="end"/>
      </w:r>
      <w:r w:rsidRPr="00AA20B2">
        <w:rPr>
          <w:rFonts w:asciiTheme="minorHAnsi" w:hAnsiTheme="minorHAnsi"/>
          <w:i/>
          <w:noProof/>
          <w:sz w:val="22"/>
          <w:lang w:val="fr-FR"/>
        </w:rPr>
        <w:t>:  Rendi dhe Siguria Publike</w:t>
      </w:r>
      <w:bookmarkEnd w:id="218"/>
      <w:r w:rsidRPr="00AA20B2">
        <w:rPr>
          <w:rFonts w:asciiTheme="minorHAnsi" w:hAnsiTheme="minorHAnsi"/>
          <w:i/>
          <w:noProof/>
          <w:sz w:val="22"/>
          <w:lang w:val="fr-FR"/>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p>
    <w:p w:rsidR="00990CDF" w:rsidRPr="00AA20B2" w:rsidRDefault="00990CDF" w:rsidP="006F25E7">
      <w:pPr>
        <w:spacing w:line="276" w:lineRule="auto"/>
        <w:jc w:val="right"/>
        <w:rPr>
          <w:rFonts w:asciiTheme="minorHAnsi" w:hAnsiTheme="minorHAnsi"/>
          <w:color w:val="000000"/>
          <w:sz w:val="22"/>
          <w:lang w:val="sq-AL"/>
        </w:rPr>
      </w:pPr>
      <w:r w:rsidRPr="00AA20B2">
        <w:rPr>
          <w:rFonts w:asciiTheme="minorHAnsi" w:hAnsiTheme="minorHAnsi"/>
          <w:bCs/>
          <w:i/>
          <w:iCs/>
          <w:sz w:val="22"/>
          <w:lang w:val="sq-AL"/>
        </w:rPr>
        <w:t>Në mijë lekë</w:t>
      </w:r>
    </w:p>
    <w:tbl>
      <w:tblPr>
        <w:tblW w:w="9717" w:type="dxa"/>
        <w:tblInd w:w="93" w:type="dxa"/>
        <w:tblLayout w:type="fixed"/>
        <w:tblLook w:val="04A0" w:firstRow="1" w:lastRow="0" w:firstColumn="1" w:lastColumn="0" w:noHBand="0" w:noVBand="1"/>
      </w:tblPr>
      <w:tblGrid>
        <w:gridCol w:w="489"/>
        <w:gridCol w:w="3091"/>
        <w:gridCol w:w="1092"/>
        <w:gridCol w:w="1010"/>
        <w:gridCol w:w="1009"/>
        <w:gridCol w:w="1010"/>
        <w:gridCol w:w="1006"/>
        <w:gridCol w:w="1010"/>
      </w:tblGrid>
      <w:tr w:rsidR="00FC35D3" w:rsidRPr="00C472AD" w:rsidTr="00FC35D3">
        <w:trPr>
          <w:trHeight w:val="228"/>
        </w:trPr>
        <w:tc>
          <w:tcPr>
            <w:tcW w:w="489" w:type="dxa"/>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NR</w:t>
            </w:r>
          </w:p>
        </w:tc>
        <w:tc>
          <w:tcPr>
            <w:tcW w:w="3091" w:type="dxa"/>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Emërtimi i Programit</w:t>
            </w:r>
          </w:p>
        </w:tc>
        <w:tc>
          <w:tcPr>
            <w:tcW w:w="2102" w:type="dxa"/>
            <w:gridSpan w:val="2"/>
            <w:tcBorders>
              <w:top w:val="single" w:sz="8" w:space="0" w:color="548DD4"/>
              <w:left w:val="nil"/>
              <w:bottom w:val="single" w:sz="8" w:space="0" w:color="548DD4"/>
              <w:right w:val="single" w:sz="8" w:space="0" w:color="548DD4"/>
            </w:tcBorders>
            <w:shd w:val="clear" w:color="000000" w:fill="4BACC6"/>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Plani 2022</w:t>
            </w:r>
          </w:p>
        </w:tc>
        <w:tc>
          <w:tcPr>
            <w:tcW w:w="2019" w:type="dxa"/>
            <w:gridSpan w:val="2"/>
            <w:tcBorders>
              <w:top w:val="single" w:sz="8" w:space="0" w:color="548DD4"/>
              <w:left w:val="nil"/>
              <w:bottom w:val="single" w:sz="8" w:space="0" w:color="548DD4"/>
              <w:right w:val="single" w:sz="8" w:space="0" w:color="548DD4"/>
            </w:tcBorders>
            <w:shd w:val="clear" w:color="000000" w:fill="4BACC6"/>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 xml:space="preserve">Fakti 4M </w:t>
            </w:r>
          </w:p>
        </w:tc>
        <w:tc>
          <w:tcPr>
            <w:tcW w:w="2016" w:type="dxa"/>
            <w:gridSpan w:val="2"/>
            <w:tcBorders>
              <w:top w:val="single" w:sz="8" w:space="0" w:color="548DD4"/>
              <w:left w:val="nil"/>
              <w:bottom w:val="single" w:sz="8" w:space="0" w:color="548DD4"/>
              <w:right w:val="single" w:sz="8" w:space="0" w:color="548DD4"/>
            </w:tcBorders>
            <w:shd w:val="clear" w:color="000000" w:fill="4BACC6"/>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Përqindja  e realizimit</w:t>
            </w:r>
          </w:p>
        </w:tc>
      </w:tr>
      <w:tr w:rsidR="00FC35D3" w:rsidRPr="00C472AD" w:rsidTr="00FC35D3">
        <w:trPr>
          <w:trHeight w:val="228"/>
        </w:trPr>
        <w:tc>
          <w:tcPr>
            <w:tcW w:w="489" w:type="dxa"/>
            <w:vMerge/>
            <w:tcBorders>
              <w:top w:val="single" w:sz="8" w:space="0" w:color="548DD4"/>
              <w:left w:val="single" w:sz="8" w:space="0" w:color="548DD4"/>
              <w:bottom w:val="single" w:sz="8" w:space="0" w:color="548DD4"/>
              <w:right w:val="single" w:sz="8" w:space="0" w:color="548DD4"/>
            </w:tcBorders>
            <w:vAlign w:val="center"/>
            <w:hideMark/>
          </w:tcPr>
          <w:p w:rsidR="00FC35D3" w:rsidRPr="00C472AD" w:rsidRDefault="00FC35D3" w:rsidP="00FC35D3">
            <w:pPr>
              <w:rPr>
                <w:rFonts w:ascii="Calibri" w:hAnsi="Calibri"/>
                <w:b/>
                <w:bCs/>
                <w:sz w:val="18"/>
                <w:szCs w:val="18"/>
                <w:lang w:val="sq-AL"/>
              </w:rPr>
            </w:pPr>
          </w:p>
        </w:tc>
        <w:tc>
          <w:tcPr>
            <w:tcW w:w="3091" w:type="dxa"/>
            <w:vMerge/>
            <w:tcBorders>
              <w:top w:val="single" w:sz="8" w:space="0" w:color="548DD4"/>
              <w:left w:val="single" w:sz="8" w:space="0" w:color="548DD4"/>
              <w:bottom w:val="single" w:sz="8" w:space="0" w:color="548DD4"/>
              <w:right w:val="single" w:sz="8" w:space="0" w:color="548DD4"/>
            </w:tcBorders>
            <w:vAlign w:val="center"/>
            <w:hideMark/>
          </w:tcPr>
          <w:p w:rsidR="00FC35D3" w:rsidRPr="00C472AD" w:rsidRDefault="00FC35D3" w:rsidP="00FC35D3">
            <w:pPr>
              <w:rPr>
                <w:rFonts w:ascii="Calibri" w:hAnsi="Calibri"/>
                <w:b/>
                <w:bCs/>
                <w:sz w:val="18"/>
                <w:szCs w:val="18"/>
                <w:lang w:val="sq-AL"/>
              </w:rPr>
            </w:pP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b/>
                <w:bCs/>
                <w:sz w:val="18"/>
                <w:szCs w:val="18"/>
                <w:lang w:val="sq-AL"/>
              </w:rPr>
            </w:pPr>
            <w:r w:rsidRPr="00C472AD">
              <w:rPr>
                <w:rFonts w:ascii="Calibri" w:hAnsi="Calibri"/>
                <w:b/>
                <w:bCs/>
                <w:sz w:val="18"/>
                <w:szCs w:val="18"/>
                <w:lang w:val="sq-AL"/>
              </w:rPr>
              <w:t>Korrente</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Investime</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Korrente</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Investime</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Korrente</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Investime</w:t>
            </w:r>
          </w:p>
        </w:tc>
      </w:tr>
      <w:tr w:rsidR="00FC35D3" w:rsidRPr="00C472AD" w:rsidTr="00FC35D3">
        <w:trPr>
          <w:trHeight w:val="299"/>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right"/>
              <w:rPr>
                <w:rFonts w:ascii="Calibri" w:hAnsi="Calibri"/>
                <w:sz w:val="18"/>
                <w:szCs w:val="18"/>
                <w:lang w:val="sq-AL"/>
              </w:rPr>
            </w:pPr>
            <w:r w:rsidRPr="00C472AD">
              <w:rPr>
                <w:rFonts w:ascii="Calibri" w:hAnsi="Calibri"/>
                <w:sz w:val="18"/>
                <w:szCs w:val="18"/>
                <w:lang w:val="sq-AL"/>
              </w:rPr>
              <w:t>1</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Planifikim, Menaxhim, Administrim</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1,169,831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96,250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340,422</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0</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29.1%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0.0%</w:t>
            </w:r>
          </w:p>
        </w:tc>
      </w:tr>
      <w:tr w:rsidR="00FC35D3" w:rsidRPr="00C472AD" w:rsidTr="00FC35D3">
        <w:trPr>
          <w:trHeight w:val="228"/>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right"/>
              <w:rPr>
                <w:rFonts w:ascii="Calibri" w:hAnsi="Calibri"/>
                <w:sz w:val="18"/>
                <w:szCs w:val="18"/>
                <w:lang w:val="sq-AL"/>
              </w:rPr>
            </w:pPr>
            <w:r w:rsidRPr="00C472AD">
              <w:rPr>
                <w:rFonts w:ascii="Calibri" w:hAnsi="Calibri"/>
                <w:sz w:val="18"/>
                <w:szCs w:val="18"/>
                <w:lang w:val="sq-AL"/>
              </w:rPr>
              <w:t>2</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Policia e Shtetit</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15,298,890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789,201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4,912,419</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36,663</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32.1%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4.6%</w:t>
            </w:r>
          </w:p>
        </w:tc>
      </w:tr>
      <w:tr w:rsidR="00FC35D3" w:rsidRPr="00C472AD" w:rsidTr="00FC35D3">
        <w:trPr>
          <w:trHeight w:val="228"/>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 </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r w:rsidRPr="00C472AD">
              <w:rPr>
                <w:rFonts w:ascii="Calibri" w:hAnsi="Calibri"/>
                <w:i/>
                <w:iCs/>
                <w:sz w:val="18"/>
                <w:szCs w:val="18"/>
                <w:lang w:val="sq-AL"/>
              </w:rPr>
              <w:t>Financimi i huaj</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r w:rsidRPr="00C472AD">
              <w:rPr>
                <w:rFonts w:ascii="Calibri" w:hAnsi="Calibri"/>
                <w:i/>
                <w:iCs/>
                <w:sz w:val="18"/>
                <w:szCs w:val="18"/>
                <w:lang w:val="sq-AL"/>
              </w:rPr>
              <w:t>335,290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r w:rsidRPr="00C472AD">
              <w:rPr>
                <w:rFonts w:ascii="Calibri" w:hAnsi="Calibri"/>
                <w:i/>
                <w:iCs/>
                <w:sz w:val="18"/>
                <w:szCs w:val="18"/>
                <w:lang w:val="sq-AL"/>
              </w:rPr>
              <w:t>389,037</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116.0%</w:t>
            </w:r>
          </w:p>
        </w:tc>
      </w:tr>
      <w:tr w:rsidR="00FC35D3" w:rsidRPr="00C472AD" w:rsidTr="00FC35D3">
        <w:trPr>
          <w:trHeight w:val="228"/>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right"/>
              <w:rPr>
                <w:rFonts w:ascii="Calibri" w:hAnsi="Calibri"/>
                <w:sz w:val="18"/>
                <w:szCs w:val="18"/>
                <w:lang w:val="sq-AL"/>
              </w:rPr>
            </w:pPr>
            <w:r w:rsidRPr="00C472AD">
              <w:rPr>
                <w:rFonts w:ascii="Calibri" w:hAnsi="Calibri"/>
                <w:sz w:val="18"/>
                <w:szCs w:val="18"/>
                <w:lang w:val="sq-AL"/>
              </w:rPr>
              <w:t>3</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Garda e Republikës</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1,725,855</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29,000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545,541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31.6%</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r>
      <w:tr w:rsidR="00FC35D3" w:rsidRPr="00C472AD" w:rsidTr="00FC35D3">
        <w:trPr>
          <w:trHeight w:val="228"/>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right"/>
              <w:rPr>
                <w:rFonts w:ascii="Calibri" w:hAnsi="Calibri"/>
                <w:sz w:val="18"/>
                <w:szCs w:val="18"/>
                <w:lang w:val="sq-AL"/>
              </w:rPr>
            </w:pPr>
            <w:r w:rsidRPr="00C472AD">
              <w:rPr>
                <w:rFonts w:ascii="Calibri" w:hAnsi="Calibri"/>
                <w:sz w:val="18"/>
                <w:szCs w:val="18"/>
                <w:lang w:val="sq-AL"/>
              </w:rPr>
              <w:t>4</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Shërbimi i Gjendjes Civile</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477,977</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60,000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129,938</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27.2%</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r>
      <w:tr w:rsidR="00FC35D3" w:rsidRPr="00C472AD" w:rsidTr="00FC35D3">
        <w:trPr>
          <w:trHeight w:val="359"/>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right"/>
              <w:rPr>
                <w:rFonts w:ascii="Calibri" w:hAnsi="Calibri"/>
                <w:sz w:val="18"/>
                <w:szCs w:val="18"/>
                <w:lang w:val="sq-AL"/>
              </w:rPr>
            </w:pPr>
            <w:r w:rsidRPr="00C472AD">
              <w:rPr>
                <w:rFonts w:ascii="Calibri" w:hAnsi="Calibri"/>
                <w:sz w:val="18"/>
                <w:szCs w:val="18"/>
                <w:lang w:val="sq-AL"/>
              </w:rPr>
              <w:t>5</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Prefekturat dhe Funksionet e Deleguar</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490,914</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62,000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137,725</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0</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28.1%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0.0%</w:t>
            </w:r>
          </w:p>
        </w:tc>
      </w:tr>
      <w:tr w:rsidR="00FC35D3" w:rsidRPr="00C472AD" w:rsidTr="00FC35D3">
        <w:trPr>
          <w:trHeight w:val="228"/>
        </w:trPr>
        <w:tc>
          <w:tcPr>
            <w:tcW w:w="489" w:type="dxa"/>
            <w:tcBorders>
              <w:top w:val="nil"/>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sz w:val="18"/>
                <w:szCs w:val="18"/>
                <w:lang w:val="sq-AL"/>
              </w:rPr>
            </w:pPr>
            <w:r w:rsidRPr="00C472AD">
              <w:rPr>
                <w:rFonts w:ascii="Calibri" w:hAnsi="Calibri"/>
                <w:sz w:val="18"/>
                <w:szCs w:val="18"/>
                <w:lang w:val="sq-AL"/>
              </w:rPr>
              <w:t> </w:t>
            </w:r>
          </w:p>
        </w:tc>
        <w:tc>
          <w:tcPr>
            <w:tcW w:w="3091"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rPr>
                <w:rFonts w:ascii="Calibri" w:hAnsi="Calibri"/>
                <w:i/>
                <w:iCs/>
                <w:sz w:val="18"/>
                <w:szCs w:val="18"/>
                <w:lang w:val="sq-AL"/>
              </w:rPr>
            </w:pPr>
            <w:r w:rsidRPr="00C472AD">
              <w:rPr>
                <w:rFonts w:ascii="Calibri" w:hAnsi="Calibri"/>
                <w:i/>
                <w:iCs/>
                <w:sz w:val="18"/>
                <w:szCs w:val="18"/>
                <w:lang w:val="sq-AL"/>
              </w:rPr>
              <w:t xml:space="preserve">               Financimi i huaj</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r w:rsidRPr="00C472AD">
              <w:rPr>
                <w:rFonts w:ascii="Calibri" w:hAnsi="Calibri"/>
                <w:i/>
                <w:iCs/>
                <w:sz w:val="18"/>
                <w:szCs w:val="18"/>
                <w:lang w:val="sq-AL"/>
              </w:rPr>
              <w:t>15,000</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i/>
                <w:iCs/>
                <w:sz w:val="18"/>
                <w:szCs w:val="18"/>
                <w:lang w:val="sq-AL"/>
              </w:rPr>
            </w:pPr>
            <w:r w:rsidRPr="00C472AD">
              <w:rPr>
                <w:rFonts w:ascii="Calibri" w:hAnsi="Calibri"/>
                <w:i/>
                <w:iCs/>
                <w:sz w:val="18"/>
                <w:szCs w:val="18"/>
                <w:lang w:val="sq-AL"/>
              </w:rPr>
              <w:t>3,252</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sz w:val="18"/>
                <w:szCs w:val="18"/>
                <w:lang w:val="sq-AL"/>
              </w:rPr>
            </w:pPr>
            <w:r w:rsidRPr="00C472AD">
              <w:rPr>
                <w:rFonts w:ascii="Calibri" w:hAnsi="Calibri"/>
                <w:sz w:val="18"/>
                <w:szCs w:val="18"/>
                <w:lang w:val="sq-AL"/>
              </w:rPr>
              <w:t>21.7%</w:t>
            </w:r>
          </w:p>
        </w:tc>
      </w:tr>
      <w:tr w:rsidR="00FC35D3" w:rsidRPr="00C472AD" w:rsidTr="00FC35D3">
        <w:trPr>
          <w:trHeight w:val="228"/>
        </w:trPr>
        <w:tc>
          <w:tcPr>
            <w:tcW w:w="3580" w:type="dxa"/>
            <w:gridSpan w:val="2"/>
            <w:tcBorders>
              <w:top w:val="single" w:sz="8" w:space="0" w:color="548DD4"/>
              <w:left w:val="single" w:sz="8" w:space="0" w:color="548DD4"/>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 xml:space="preserve">Totali </w:t>
            </w:r>
          </w:p>
        </w:tc>
        <w:tc>
          <w:tcPr>
            <w:tcW w:w="1092"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19,163,468</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1,386,741</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6,066,044</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428,951</w:t>
            </w:r>
          </w:p>
        </w:tc>
        <w:tc>
          <w:tcPr>
            <w:tcW w:w="1006"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31.7%</w:t>
            </w:r>
          </w:p>
        </w:tc>
        <w:tc>
          <w:tcPr>
            <w:tcW w:w="1009" w:type="dxa"/>
            <w:tcBorders>
              <w:top w:val="nil"/>
              <w:left w:val="nil"/>
              <w:bottom w:val="single" w:sz="8" w:space="0" w:color="548DD4"/>
              <w:right w:val="single" w:sz="8" w:space="0" w:color="548DD4"/>
            </w:tcBorders>
            <w:shd w:val="clear" w:color="auto" w:fill="auto"/>
            <w:vAlign w:val="center"/>
            <w:hideMark/>
          </w:tcPr>
          <w:p w:rsidR="00FC35D3" w:rsidRPr="00C472AD" w:rsidRDefault="00FC35D3" w:rsidP="00FC35D3">
            <w:pPr>
              <w:jc w:val="center"/>
              <w:rPr>
                <w:rFonts w:ascii="Calibri" w:hAnsi="Calibri"/>
                <w:b/>
                <w:bCs/>
                <w:sz w:val="18"/>
                <w:szCs w:val="18"/>
                <w:lang w:val="sq-AL"/>
              </w:rPr>
            </w:pPr>
            <w:r w:rsidRPr="00C472AD">
              <w:rPr>
                <w:rFonts w:ascii="Calibri" w:hAnsi="Calibri"/>
                <w:b/>
                <w:bCs/>
                <w:sz w:val="18"/>
                <w:szCs w:val="18"/>
                <w:lang w:val="sq-AL"/>
              </w:rPr>
              <w:t>30.9%</w:t>
            </w:r>
          </w:p>
        </w:tc>
      </w:tr>
    </w:tbl>
    <w:p w:rsidR="00FC35D3" w:rsidRPr="00FC35D3" w:rsidRDefault="00FC35D3" w:rsidP="00FC35D3">
      <w:pPr>
        <w:spacing w:line="276" w:lineRule="auto"/>
        <w:jc w:val="both"/>
        <w:rPr>
          <w:rFonts w:asciiTheme="minorHAnsi" w:hAnsiTheme="minorHAnsi"/>
          <w:b/>
          <w:lang w:val="sq-AL"/>
        </w:rPr>
      </w:pPr>
    </w:p>
    <w:p w:rsidR="00FC35D3" w:rsidRPr="00C472AD" w:rsidRDefault="00990CDF" w:rsidP="0056470D">
      <w:pPr>
        <w:jc w:val="both"/>
        <w:rPr>
          <w:rFonts w:ascii="Calibri" w:hAnsi="Calibri"/>
          <w:lang w:val="sq-AL"/>
        </w:rPr>
      </w:pPr>
      <w:r w:rsidRPr="00BF005F">
        <w:rPr>
          <w:rFonts w:asciiTheme="minorHAnsi" w:hAnsiTheme="minorHAnsi"/>
          <w:b/>
          <w:lang w:val="sq-AL"/>
        </w:rPr>
        <w:t>Në programin “Policia e Shtetit</w:t>
      </w:r>
      <w:r w:rsidRPr="00BF005F">
        <w:rPr>
          <w:rFonts w:asciiTheme="minorHAnsi" w:hAnsiTheme="minorHAnsi"/>
          <w:lang w:val="sq-AL"/>
        </w:rPr>
        <w:t>”,</w:t>
      </w:r>
      <w:r w:rsidRPr="00BF005F">
        <w:rPr>
          <w:rFonts w:asciiTheme="minorHAnsi" w:eastAsia="MS Mincho" w:hAnsiTheme="minorHAnsi"/>
          <w:lang w:val="sq-AL"/>
        </w:rPr>
        <w:t xml:space="preserve"> </w:t>
      </w:r>
      <w:r w:rsidR="00FC35D3" w:rsidRPr="00C472AD">
        <w:rPr>
          <w:rFonts w:ascii="Calibri" w:hAnsi="Calibri"/>
          <w:lang w:val="sq-AL"/>
        </w:rPr>
        <w:t xml:space="preserve">realizimi i fondeve për shpenzimet korente është 32 % ndaj planit vjetor ndërsa produktet e investimit janë realizuar ne masë 38%. </w:t>
      </w:r>
    </w:p>
    <w:p w:rsidR="00FC35D3" w:rsidRPr="00FC35D3" w:rsidRDefault="00FC35D3" w:rsidP="0056470D">
      <w:pPr>
        <w:jc w:val="both"/>
        <w:rPr>
          <w:rFonts w:ascii="Calibri" w:hAnsi="Calibri"/>
          <w:sz w:val="8"/>
          <w:szCs w:val="8"/>
          <w:lang w:val="sq-AL"/>
        </w:rPr>
      </w:pPr>
    </w:p>
    <w:p w:rsidR="00FC35D3" w:rsidRPr="00C472AD" w:rsidRDefault="00FC35D3" w:rsidP="0056470D">
      <w:pPr>
        <w:jc w:val="both"/>
        <w:rPr>
          <w:rFonts w:ascii="Calibri" w:hAnsi="Calibri"/>
          <w:i/>
          <w:lang w:val="sq-AL"/>
        </w:rPr>
      </w:pPr>
      <w:r w:rsidRPr="00C472AD">
        <w:rPr>
          <w:rFonts w:ascii="Calibri" w:hAnsi="Calibri"/>
          <w:lang w:val="sq-AL"/>
        </w:rPr>
        <w:t xml:space="preserve">Qëllimi i këtij progami është:  </w:t>
      </w:r>
      <w:r w:rsidRPr="00C472AD">
        <w:rPr>
          <w:rFonts w:ascii="Calibri" w:hAnsi="Calibri"/>
          <w:i/>
          <w:lang w:val="sq-AL"/>
        </w:rPr>
        <w:t xml:space="preserve">“Lufta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 </w:t>
      </w:r>
      <w:r w:rsidRPr="00C472AD">
        <w:rPr>
          <w:rFonts w:ascii="Calibri" w:hAnsi="Calibri"/>
          <w:lang w:val="sq-AL"/>
        </w:rPr>
        <w:t>Qëllimi i programit realizohet nëpërmjet 4 objektivave dhe 16 produkteve të realizuar përgjatë 4 mujorit të parë të vitit 2022,  të cilat paraqiten si vijon:</w:t>
      </w:r>
    </w:p>
    <w:p w:rsidR="00FC35D3" w:rsidRPr="00FC35D3" w:rsidRDefault="00FC35D3" w:rsidP="0056470D">
      <w:pPr>
        <w:spacing w:after="240"/>
        <w:contextualSpacing/>
        <w:jc w:val="both"/>
        <w:rPr>
          <w:rFonts w:ascii="Calibri" w:hAnsi="Calibri"/>
          <w:sz w:val="8"/>
          <w:szCs w:val="8"/>
          <w:lang w:val="sq-AL"/>
        </w:rPr>
      </w:pPr>
    </w:p>
    <w:p w:rsidR="00FC35D3" w:rsidRPr="00C472AD" w:rsidRDefault="00FC35D3" w:rsidP="0056470D">
      <w:pPr>
        <w:spacing w:after="240"/>
        <w:contextualSpacing/>
        <w:jc w:val="both"/>
        <w:rPr>
          <w:rFonts w:ascii="Calibri" w:hAnsi="Calibri"/>
          <w:lang w:val="sq-AL"/>
        </w:rPr>
      </w:pPr>
      <w:r w:rsidRPr="00C472AD">
        <w:rPr>
          <w:rFonts w:ascii="Calibri" w:hAnsi="Calibri"/>
          <w:lang w:val="sq-AL"/>
        </w:rPr>
        <w:t xml:space="preserve">Objektivi 1 </w:t>
      </w:r>
      <w:r w:rsidRPr="00C472AD">
        <w:rPr>
          <w:rFonts w:ascii="Calibri" w:hAnsi="Calibri"/>
          <w:i/>
          <w:lang w:val="sq-AL"/>
        </w:rPr>
        <w:t>“Rritja e hetimeve proaktive në luftën kundër krimit të organizuar, trafiqeve, korrupsionit, terrorizmit si dhe forcimi i koordinimit ndërinstitucional ndërkombëtar në luftën kundër krimit të organizuar e terrorizmit”.</w:t>
      </w:r>
      <w:r w:rsidRPr="00C472AD">
        <w:rPr>
          <w:rFonts w:ascii="Calibri" w:hAnsi="Calibri"/>
          <w:lang w:val="sq-AL"/>
        </w:rPr>
        <w:t xml:space="preserve"> Për realizimin e objektivit kanë kontribuar produktet sa më poshtë: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Realizimi i 56 “Operacione të posaçme Konvencionale” apo 80 % e sasisë së planifikuar, me një kosto totale prej 102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Janë kryer 12,388 “Operacione policore të hetuara dhe shërbime”, apo 94% e sasisë së planifikuar për periudhën, me një kosto totale prej 2,651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 xml:space="preserve">Janë realizuar 15 opracione ndaj ekstermisteve e grupeve terroriste, apo 88% e sasisë së planifikuar për periudhën. </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49 “Persona me cilësi të veçantë të mbrojtur”, apo 86% e sasisë së planifikuar për periudhën, me një kosto totale prej 48 milionë lekë.</w:t>
      </w:r>
    </w:p>
    <w:p w:rsidR="00FC35D3" w:rsidRPr="00FC35D3" w:rsidRDefault="00FC35D3" w:rsidP="0056470D">
      <w:pPr>
        <w:contextualSpacing/>
        <w:jc w:val="both"/>
        <w:rPr>
          <w:rFonts w:ascii="Calibri" w:hAnsi="Calibri"/>
          <w:sz w:val="8"/>
          <w:szCs w:val="8"/>
          <w:lang w:val="sq-AL"/>
        </w:rPr>
      </w:pPr>
    </w:p>
    <w:p w:rsidR="00FC35D3" w:rsidRPr="00C472AD" w:rsidRDefault="00FC35D3" w:rsidP="0056470D">
      <w:pPr>
        <w:contextualSpacing/>
        <w:jc w:val="both"/>
        <w:rPr>
          <w:rFonts w:ascii="Calibri" w:hAnsi="Calibri"/>
          <w:lang w:val="sq-AL"/>
        </w:rPr>
      </w:pPr>
      <w:r w:rsidRPr="00C472AD">
        <w:rPr>
          <w:rFonts w:ascii="Calibri" w:hAnsi="Calibri"/>
          <w:lang w:val="sq-AL"/>
        </w:rPr>
        <w:t>Objektivi 2</w:t>
      </w:r>
      <w:r w:rsidRPr="00C472AD">
        <w:rPr>
          <w:rFonts w:ascii="Calibri" w:hAnsi="Calibri"/>
          <w:i/>
          <w:lang w:val="sq-AL"/>
        </w:rPr>
        <w:t xml:space="preserve"> “Rritja e sigurisë Publike dhe Sigurisë rrugore përmes patrullimeve në rrugë dhe forcimi i kontrollit të territorit me policimin në komunitet”</w:t>
      </w:r>
      <w:r w:rsidRPr="00C472AD">
        <w:rPr>
          <w:rFonts w:ascii="Calibri" w:hAnsi="Calibri"/>
          <w:lang w:val="sq-AL"/>
        </w:rPr>
        <w:t>. Për realizimin e objektivit kanë kontribuar produktet sa më poshtë: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Realizimi i 2,076 “Shërbime të policisë rrugore të kryera në rrugët nacionale”, apo 91% e sasisë së planifikuar për 4-mujorin, me një kosto totale prej 85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Janë realizuar 177 “Shërbime të Forcave Speciale dhe e NSH për sigurimin e Rendit Publik”, apo 87% e sasisë së planifikuar për 4-mujorin, me një kosto totale prej 309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19 objekte dhe personalitete të siguaruara, apo 95% e sasisë së planifikuar për 4-mujorin, me një kosto totale prej 89 milion lekë.</w:t>
      </w:r>
    </w:p>
    <w:p w:rsidR="00FC35D3" w:rsidRPr="0056470D" w:rsidRDefault="00FC35D3" w:rsidP="0056470D">
      <w:pPr>
        <w:contextualSpacing/>
        <w:jc w:val="both"/>
        <w:rPr>
          <w:rFonts w:ascii="Calibri" w:hAnsi="Calibri"/>
          <w:sz w:val="6"/>
          <w:szCs w:val="8"/>
          <w:lang w:val="sq-AL"/>
        </w:rPr>
      </w:pPr>
    </w:p>
    <w:p w:rsidR="00FC35D3" w:rsidRPr="00C472AD" w:rsidRDefault="00FC35D3" w:rsidP="0056470D">
      <w:pPr>
        <w:contextualSpacing/>
        <w:jc w:val="both"/>
        <w:rPr>
          <w:rFonts w:ascii="Calibri" w:hAnsi="Calibri"/>
          <w:lang w:val="sq-AL"/>
        </w:rPr>
      </w:pPr>
      <w:r w:rsidRPr="00C472AD">
        <w:rPr>
          <w:rFonts w:ascii="Calibri" w:hAnsi="Calibri"/>
          <w:lang w:val="sq-AL"/>
        </w:rPr>
        <w:lastRenderedPageBreak/>
        <w:t>Objektivi 3 “</w:t>
      </w:r>
      <w:r w:rsidRPr="00C472AD">
        <w:rPr>
          <w:rFonts w:ascii="Calibri" w:hAnsi="Calibri"/>
          <w:i/>
          <w:lang w:val="sq-AL"/>
        </w:rPr>
        <w:t>Forcimi i masave për luiftën kundë krimit ndërkufitar dhe trafiqeve të paligjshme me synim rritjen e standartev të sigurisë së kufijve sipas standarteve të BE-së dhe Kodit Schengen”.</w:t>
      </w:r>
      <w:r w:rsidRPr="00C472AD">
        <w:rPr>
          <w:rFonts w:ascii="Calibri" w:hAnsi="Calibri"/>
          <w:lang w:val="sq-AL"/>
        </w:rPr>
        <w:t xml:space="preserve"> </w:t>
      </w:r>
    </w:p>
    <w:p w:rsidR="00FC35D3" w:rsidRPr="00C472AD" w:rsidRDefault="00FC35D3" w:rsidP="0056470D">
      <w:pPr>
        <w:contextualSpacing/>
        <w:jc w:val="both"/>
        <w:rPr>
          <w:rFonts w:ascii="Calibri" w:hAnsi="Calibri"/>
          <w:lang w:val="sq-AL"/>
        </w:rPr>
      </w:pPr>
      <w:r w:rsidRPr="00C472AD">
        <w:rPr>
          <w:rFonts w:ascii="Calibri" w:hAnsi="Calibri"/>
          <w:lang w:val="sq-AL"/>
        </w:rPr>
        <w:t>Për realizimin e objektivit kanë kontribuar 3 produkte përgjatë 4 mujorit,  të cilët konsistojnë në: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U realizuan 12 operacione të sigurisë në kufirin blu, apo 86% e sasisë së planifikuar për 4-mujorin, me një kosto totale prej 38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Janë procesuar 10,883,981 persona në PKK, kategoria I; II dhe e II-të (ajrore, detare, tokësore), apo 95% e sasisë së planifikuar për 4-mujorin, me një kosto totale prej 675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Janë trajnuar 44 Qen policie në kushte shërbimi, apo 71% e sasisë së planifikuar për 4M.</w:t>
      </w:r>
    </w:p>
    <w:p w:rsidR="00FC35D3" w:rsidRPr="00FC35D3" w:rsidRDefault="00FC35D3" w:rsidP="0056470D">
      <w:pPr>
        <w:contextualSpacing/>
        <w:jc w:val="both"/>
        <w:rPr>
          <w:rFonts w:ascii="Calibri" w:hAnsi="Calibri"/>
          <w:b/>
          <w:sz w:val="8"/>
          <w:szCs w:val="8"/>
          <w:lang w:val="sq-AL"/>
        </w:rPr>
      </w:pPr>
    </w:p>
    <w:p w:rsidR="00FC35D3" w:rsidRPr="00C472AD" w:rsidRDefault="00FC35D3" w:rsidP="0056470D">
      <w:pPr>
        <w:contextualSpacing/>
        <w:jc w:val="both"/>
        <w:rPr>
          <w:rFonts w:ascii="Calibri" w:hAnsi="Calibri"/>
          <w:lang w:val="sq-AL"/>
        </w:rPr>
      </w:pPr>
      <w:r w:rsidRPr="00C472AD">
        <w:rPr>
          <w:rFonts w:ascii="Calibri" w:hAnsi="Calibri"/>
          <w:lang w:val="sq-AL"/>
        </w:rPr>
        <w:t>Objektivi 4 “</w:t>
      </w:r>
      <w:r w:rsidRPr="00C472AD">
        <w:rPr>
          <w:rFonts w:ascii="Calibri" w:hAnsi="Calibri"/>
          <w:i/>
          <w:lang w:val="sq-AL"/>
        </w:rPr>
        <w:t>Përafrimi i standartve të shërbimeve policore me ato të BE-së”.</w:t>
      </w:r>
      <w:r w:rsidRPr="00C472AD">
        <w:rPr>
          <w:rFonts w:ascii="Calibri" w:hAnsi="Calibri"/>
          <w:lang w:val="sq-AL"/>
        </w:rPr>
        <w:t xml:space="preserve"> Për realizimin e objektivit kanë kontribuar 3 produkte përgjatë 4 mujorit,  të cilët konsistojnë në: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U trajnuan 140 rekrut të trajnuar në auditore dhe në terren, apo 56% e sasisë së planifikuar për 4-mujorin, me një kosto totale prej 27 milionë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U trajtuan 1618 punonjës me pagesë kalimtare, apo 72% e sasisë së planifikuar për 4-mujorin, me kosto totale prej 74 milion lekë.</w:t>
      </w:r>
    </w:p>
    <w:p w:rsidR="00FC35D3" w:rsidRPr="0056470D" w:rsidRDefault="00FC35D3" w:rsidP="003F6B21">
      <w:pPr>
        <w:numPr>
          <w:ilvl w:val="0"/>
          <w:numId w:val="23"/>
        </w:numPr>
        <w:contextualSpacing/>
        <w:jc w:val="both"/>
        <w:rPr>
          <w:rFonts w:ascii="Calibri" w:hAnsi="Calibri"/>
          <w:i/>
          <w:sz w:val="22"/>
          <w:lang w:val="sq-AL"/>
        </w:rPr>
      </w:pPr>
      <w:r w:rsidRPr="0056470D">
        <w:rPr>
          <w:rFonts w:ascii="Calibri" w:hAnsi="Calibri"/>
          <w:i/>
          <w:sz w:val="22"/>
          <w:lang w:val="sq-AL"/>
        </w:rPr>
        <w:t>Janë hartuar  7486 raporte për menaxhimin e burimeve finaciare dhe njerzore, apo 85 e sasisë së planifikuar për 4-mujorin, me një kosto totale prej 896 milion lekë.</w:t>
      </w:r>
    </w:p>
    <w:p w:rsidR="00FC35D3" w:rsidRPr="0056470D" w:rsidRDefault="00FC35D3" w:rsidP="0056470D">
      <w:pPr>
        <w:jc w:val="both"/>
        <w:rPr>
          <w:rFonts w:asciiTheme="minorHAnsi" w:eastAsia="MS Mincho" w:hAnsiTheme="minorHAnsi"/>
          <w:b/>
          <w:sz w:val="16"/>
          <w:szCs w:val="8"/>
          <w:lang w:val="sq-AL"/>
        </w:rPr>
      </w:pPr>
    </w:p>
    <w:p w:rsidR="00FC35D3" w:rsidRPr="00C472AD" w:rsidRDefault="00990CDF" w:rsidP="0056470D">
      <w:pPr>
        <w:jc w:val="both"/>
        <w:rPr>
          <w:rFonts w:ascii="Calibri" w:hAnsi="Calibri"/>
          <w:lang w:val="sq-AL"/>
        </w:rPr>
      </w:pPr>
      <w:r w:rsidRPr="00BF005F">
        <w:rPr>
          <w:rFonts w:asciiTheme="minorHAnsi" w:eastAsia="MS Mincho" w:hAnsiTheme="minorHAnsi"/>
          <w:b/>
          <w:lang w:val="sq-AL"/>
        </w:rPr>
        <w:t>Programi “Garda e Republikës”</w:t>
      </w:r>
      <w:r w:rsidRPr="00BF005F">
        <w:rPr>
          <w:rFonts w:asciiTheme="minorHAnsi" w:eastAsia="MS Mincho" w:hAnsiTheme="minorHAnsi"/>
          <w:lang w:val="sq-AL"/>
        </w:rPr>
        <w:t xml:space="preserve">, </w:t>
      </w:r>
      <w:r w:rsidR="00FC35D3" w:rsidRPr="00C472AD">
        <w:rPr>
          <w:rFonts w:ascii="Calibri" w:hAnsi="Calibri"/>
          <w:lang w:val="sq-AL"/>
        </w:rPr>
        <w:t xml:space="preserve">realizimi i fondeve për shpenzimet korente është 31 % ndaj planit vjetor ndërsa për produktet e investimit nuk ka realizim për periudhëm. Qëllimi i këtij progami është: </w:t>
      </w:r>
      <w:r w:rsidR="00FC35D3" w:rsidRPr="00C472AD">
        <w:rPr>
          <w:rFonts w:ascii="Calibri" w:hAnsi="Calibri"/>
          <w:i/>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00FC35D3" w:rsidRPr="00C472AD">
        <w:rPr>
          <w:rFonts w:ascii="Calibri" w:hAnsi="Calibri"/>
          <w:lang w:val="sq-AL"/>
        </w:rPr>
        <w:t xml:space="preserve"> Qëllimi i programit realizohet nëpërmjet objektivave specifike të parashikuara dhe 1  produkti të realizuar përgjatë 4-mujorit, me specifikisht i paraqitur si më poshtë:</w:t>
      </w:r>
    </w:p>
    <w:p w:rsidR="00FC35D3" w:rsidRPr="0056470D" w:rsidRDefault="00FC35D3" w:rsidP="003F6B21">
      <w:pPr>
        <w:numPr>
          <w:ilvl w:val="0"/>
          <w:numId w:val="7"/>
        </w:numPr>
        <w:contextualSpacing/>
        <w:jc w:val="both"/>
        <w:rPr>
          <w:rFonts w:ascii="Calibri" w:hAnsi="Calibri"/>
          <w:i/>
          <w:sz w:val="22"/>
          <w:szCs w:val="22"/>
          <w:lang w:val="sq-AL"/>
        </w:rPr>
      </w:pPr>
      <w:r w:rsidRPr="0056470D">
        <w:rPr>
          <w:rFonts w:ascii="Calibri" w:hAnsi="Calibri"/>
          <w:i/>
          <w:sz w:val="22"/>
          <w:szCs w:val="22"/>
          <w:lang w:val="sq-AL"/>
        </w:rPr>
        <w:t>Është realizuar ruajtja e 110 personaliteteve VIP vendas dhe të huaj, me një kosto prej 545</w:t>
      </w:r>
      <w:r w:rsidR="0056470D">
        <w:rPr>
          <w:rFonts w:ascii="Calibri" w:hAnsi="Calibri"/>
          <w:i/>
          <w:sz w:val="22"/>
          <w:szCs w:val="22"/>
          <w:lang w:val="sq-AL"/>
        </w:rPr>
        <w:t>mln</w:t>
      </w:r>
      <w:r w:rsidRPr="0056470D">
        <w:rPr>
          <w:rFonts w:ascii="Calibri" w:hAnsi="Calibri"/>
          <w:i/>
          <w:sz w:val="22"/>
          <w:szCs w:val="22"/>
          <w:lang w:val="sq-AL"/>
        </w:rPr>
        <w:t xml:space="preserve"> lekë.</w:t>
      </w:r>
    </w:p>
    <w:p w:rsidR="00990CDF" w:rsidRDefault="00990CDF" w:rsidP="0056470D">
      <w:pPr>
        <w:jc w:val="both"/>
        <w:rPr>
          <w:rFonts w:asciiTheme="minorHAnsi" w:hAnsiTheme="minorHAnsi"/>
          <w:b/>
          <w:i/>
          <w:sz w:val="8"/>
          <w:szCs w:val="8"/>
          <w:lang w:val="sq-AL"/>
        </w:rPr>
      </w:pPr>
    </w:p>
    <w:p w:rsidR="00FC35D3" w:rsidRPr="00FC35D3" w:rsidRDefault="00FC35D3" w:rsidP="0056470D">
      <w:pPr>
        <w:jc w:val="both"/>
        <w:rPr>
          <w:rFonts w:asciiTheme="minorHAnsi" w:hAnsiTheme="minorHAnsi"/>
          <w:b/>
          <w:i/>
          <w:sz w:val="16"/>
          <w:szCs w:val="8"/>
          <w:lang w:val="sq-AL"/>
        </w:rPr>
      </w:pPr>
    </w:p>
    <w:p w:rsidR="00FC35D3" w:rsidRPr="00C472AD" w:rsidRDefault="00990CDF" w:rsidP="0056470D">
      <w:pPr>
        <w:jc w:val="both"/>
        <w:rPr>
          <w:rFonts w:ascii="Calibri" w:hAnsi="Calibri"/>
          <w:lang w:val="sq-AL"/>
        </w:rPr>
      </w:pPr>
      <w:r w:rsidRPr="00BF005F">
        <w:rPr>
          <w:rFonts w:asciiTheme="minorHAnsi" w:hAnsiTheme="minorHAnsi"/>
          <w:b/>
          <w:lang w:val="sq-AL"/>
        </w:rPr>
        <w:t>Në programin “Shërbimi i Gjendjes Civile”</w:t>
      </w:r>
      <w:r w:rsidRPr="00BF005F">
        <w:rPr>
          <w:rFonts w:asciiTheme="minorHAnsi" w:hAnsiTheme="minorHAnsi"/>
          <w:lang w:val="sq-AL"/>
        </w:rPr>
        <w:t xml:space="preserve">, </w:t>
      </w:r>
      <w:r w:rsidR="00FC35D3">
        <w:rPr>
          <w:rFonts w:ascii="Calibri" w:hAnsi="Calibri"/>
          <w:lang w:val="sq-AL"/>
        </w:rPr>
        <w:t>ka realizim të fondeve rreth 24</w:t>
      </w:r>
      <w:r w:rsidR="00FC35D3" w:rsidRPr="00C472AD">
        <w:rPr>
          <w:rFonts w:ascii="Calibri" w:hAnsi="Calibri"/>
          <w:lang w:val="sq-AL"/>
        </w:rPr>
        <w:t xml:space="preserve">% ndaj planit vjetor, duke realizuar kështu edhe qëllimin e politikës së programit, e cila është : </w:t>
      </w:r>
      <w:r w:rsidR="00FC35D3" w:rsidRPr="00C472AD">
        <w:rPr>
          <w:rFonts w:ascii="Calibri" w:hAnsi="Calibri"/>
          <w:i/>
          <w:lang w:val="sq-AL"/>
        </w:rPr>
        <w:t>“Konsolidimi i mëtejshëm të një sistemi të dixhitalizuar të regjistrit kombëtar të gjendjes civile (RKGJC), të sistemit të regjistrit kombëtar të adresave (RKA) dhe regjistrimi/përditësimi i të dhënave të shtetasve në Republikën e Shqipërisë me vërtetësi dhe në kohë reale.”</w:t>
      </w:r>
      <w:r w:rsidR="00FC35D3" w:rsidRPr="00C472AD">
        <w:rPr>
          <w:rFonts w:ascii="Calibri" w:hAnsi="Calibri"/>
          <w:lang w:val="sq-AL"/>
        </w:rPr>
        <w:t xml:space="preserve">  Qëllimi i programit u realizua nëpërmjet produkteve:</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Rregjistrimit të 288,910 akte dhe dokumente të lëshuara nga shërbimi i Gjendjes Civile, me kosto prej 129 milionë lekë.</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Nëpërmjet funksionimit të sistemit të adresave të përmirësuar dhe rritjen e funksionalitetit të RKGJC.</w:t>
      </w:r>
    </w:p>
    <w:p w:rsidR="00FC35D3" w:rsidRPr="00FC35D3" w:rsidRDefault="00FC35D3" w:rsidP="0056470D">
      <w:pPr>
        <w:ind w:left="780"/>
        <w:contextualSpacing/>
        <w:jc w:val="both"/>
        <w:rPr>
          <w:rFonts w:ascii="Calibri" w:hAnsi="Calibri"/>
          <w:i/>
          <w:sz w:val="20"/>
          <w:lang w:val="sq-AL"/>
        </w:rPr>
      </w:pPr>
    </w:p>
    <w:p w:rsidR="00FC35D3" w:rsidRPr="00C472AD" w:rsidRDefault="00990CDF" w:rsidP="0056470D">
      <w:pPr>
        <w:jc w:val="both"/>
        <w:rPr>
          <w:rFonts w:ascii="Calibri" w:hAnsi="Calibri"/>
          <w:lang w:val="sq-AL"/>
        </w:rPr>
      </w:pPr>
      <w:r w:rsidRPr="00BF005F">
        <w:rPr>
          <w:rFonts w:asciiTheme="minorHAnsi" w:hAnsiTheme="minorHAnsi"/>
          <w:b/>
          <w:lang w:val="sq-AL"/>
        </w:rPr>
        <w:t xml:space="preserve">Programi “Prefektura dhe Funksionet e Deleguara”, </w:t>
      </w:r>
      <w:r w:rsidR="00FC35D3" w:rsidRPr="00C472AD">
        <w:rPr>
          <w:rFonts w:ascii="Calibri" w:hAnsi="Calibri"/>
          <w:lang w:val="sq-AL"/>
        </w:rPr>
        <w:t>ka realizuar fondet p</w:t>
      </w:r>
      <w:r w:rsidR="00FC35D3" w:rsidRPr="00C472AD">
        <w:rPr>
          <w:rFonts w:ascii="Calibri" w:eastAsia="Malgun Gothic" w:hAnsi="Calibri" w:cs="Malgun Gothic"/>
          <w:lang w:val="sq-AL"/>
        </w:rPr>
        <w:t xml:space="preserve">ër </w:t>
      </w:r>
      <w:r w:rsidR="00FC35D3" w:rsidRPr="00C472AD">
        <w:rPr>
          <w:rFonts w:ascii="Calibri" w:hAnsi="Calibri"/>
          <w:lang w:val="sq-AL"/>
        </w:rPr>
        <w:t>shpenzimet korrente</w:t>
      </w:r>
      <w:r w:rsidR="00FC35D3" w:rsidRPr="00C472AD">
        <w:rPr>
          <w:rFonts w:ascii="Calibri" w:eastAsia="Malgun Gothic" w:hAnsi="Calibri" w:cs="Malgun Gothic"/>
          <w:lang w:val="sq-AL"/>
        </w:rPr>
        <w:t xml:space="preserve"> </w:t>
      </w:r>
      <w:r w:rsidR="00FC35D3" w:rsidRPr="00C472AD">
        <w:rPr>
          <w:rFonts w:ascii="Calibri" w:hAnsi="Calibri"/>
          <w:lang w:val="sq-AL"/>
        </w:rPr>
        <w:t xml:space="preserve">për 4 mujorin e parë të vitit 2022 në masën 28%. Qëllimi i politikës së programit është: </w:t>
      </w:r>
      <w:r w:rsidR="00FC35D3" w:rsidRPr="00C472AD">
        <w:rPr>
          <w:rFonts w:ascii="Calibri" w:hAnsi="Calibri"/>
          <w:i/>
          <w:lang w:val="sq-AL"/>
        </w:rPr>
        <w:t xml:space="preserve">“Ndjekia e zbatimit të programit të Qeverisë në nivel vendor si përfaqësues i qeverisë”, i cili synohet të realizohet nëpërmjet objektivit: “Rritja e performacës së Prefektit të Qarkut në nivel vendor për zbatimin e reformës Administrativo-Territoriale”. </w:t>
      </w:r>
      <w:r w:rsidR="00FC35D3" w:rsidRPr="00C472AD">
        <w:rPr>
          <w:rFonts w:ascii="Calibri" w:hAnsi="Calibri"/>
          <w:lang w:val="sq-AL"/>
        </w:rPr>
        <w:t>Për realizimin e objektivit kanë kontribuar produktet sa më poshtë:</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Janë kryer 462 monitorime në nivel qarku nga Perfekti i Qarkut, apo 58% e sasisë së planifikuar,  me kosto prej 18.7 milionë lekë.</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 xml:space="preserve">Është dhënë ndihmë për garantimin e vazhdueshmërisë së funksioneve dhe shërbimeve publike, në nivel vendor në kuadër të zbatimit të reformës administrativo-territoriale, me kosto rreth 5.5 milionë lekë.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 xml:space="preserve">Janë trajtuar 122 kërkesa për administrimin dhe mbrojtjen e tokës, apo 77% e sasisë së planifikuar, me kosto rreth 20 milionë lekë. </w:t>
      </w:r>
    </w:p>
    <w:p w:rsidR="00990CDF" w:rsidRDefault="00990CDF" w:rsidP="0056470D">
      <w:pPr>
        <w:jc w:val="both"/>
        <w:rPr>
          <w:rFonts w:asciiTheme="minorHAnsi" w:hAnsiTheme="minorHAnsi"/>
          <w:i/>
          <w:lang w:val="sq-AL"/>
        </w:rPr>
      </w:pPr>
    </w:p>
    <w:p w:rsidR="0056470D" w:rsidRDefault="0056470D" w:rsidP="0056470D">
      <w:pPr>
        <w:jc w:val="both"/>
        <w:rPr>
          <w:rFonts w:asciiTheme="minorHAnsi" w:hAnsiTheme="minorHAnsi"/>
          <w:i/>
          <w:lang w:val="sq-AL"/>
        </w:rPr>
      </w:pPr>
    </w:p>
    <w:p w:rsidR="0056470D" w:rsidRDefault="0056470D" w:rsidP="0056470D">
      <w:pPr>
        <w:jc w:val="both"/>
        <w:rPr>
          <w:rFonts w:asciiTheme="minorHAnsi" w:hAnsiTheme="minorHAnsi"/>
          <w: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KULTURA</w:t>
      </w:r>
      <w:bookmarkEnd w:id="213"/>
      <w:bookmarkEnd w:id="214"/>
      <w:bookmarkEnd w:id="215"/>
    </w:p>
    <w:p w:rsidR="00990CDF" w:rsidRPr="00BF005F" w:rsidRDefault="00990CDF" w:rsidP="0056470D">
      <w:pPr>
        <w:jc w:val="both"/>
        <w:rPr>
          <w:rFonts w:asciiTheme="minorHAnsi" w:eastAsia="MS Mincho" w:hAnsiTheme="minorHAnsi"/>
          <w:color w:val="000000"/>
          <w:lang w:val="sq-AL"/>
        </w:rPr>
      </w:pPr>
      <w:r w:rsidRPr="00BF005F">
        <w:rPr>
          <w:rFonts w:asciiTheme="minorHAnsi" w:eastAsia="MS Mincho" w:hAnsiTheme="minorHAnsi"/>
          <w:color w:val="000000"/>
          <w:lang w:val="sq-AL"/>
        </w:rPr>
        <w:t>Performanca e treguesve buxhetorë për programet e Ministrisë së Kulturës paraqitet si mëposhtë:</w:t>
      </w:r>
    </w:p>
    <w:p w:rsidR="00FC35D3" w:rsidRPr="00FC35D3" w:rsidRDefault="00FC35D3" w:rsidP="0056470D">
      <w:pPr>
        <w:pStyle w:val="Caption"/>
        <w:spacing w:after="0"/>
        <w:jc w:val="both"/>
        <w:rPr>
          <w:rFonts w:asciiTheme="minorHAnsi" w:hAnsiTheme="minorHAnsi"/>
          <w:b w:val="0"/>
          <w:bCs w:val="0"/>
          <w:i/>
          <w:noProof/>
          <w:color w:val="auto"/>
          <w:sz w:val="8"/>
          <w:szCs w:val="24"/>
        </w:rPr>
      </w:pPr>
    </w:p>
    <w:p w:rsidR="00990CDF" w:rsidRPr="000A4DB4" w:rsidRDefault="00990CDF" w:rsidP="0056470D">
      <w:pPr>
        <w:pStyle w:val="Caption"/>
        <w:spacing w:after="0"/>
        <w:jc w:val="both"/>
        <w:rPr>
          <w:rFonts w:asciiTheme="minorHAnsi" w:hAnsiTheme="minorHAnsi"/>
          <w:b w:val="0"/>
          <w:bCs w:val="0"/>
          <w:i/>
          <w:noProof/>
          <w:color w:val="auto"/>
          <w:sz w:val="22"/>
          <w:szCs w:val="24"/>
        </w:rPr>
      </w:pPr>
      <w:bookmarkStart w:id="219" w:name="_Toc107496784"/>
      <w:r w:rsidRPr="000A4DB4">
        <w:rPr>
          <w:rFonts w:asciiTheme="minorHAnsi" w:hAnsiTheme="minorHAnsi"/>
          <w:b w:val="0"/>
          <w:bCs w:val="0"/>
          <w:i/>
          <w:noProof/>
          <w:color w:val="auto"/>
          <w:sz w:val="22"/>
          <w:szCs w:val="24"/>
        </w:rPr>
        <w:t xml:space="preserve">Tabela </w:t>
      </w:r>
      <w:r w:rsidRPr="000A4DB4">
        <w:rPr>
          <w:rFonts w:asciiTheme="minorHAnsi" w:hAnsiTheme="minorHAnsi"/>
          <w:b w:val="0"/>
          <w:bCs w:val="0"/>
          <w:i/>
          <w:noProof/>
          <w:color w:val="auto"/>
          <w:sz w:val="22"/>
          <w:szCs w:val="24"/>
        </w:rPr>
        <w:fldChar w:fldCharType="begin"/>
      </w:r>
      <w:r w:rsidRPr="000A4DB4">
        <w:rPr>
          <w:rFonts w:asciiTheme="minorHAnsi" w:hAnsiTheme="minorHAnsi"/>
          <w:b w:val="0"/>
          <w:bCs w:val="0"/>
          <w:i/>
          <w:noProof/>
          <w:color w:val="auto"/>
          <w:sz w:val="22"/>
          <w:szCs w:val="24"/>
        </w:rPr>
        <w:instrText xml:space="preserve"> SEQ Tabela \* ARABIC </w:instrText>
      </w:r>
      <w:r w:rsidRPr="000A4DB4">
        <w:rPr>
          <w:rFonts w:asciiTheme="minorHAnsi" w:hAnsiTheme="minorHAnsi"/>
          <w:b w:val="0"/>
          <w:bCs w:val="0"/>
          <w:i/>
          <w:noProof/>
          <w:color w:val="auto"/>
          <w:sz w:val="22"/>
          <w:szCs w:val="24"/>
        </w:rPr>
        <w:fldChar w:fldCharType="separate"/>
      </w:r>
      <w:r w:rsidR="003B2B9B">
        <w:rPr>
          <w:rFonts w:asciiTheme="minorHAnsi" w:hAnsiTheme="minorHAnsi"/>
          <w:b w:val="0"/>
          <w:bCs w:val="0"/>
          <w:i/>
          <w:noProof/>
          <w:color w:val="auto"/>
          <w:sz w:val="22"/>
          <w:szCs w:val="24"/>
        </w:rPr>
        <w:t>48</w:t>
      </w:r>
      <w:r w:rsidRPr="000A4DB4">
        <w:rPr>
          <w:rFonts w:asciiTheme="minorHAnsi" w:hAnsiTheme="minorHAnsi"/>
          <w:b w:val="0"/>
          <w:bCs w:val="0"/>
          <w:i/>
          <w:noProof/>
          <w:color w:val="auto"/>
          <w:sz w:val="22"/>
          <w:szCs w:val="24"/>
        </w:rPr>
        <w:fldChar w:fldCharType="end"/>
      </w:r>
      <w:r w:rsidRPr="000A4DB4">
        <w:rPr>
          <w:rFonts w:asciiTheme="minorHAnsi" w:hAnsiTheme="minorHAnsi"/>
          <w:b w:val="0"/>
          <w:bCs w:val="0"/>
          <w:i/>
          <w:noProof/>
          <w:color w:val="auto"/>
          <w:sz w:val="22"/>
          <w:szCs w:val="24"/>
        </w:rPr>
        <w:t>: Kultura</w:t>
      </w:r>
      <w:bookmarkEnd w:id="219"/>
    </w:p>
    <w:p w:rsidR="00990CDF" w:rsidRPr="000A4DB4" w:rsidRDefault="00990CDF" w:rsidP="0056470D">
      <w:pPr>
        <w:pStyle w:val="Caption"/>
        <w:spacing w:after="0"/>
        <w:jc w:val="right"/>
        <w:rPr>
          <w:rFonts w:asciiTheme="minorHAnsi" w:eastAsia="MS Mincho" w:hAnsiTheme="minorHAnsi"/>
          <w:b w:val="0"/>
          <w:i/>
          <w:color w:val="000000"/>
          <w:sz w:val="22"/>
          <w:szCs w:val="24"/>
          <w:lang w:val="sq-AL"/>
        </w:rPr>
      </w:pPr>
      <w:r w:rsidRPr="000A4DB4">
        <w:rPr>
          <w:rFonts w:asciiTheme="minorHAnsi" w:hAnsiTheme="minorHAnsi"/>
          <w:b w:val="0"/>
          <w:bCs w:val="0"/>
          <w:i/>
          <w:noProof/>
          <w:color w:val="auto"/>
          <w:sz w:val="22"/>
          <w:szCs w:val="24"/>
        </w:rPr>
        <w:t xml:space="preserve">                                                                                                    </w:t>
      </w:r>
      <w:r w:rsidRPr="000A4DB4">
        <w:rPr>
          <w:rFonts w:asciiTheme="minorHAnsi" w:eastAsia="MS Mincho" w:hAnsiTheme="minorHAnsi"/>
          <w:b w:val="0"/>
          <w:i/>
          <w:color w:val="000000"/>
          <w:sz w:val="22"/>
          <w:szCs w:val="24"/>
          <w:lang w:val="sq-AL"/>
        </w:rPr>
        <w:t>Në mijë lekë</w:t>
      </w:r>
    </w:p>
    <w:tbl>
      <w:tblPr>
        <w:tblStyle w:val="ListTable3-Accent527"/>
        <w:tblW w:w="9367" w:type="dxa"/>
        <w:jc w:val="center"/>
        <w:tblLook w:val="01E0" w:firstRow="1" w:lastRow="1" w:firstColumn="1" w:lastColumn="1" w:noHBand="0" w:noVBand="0"/>
      </w:tblPr>
      <w:tblGrid>
        <w:gridCol w:w="461"/>
        <w:gridCol w:w="2896"/>
        <w:gridCol w:w="1020"/>
        <w:gridCol w:w="1096"/>
        <w:gridCol w:w="931"/>
        <w:gridCol w:w="1007"/>
        <w:gridCol w:w="939"/>
        <w:gridCol w:w="1017"/>
      </w:tblGrid>
      <w:tr w:rsidR="00FC35D3" w:rsidRPr="00C472AD" w:rsidTr="003C5935">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100" w:firstRow="0" w:lastRow="0" w:firstColumn="1" w:lastColumn="0" w:oddVBand="0" w:evenVBand="0" w:oddHBand="0" w:evenHBand="0" w:firstRowFirstColumn="1" w:firstRowLastColumn="0" w:lastRowFirstColumn="0" w:lastRowLastColumn="0"/>
            <w:tcW w:w="0" w:type="auto"/>
            <w:vMerge w:val="restart"/>
          </w:tcPr>
          <w:p w:rsidR="00FC35D3" w:rsidRPr="00C472AD" w:rsidRDefault="00FC35D3" w:rsidP="003C5935">
            <w:pPr>
              <w:spacing w:line="276" w:lineRule="auto"/>
              <w:jc w:val="both"/>
              <w:rPr>
                <w:rFonts w:ascii="Calibri" w:hAnsi="Calibri"/>
                <w:color w:val="auto"/>
                <w:sz w:val="18"/>
                <w:lang w:val="sq-AL"/>
              </w:rPr>
            </w:pPr>
            <w:r w:rsidRPr="00C472AD">
              <w:rPr>
                <w:rFonts w:ascii="Calibri" w:hAnsi="Calibr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0" w:type="auto"/>
            <w:vMerge w:val="restart"/>
          </w:tcPr>
          <w:p w:rsidR="00FC35D3" w:rsidRPr="00C472AD" w:rsidRDefault="00FC35D3" w:rsidP="003C5935">
            <w:pPr>
              <w:spacing w:line="276" w:lineRule="auto"/>
              <w:jc w:val="both"/>
              <w:rPr>
                <w:rFonts w:ascii="Calibri" w:hAnsi="Calibri"/>
                <w:color w:val="auto"/>
                <w:sz w:val="18"/>
                <w:lang w:val="sq-AL"/>
              </w:rPr>
            </w:pPr>
            <w:r w:rsidRPr="00C472AD">
              <w:rPr>
                <w:rFonts w:ascii="Calibri" w:hAnsi="Calibri"/>
                <w:color w:val="auto"/>
                <w:sz w:val="18"/>
                <w:lang w:val="sq-AL"/>
              </w:rPr>
              <w:t>Emërtimi i Programit</w:t>
            </w:r>
          </w:p>
        </w:tc>
        <w:tc>
          <w:tcPr>
            <w:tcW w:w="0" w:type="auto"/>
            <w:gridSpan w:val="2"/>
          </w:tcPr>
          <w:p w:rsidR="00FC35D3" w:rsidRPr="00C472AD" w:rsidRDefault="00FC35D3" w:rsidP="003C5935">
            <w:pPr>
              <w:spacing w:line="276" w:lineRule="auto"/>
              <w:ind w:left="84"/>
              <w:jc w:val="both"/>
              <w:cnfStyle w:val="100000000000" w:firstRow="1" w:lastRow="0" w:firstColumn="0" w:lastColumn="0" w:oddVBand="0" w:evenVBand="0" w:oddHBand="0" w:evenHBand="0" w:firstRowFirstColumn="0" w:firstRowLastColumn="0" w:lastRowFirstColumn="0" w:lastRowLastColumn="0"/>
              <w:rPr>
                <w:rFonts w:ascii="Calibri" w:hAnsi="Calibri"/>
                <w:color w:val="auto"/>
                <w:sz w:val="18"/>
                <w:lang w:val="sq-AL"/>
              </w:rPr>
            </w:pPr>
            <w:r w:rsidRPr="00C472AD">
              <w:rPr>
                <w:rFonts w:ascii="Calibri" w:hAnsi="Calibri"/>
                <w:color w:val="auto"/>
                <w:sz w:val="18"/>
                <w:lang w:val="sq-AL"/>
              </w:rPr>
              <w:t xml:space="preserve">          Plani 2022</w:t>
            </w:r>
          </w:p>
        </w:tc>
        <w:tc>
          <w:tcPr>
            <w:cnfStyle w:val="000010000000" w:firstRow="0" w:lastRow="0" w:firstColumn="0" w:lastColumn="0" w:oddVBand="1" w:evenVBand="0" w:oddHBand="0" w:evenHBand="0" w:firstRowFirstColumn="0" w:firstRowLastColumn="0" w:lastRowFirstColumn="0" w:lastRowLastColumn="0"/>
            <w:tcW w:w="0" w:type="auto"/>
            <w:gridSpan w:val="2"/>
          </w:tcPr>
          <w:p w:rsidR="00FC35D3" w:rsidRPr="00C472AD" w:rsidRDefault="00FC35D3" w:rsidP="003C5935">
            <w:pPr>
              <w:spacing w:line="276" w:lineRule="auto"/>
              <w:jc w:val="both"/>
              <w:rPr>
                <w:rFonts w:ascii="Calibri" w:hAnsi="Calibri"/>
                <w:color w:val="auto"/>
                <w:sz w:val="18"/>
                <w:lang w:val="sq-AL"/>
              </w:rPr>
            </w:pPr>
            <w:r w:rsidRPr="00C472AD">
              <w:rPr>
                <w:rFonts w:ascii="Calibri" w:hAnsi="Calibri"/>
                <w:color w:val="auto"/>
                <w:sz w:val="18"/>
                <w:lang w:val="sq-AL"/>
              </w:rPr>
              <w:t>Fakti 4 mujori I 2022</w:t>
            </w:r>
          </w:p>
        </w:tc>
        <w:tc>
          <w:tcPr>
            <w:cnfStyle w:val="000100001000" w:firstRow="0" w:lastRow="0" w:firstColumn="0" w:lastColumn="1" w:oddVBand="0" w:evenVBand="0" w:oddHBand="0" w:evenHBand="0" w:firstRowFirstColumn="0" w:firstRowLastColumn="1" w:lastRowFirstColumn="0" w:lastRowLastColumn="0"/>
            <w:tcW w:w="0" w:type="auto"/>
            <w:gridSpan w:val="2"/>
            <w:tcBorders>
              <w:bottom w:val="single" w:sz="4" w:space="0" w:color="4BACC6"/>
            </w:tcBorders>
          </w:tcPr>
          <w:p w:rsidR="00FC35D3" w:rsidRPr="00C472AD" w:rsidRDefault="00FC35D3" w:rsidP="003C5935">
            <w:pPr>
              <w:spacing w:line="276" w:lineRule="auto"/>
              <w:jc w:val="both"/>
              <w:rPr>
                <w:rFonts w:ascii="Calibri" w:hAnsi="Calibri"/>
                <w:color w:val="auto"/>
                <w:sz w:val="18"/>
                <w:lang w:val="sq-AL"/>
              </w:rPr>
            </w:pPr>
            <w:r w:rsidRPr="00C472AD">
              <w:rPr>
                <w:rFonts w:ascii="Calibri" w:hAnsi="Calibri"/>
                <w:color w:val="auto"/>
                <w:sz w:val="18"/>
                <w:lang w:val="sq-AL"/>
              </w:rPr>
              <w:t>Përqindja  e realizimit</w:t>
            </w:r>
          </w:p>
        </w:tc>
      </w:tr>
      <w:tr w:rsidR="00FC35D3" w:rsidRPr="00C472AD" w:rsidTr="003C5935">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FC35D3" w:rsidRPr="00C472AD" w:rsidRDefault="00FC35D3" w:rsidP="003C5935">
            <w:pPr>
              <w:spacing w:line="276" w:lineRule="auto"/>
              <w:jc w:val="both"/>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Pr>
          <w:p w:rsidR="00FC35D3" w:rsidRPr="00C472AD" w:rsidRDefault="00FC35D3" w:rsidP="003C5935">
            <w:pPr>
              <w:spacing w:line="276" w:lineRule="auto"/>
              <w:jc w:val="both"/>
              <w:rPr>
                <w:rFonts w:ascii="Calibri" w:hAnsi="Calibri"/>
                <w:b/>
                <w:sz w:val="18"/>
                <w:lang w:val="sq-AL"/>
              </w:rPr>
            </w:pPr>
          </w:p>
        </w:tc>
        <w:tc>
          <w:tcPr>
            <w:tcW w:w="0" w:type="auto"/>
          </w:tcPr>
          <w:p w:rsidR="00FC35D3" w:rsidRPr="00C472AD" w:rsidRDefault="00FC35D3" w:rsidP="00FC35D3">
            <w:pPr>
              <w:spacing w:line="276" w:lineRule="auto"/>
              <w:ind w:left="84"/>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ind w:left="84"/>
              <w:jc w:val="center"/>
              <w:rPr>
                <w:rFonts w:ascii="Calibri" w:hAnsi="Calibri"/>
                <w:b/>
                <w:sz w:val="18"/>
                <w:lang w:val="sq-AL"/>
              </w:rPr>
            </w:pPr>
            <w:r w:rsidRPr="00C472AD">
              <w:rPr>
                <w:rFonts w:ascii="Calibri" w:hAnsi="Calibri"/>
                <w:b/>
                <w:sz w:val="18"/>
                <w:lang w:val="sq-AL"/>
              </w:rPr>
              <w:t>Investime</w:t>
            </w:r>
          </w:p>
        </w:tc>
        <w:tc>
          <w:tcPr>
            <w:tcW w:w="0" w:type="auto"/>
          </w:tcPr>
          <w:p w:rsidR="00FC35D3" w:rsidRPr="00C472AD" w:rsidRDefault="00FC35D3" w:rsidP="00FC35D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jc w:val="center"/>
              <w:rPr>
                <w:rFonts w:ascii="Calibri" w:hAnsi="Calibri"/>
                <w:b/>
                <w:sz w:val="18"/>
                <w:lang w:val="sq-AL"/>
              </w:rPr>
            </w:pPr>
            <w:r w:rsidRPr="00C472AD">
              <w:rPr>
                <w:rFonts w:ascii="Calibri" w:hAnsi="Calibri"/>
                <w:b/>
                <w:sz w:val="18"/>
                <w:lang w:val="sq-AL"/>
              </w:rPr>
              <w:t>Investime</w:t>
            </w:r>
          </w:p>
        </w:tc>
        <w:tc>
          <w:tcPr>
            <w:tcW w:w="0" w:type="auto"/>
            <w:tcBorders>
              <w:left w:val="single" w:sz="4" w:space="0" w:color="4BACC6"/>
              <w:right w:val="single" w:sz="4" w:space="0" w:color="4BACC6"/>
            </w:tcBorders>
          </w:tcPr>
          <w:p w:rsidR="00FC35D3" w:rsidRPr="00C472AD" w:rsidRDefault="00FC35D3" w:rsidP="00FC35D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C472AD">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Investime</w:t>
            </w:r>
          </w:p>
        </w:tc>
      </w:tr>
      <w:tr w:rsidR="00FC35D3" w:rsidRPr="00C472AD" w:rsidTr="0056470D">
        <w:trPr>
          <w:trHeight w:val="269"/>
          <w:jc w:val="center"/>
        </w:trPr>
        <w:tc>
          <w:tcPr>
            <w:cnfStyle w:val="001000000000" w:firstRow="0" w:lastRow="0" w:firstColumn="1" w:lastColumn="0" w:oddVBand="0" w:evenVBand="0" w:oddHBand="0" w:evenHBand="0" w:firstRowFirstColumn="0" w:firstRowLastColumn="0" w:lastRowFirstColumn="0" w:lastRowLastColumn="0"/>
            <w:tcW w:w="0" w:type="auto"/>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Planifikim, menaxhim administrim</w:t>
            </w:r>
          </w:p>
        </w:tc>
        <w:tc>
          <w:tcPr>
            <w:tcW w:w="0" w:type="auto"/>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159 390</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jc w:val="center"/>
              <w:rPr>
                <w:rFonts w:ascii="Calibri" w:hAnsi="Calibri"/>
                <w:sz w:val="18"/>
                <w:lang w:val="sq-AL"/>
              </w:rPr>
            </w:pPr>
          </w:p>
        </w:tc>
        <w:tc>
          <w:tcPr>
            <w:tcW w:w="0" w:type="auto"/>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44 589</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jc w:val="center"/>
              <w:rPr>
                <w:rFonts w:ascii="Calibri" w:hAnsi="Calibri"/>
                <w:sz w:val="18"/>
                <w:lang w:val="sq-AL"/>
              </w:rPr>
            </w:pPr>
          </w:p>
        </w:tc>
        <w:tc>
          <w:tcPr>
            <w:tcW w:w="0" w:type="auto"/>
            <w:tcBorders>
              <w:left w:val="single" w:sz="4" w:space="0" w:color="4BACC6"/>
              <w:right w:val="single" w:sz="4" w:space="0" w:color="4BACC6"/>
            </w:tcBorders>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28%</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FC35D3" w:rsidRPr="00C472AD" w:rsidRDefault="00FC35D3" w:rsidP="00FC35D3">
            <w:pPr>
              <w:spacing w:line="276" w:lineRule="auto"/>
              <w:jc w:val="center"/>
              <w:rPr>
                <w:rFonts w:ascii="Calibri" w:hAnsi="Calibri"/>
                <w:sz w:val="18"/>
                <w:lang w:val="sq-AL"/>
              </w:rPr>
            </w:pPr>
          </w:p>
        </w:tc>
      </w:tr>
      <w:tr w:rsidR="00FC35D3" w:rsidRPr="00C472AD" w:rsidTr="0056470D">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Trashëgimia kulturore dhe muzetë</w:t>
            </w:r>
          </w:p>
        </w:tc>
        <w:tc>
          <w:tcPr>
            <w:tcW w:w="0" w:type="auto"/>
          </w:tcPr>
          <w:p w:rsidR="00FC35D3" w:rsidRPr="00C472AD" w:rsidRDefault="00FC35D3" w:rsidP="00FC35D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606 900</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98 522</w:t>
            </w:r>
          </w:p>
        </w:tc>
        <w:tc>
          <w:tcPr>
            <w:tcW w:w="0" w:type="auto"/>
          </w:tcPr>
          <w:p w:rsidR="00FC35D3" w:rsidRPr="00C472AD" w:rsidRDefault="00FC35D3" w:rsidP="00FC35D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143 709</w:t>
            </w:r>
          </w:p>
        </w:tc>
        <w:tc>
          <w:tcPr>
            <w:cnfStyle w:val="000010000000" w:firstRow="0" w:lastRow="0" w:firstColumn="0" w:lastColumn="0" w:oddVBand="1" w:evenVBand="0" w:oddHBand="0" w:evenHBand="0" w:firstRowFirstColumn="0" w:firstRowLastColumn="0" w:lastRowFirstColumn="0" w:lastRowLastColumn="0"/>
            <w:tcW w:w="0" w:type="auto"/>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4 722</w:t>
            </w:r>
          </w:p>
        </w:tc>
        <w:tc>
          <w:tcPr>
            <w:tcW w:w="0" w:type="auto"/>
            <w:tcBorders>
              <w:left w:val="single" w:sz="4" w:space="0" w:color="4BACC6"/>
              <w:right w:val="single" w:sz="4" w:space="0" w:color="4BACC6"/>
            </w:tcBorders>
          </w:tcPr>
          <w:p w:rsidR="00FC35D3" w:rsidRPr="00C472AD" w:rsidRDefault="00FC35D3" w:rsidP="00FC35D3">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C472AD">
              <w:rPr>
                <w:rFonts w:ascii="Calibri" w:hAnsi="Calibri"/>
                <w:sz w:val="18"/>
                <w:lang w:val="sq-AL"/>
              </w:rPr>
              <w:t>23.7%</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0.8%</w:t>
            </w:r>
          </w:p>
        </w:tc>
      </w:tr>
      <w:tr w:rsidR="00FC35D3" w:rsidRPr="00C472AD" w:rsidTr="0056470D">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F81BD"/>
            </w:tcBorders>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rsidR="00FC35D3" w:rsidRPr="00C472AD" w:rsidRDefault="00FC35D3" w:rsidP="003C5935">
            <w:pPr>
              <w:spacing w:line="276" w:lineRule="auto"/>
              <w:jc w:val="both"/>
              <w:rPr>
                <w:rFonts w:ascii="Calibri" w:hAnsi="Calibri"/>
                <w:sz w:val="18"/>
                <w:lang w:val="sq-AL"/>
              </w:rPr>
            </w:pPr>
            <w:r w:rsidRPr="00C472AD">
              <w:rPr>
                <w:rFonts w:ascii="Calibri" w:hAnsi="Calibri"/>
                <w:sz w:val="18"/>
                <w:lang w:val="sq-AL"/>
              </w:rPr>
              <w:t>Arti dhe Kultura</w:t>
            </w:r>
          </w:p>
        </w:tc>
        <w:tc>
          <w:tcPr>
            <w:tcW w:w="0" w:type="auto"/>
            <w:tcBorders>
              <w:bottom w:val="single" w:sz="4" w:space="0" w:color="4F81BD"/>
            </w:tcBorders>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1 266 401</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2 137 500</w:t>
            </w:r>
          </w:p>
        </w:tc>
        <w:tc>
          <w:tcPr>
            <w:tcW w:w="0" w:type="auto"/>
            <w:tcBorders>
              <w:bottom w:val="single" w:sz="4" w:space="0" w:color="4F81BD"/>
            </w:tcBorders>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281 919</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3</w:t>
            </w:r>
          </w:p>
        </w:tc>
        <w:tc>
          <w:tcPr>
            <w:tcW w:w="0" w:type="auto"/>
            <w:tcBorders>
              <w:left w:val="single" w:sz="4" w:space="0" w:color="4BACC6"/>
              <w:bottom w:val="single" w:sz="4" w:space="0" w:color="4F81BD"/>
              <w:right w:val="single" w:sz="4" w:space="0" w:color="4BACC6"/>
            </w:tcBorders>
          </w:tcPr>
          <w:p w:rsidR="00FC35D3" w:rsidRPr="00C472AD" w:rsidRDefault="00FC35D3" w:rsidP="00FC35D3">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sz w:val="18"/>
                <w:lang w:val="sq-AL"/>
              </w:rPr>
              <w:t>22.3%</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bottom w:val="single" w:sz="4" w:space="0" w:color="4F81BD"/>
            </w:tcBorders>
          </w:tcPr>
          <w:p w:rsidR="00FC35D3" w:rsidRPr="00C472AD" w:rsidRDefault="00FC35D3" w:rsidP="00FC35D3">
            <w:pPr>
              <w:spacing w:line="276" w:lineRule="auto"/>
              <w:jc w:val="center"/>
              <w:rPr>
                <w:rFonts w:ascii="Calibri" w:hAnsi="Calibri"/>
                <w:sz w:val="18"/>
                <w:lang w:val="sq-AL"/>
              </w:rPr>
            </w:pPr>
          </w:p>
        </w:tc>
      </w:tr>
      <w:tr w:rsidR="00FC35D3" w:rsidRPr="00C472AD" w:rsidTr="009647C4">
        <w:trPr>
          <w:cnfStyle w:val="010000000000" w:firstRow="0" w:lastRow="1" w:firstColumn="0" w:lastColumn="0" w:oddVBand="0" w:evenVBand="0" w:oddHBand="0" w:evenHBand="0" w:firstRowFirstColumn="0" w:firstRowLastColumn="0" w:lastRowFirstColumn="0" w:lastRowLastColumn="0"/>
          <w:trHeight w:val="179"/>
          <w:jc w:val="center"/>
        </w:trPr>
        <w:tc>
          <w:tcPr>
            <w:cnfStyle w:val="001000000001" w:firstRow="0" w:lastRow="0" w:firstColumn="1" w:lastColumn="0" w:oddVBand="0" w:evenVBand="0" w:oddHBand="0" w:evenHBand="0" w:firstRowFirstColumn="0" w:firstRowLastColumn="0" w:lastRowFirstColumn="1" w:lastRowLastColumn="0"/>
            <w:tcW w:w="0" w:type="auto"/>
            <w:tcBorders>
              <w:top w:val="single" w:sz="4" w:space="0" w:color="4F81BD"/>
              <w:bottom w:val="single" w:sz="4" w:space="0" w:color="4F81BD"/>
            </w:tcBorders>
          </w:tcPr>
          <w:p w:rsidR="00FC35D3" w:rsidRPr="00C472AD" w:rsidRDefault="00FC35D3" w:rsidP="00FC35D3">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rsidR="00FC35D3" w:rsidRPr="00C472AD" w:rsidRDefault="00FC35D3" w:rsidP="00FC35D3">
            <w:pPr>
              <w:spacing w:line="276" w:lineRule="auto"/>
              <w:jc w:val="center"/>
              <w:rPr>
                <w:rFonts w:ascii="Calibri" w:hAnsi="Calibri"/>
                <w:sz w:val="18"/>
                <w:lang w:val="sq-AL"/>
              </w:rPr>
            </w:pPr>
            <w:r>
              <w:rPr>
                <w:rFonts w:ascii="Calibri" w:hAnsi="Calibri"/>
                <w:bCs w:val="0"/>
                <w:sz w:val="18"/>
                <w:lang w:val="sq-AL"/>
              </w:rPr>
              <w:t>Totali</w:t>
            </w:r>
          </w:p>
        </w:tc>
        <w:tc>
          <w:tcPr>
            <w:tcW w:w="0" w:type="auto"/>
            <w:tcBorders>
              <w:top w:val="single" w:sz="4" w:space="0" w:color="4F81BD"/>
              <w:bottom w:val="single" w:sz="4" w:space="0" w:color="4F81BD"/>
            </w:tcBorders>
          </w:tcPr>
          <w:p w:rsidR="00FC35D3" w:rsidRPr="00C472AD" w:rsidRDefault="00FC35D3" w:rsidP="00FC35D3">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bCs w:val="0"/>
                <w:sz w:val="18"/>
                <w:lang w:val="sq-AL"/>
              </w:rPr>
              <w:t>2 032 691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bCs w:val="0"/>
                <w:sz w:val="18"/>
                <w:lang w:val="sq-AL"/>
              </w:rPr>
              <w:t>2 236 022</w:t>
            </w:r>
          </w:p>
        </w:tc>
        <w:tc>
          <w:tcPr>
            <w:tcW w:w="0" w:type="auto"/>
            <w:tcBorders>
              <w:top w:val="single" w:sz="4" w:space="0" w:color="4F81BD"/>
              <w:bottom w:val="single" w:sz="4" w:space="0" w:color="4F81BD"/>
            </w:tcBorders>
          </w:tcPr>
          <w:p w:rsidR="00FC35D3" w:rsidRPr="00C472AD" w:rsidRDefault="00FC35D3" w:rsidP="00FC35D3">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bCs w:val="0"/>
                <w:sz w:val="18"/>
                <w:lang w:val="sq-AL"/>
              </w:rPr>
              <w:t>470 216</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bCs w:val="0"/>
                <w:sz w:val="18"/>
                <w:lang w:val="sq-AL"/>
              </w:rPr>
              <w:t>4 724</w:t>
            </w:r>
          </w:p>
        </w:tc>
        <w:tc>
          <w:tcPr>
            <w:tcW w:w="0" w:type="auto"/>
            <w:tcBorders>
              <w:top w:val="single" w:sz="4" w:space="0" w:color="4F81BD"/>
              <w:left w:val="single" w:sz="4" w:space="0" w:color="4BACC6"/>
              <w:bottom w:val="single" w:sz="4" w:space="0" w:color="4F81BD"/>
              <w:right w:val="single" w:sz="4" w:space="0" w:color="4BACC6"/>
            </w:tcBorders>
          </w:tcPr>
          <w:p w:rsidR="00FC35D3" w:rsidRPr="00C472AD" w:rsidRDefault="00FC35D3" w:rsidP="00FC35D3">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C472AD">
              <w:rPr>
                <w:rFonts w:ascii="Calibri" w:hAnsi="Calibri"/>
                <w:bCs w:val="0"/>
                <w:sz w:val="18"/>
                <w:lang w:val="sq-AL"/>
              </w:rPr>
              <w:t>23.1</w:t>
            </w:r>
          </w:p>
        </w:tc>
        <w:tc>
          <w:tcPr>
            <w:cnfStyle w:val="000100000010" w:firstRow="0" w:lastRow="0" w:firstColumn="0" w:lastColumn="1" w:oddVBand="0" w:evenVBand="0" w:oddHBand="0" w:evenHBand="0" w:firstRowFirstColumn="0" w:firstRowLastColumn="0" w:lastRowFirstColumn="0" w:lastRowLastColumn="1"/>
            <w:tcW w:w="0" w:type="auto"/>
            <w:tcBorders>
              <w:top w:val="single" w:sz="4" w:space="0" w:color="4F81BD"/>
              <w:left w:val="single" w:sz="4" w:space="0" w:color="4BACC6"/>
              <w:bottom w:val="single" w:sz="4" w:space="0" w:color="4F81BD"/>
            </w:tcBorders>
          </w:tcPr>
          <w:p w:rsidR="00FC35D3" w:rsidRPr="00C472AD" w:rsidRDefault="00FC35D3" w:rsidP="00FC35D3">
            <w:pPr>
              <w:spacing w:line="276" w:lineRule="auto"/>
              <w:jc w:val="center"/>
              <w:rPr>
                <w:rFonts w:ascii="Calibri" w:hAnsi="Calibri"/>
                <w:sz w:val="18"/>
                <w:lang w:val="sq-AL"/>
              </w:rPr>
            </w:pPr>
            <w:r w:rsidRPr="00C472AD">
              <w:rPr>
                <w:rFonts w:ascii="Calibri" w:hAnsi="Calibri"/>
                <w:sz w:val="18"/>
                <w:lang w:val="sq-AL"/>
              </w:rPr>
              <w:t>0.2%</w:t>
            </w:r>
          </w:p>
        </w:tc>
      </w:tr>
    </w:tbl>
    <w:p w:rsidR="00FC35D3" w:rsidRPr="0056470D" w:rsidRDefault="00FC35D3" w:rsidP="00FC35D3">
      <w:pPr>
        <w:spacing w:line="276" w:lineRule="auto"/>
        <w:jc w:val="center"/>
        <w:rPr>
          <w:rFonts w:asciiTheme="minorHAnsi" w:eastAsia="MS Mincho" w:hAnsiTheme="minorHAnsi"/>
          <w:sz w:val="12"/>
          <w:lang w:val="sq-AL"/>
        </w:rPr>
      </w:pPr>
    </w:p>
    <w:p w:rsidR="00FC35D3" w:rsidRPr="00C472AD" w:rsidRDefault="00FC35D3" w:rsidP="0056470D">
      <w:pPr>
        <w:jc w:val="both"/>
        <w:rPr>
          <w:rFonts w:ascii="Calibri" w:hAnsi="Calibri"/>
          <w:lang w:val="sq-AL"/>
        </w:rPr>
      </w:pPr>
      <w:r w:rsidRPr="00C472AD">
        <w:rPr>
          <w:rFonts w:ascii="Calibri" w:hAnsi="Calibri"/>
          <w:lang w:val="sq-AL"/>
        </w:rPr>
        <w:t>Në të gjitha programet, niveli i realizimit të planit të shpenzimeve korrente është i lidhur me 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 Ndërsa niveli i ulët i realizimit të investimeve është lidhur me kohen proceduriale që zënë prokurimet.</w:t>
      </w:r>
    </w:p>
    <w:p w:rsidR="0056470D" w:rsidRPr="0056470D" w:rsidRDefault="0056470D" w:rsidP="0056470D">
      <w:pPr>
        <w:jc w:val="both"/>
        <w:rPr>
          <w:rFonts w:ascii="Calibri" w:hAnsi="Calibri"/>
          <w:sz w:val="8"/>
          <w:szCs w:val="8"/>
          <w:lang w:val="sq-AL"/>
        </w:rPr>
      </w:pPr>
    </w:p>
    <w:p w:rsidR="00FC35D3" w:rsidRPr="00C472AD" w:rsidRDefault="00FC35D3" w:rsidP="0056470D">
      <w:pPr>
        <w:jc w:val="both"/>
        <w:rPr>
          <w:rFonts w:ascii="Calibri" w:hAnsi="Calibri"/>
          <w:lang w:val="sq-AL"/>
        </w:rPr>
      </w:pPr>
      <w:r w:rsidRPr="00C472AD">
        <w:rPr>
          <w:rFonts w:ascii="Calibri" w:hAnsi="Calibri"/>
          <w:lang w:val="sq-AL"/>
        </w:rPr>
        <w:t>Në programin</w:t>
      </w:r>
      <w:r w:rsidRPr="00C472AD">
        <w:rPr>
          <w:rFonts w:ascii="Calibri" w:hAnsi="Calibri"/>
          <w:b/>
          <w:lang w:val="sq-AL"/>
        </w:rPr>
        <w:t xml:space="preserve"> “Trashëgimia Kulturore</w:t>
      </w:r>
      <w:r w:rsidRPr="00C472AD">
        <w:rPr>
          <w:rFonts w:ascii="Calibri" w:hAnsi="Calibri"/>
          <w:lang w:val="sq-AL"/>
        </w:rPr>
        <w:t>” është realizuar promovimi, ruajtja, konservimi, restaurimi i objekteve dhe fondeve muzeore si dhe edukimi përmes trashëgimisë dhe aktiviteteve në funksion të saj. Kështu gj</w:t>
      </w:r>
      <w:r w:rsidR="00601D83">
        <w:rPr>
          <w:rFonts w:ascii="Calibri" w:hAnsi="Calibri"/>
          <w:lang w:val="sq-AL"/>
        </w:rPr>
        <w:t>a</w:t>
      </w:r>
      <w:r w:rsidRPr="00C472AD">
        <w:rPr>
          <w:rFonts w:ascii="Calibri" w:hAnsi="Calibri"/>
          <w:lang w:val="sq-AL"/>
        </w:rPr>
        <w:t>të 4 mujorit 2022:</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Me një kosto rreth 72.9 milion lekë, janë kryer punime mirëmbajtje dhe restaurime në 73 objekte, si edhe</w:t>
      </w:r>
      <w:r w:rsidR="00601D83" w:rsidRPr="0056470D">
        <w:rPr>
          <w:rFonts w:ascii="Calibri" w:hAnsi="Calibri"/>
          <w:i/>
          <w:sz w:val="22"/>
          <w:lang w:val="sq-AL"/>
        </w:rPr>
        <w:t xml:space="preserve"> </w:t>
      </w:r>
      <w:r w:rsidRPr="0056470D">
        <w:rPr>
          <w:rFonts w:ascii="Calibri" w:hAnsi="Calibri"/>
          <w:i/>
          <w:sz w:val="22"/>
          <w:lang w:val="sq-AL"/>
        </w:rPr>
        <w:t xml:space="preserve">ndërhyrje restauruese,konsoliduese, pastrime nga vegjetacioni apo mirëmbajtje.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Gjithashtu janë zhvilluar 74 aktivitete edukuese dhe promovuese, ekspozita, botime, etj.</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Janë kryer 4 projekte  pastrim mirëmbajtje-pastrim vegjetacioni në Kalanë e Shkodrës, në Kalanë e Drishtit dhe në Urën e Mesit.Janë kryer edhe 17 aktivitete mbi edukimin për kulturën dhe promovimin</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 xml:space="preserve">Në Berat është kryer ndërhyrje restauruese në fasadat e dy banesave në lagjen “Kala”, si edhe mirëmbajtje pastrim dhe punime mirëmbajtje në lagjen Kala.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Në Korçë është në proçes “Restaurimi i pikturave murale ne kishën e Shën Kollit, Voskopojë”, ndërsa në muzeun kombëtar të artit Mesjetar janë zhvilluar 3 aktivitete.</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Në kalanë e Gjirokastrës gjatë 4 mujorit ka patur 6 681 vizitorë.Janë kryer 20 restaurime të pjesshme, mirëmbajtje e pastrim vegjetacioni në kalanë e Gjirokastrës , resaturim banesash.</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Në Krujë muzeu kombëtar “Gjergj Kastrioti Skëndërbeu” dhe Etnografik Krujë, 9 698 vizitorë.</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Ndërsa në Vlorë  muzeu kombëtar “Pavarësia” ka patur 277 vizitorë vendas dhe të huaj.</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Gjithashtu, veprimtaria muzeale vijoi nëpërmjet aktiviteteve dhe projekteve në Muzeun Kombëtar të Fotografisë “Marubi”, Muzeun Historik Kombëtar ku janë zhvilluar 43 aktivitete, 5</w:t>
      </w:r>
      <w:r w:rsidR="0056470D">
        <w:rPr>
          <w:rFonts w:ascii="Calibri" w:hAnsi="Calibri"/>
          <w:i/>
          <w:sz w:val="22"/>
          <w:lang w:val="sq-AL"/>
        </w:rPr>
        <w:t xml:space="preserve"> </w:t>
      </w:r>
      <w:r w:rsidRPr="0056470D">
        <w:rPr>
          <w:rFonts w:ascii="Calibri" w:hAnsi="Calibri"/>
          <w:i/>
          <w:sz w:val="22"/>
          <w:lang w:val="sq-AL"/>
        </w:rPr>
        <w:t xml:space="preserve">ekspozita, aktivitete për promovime librash.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Janë zhvilluar aktivitete, të fushës së trashëgimisë jomateriale, ku, pas thirrjes së hapur që Ministria e Kulturës shpall për mbështetjen financiare të projekteve në fushën e artit, kulturës dhe trashëgimisë janë zhvilluar 6 aktivitete për promovimin e vlerave kulturore-artistike, ruajtjen/mbrojtjen/promovimin e trashëgimisë kulturore.</w:t>
      </w:r>
    </w:p>
    <w:p w:rsidR="00601D83" w:rsidRPr="00601D83" w:rsidRDefault="00601D83" w:rsidP="0056470D">
      <w:pPr>
        <w:jc w:val="both"/>
        <w:rPr>
          <w:rFonts w:ascii="Calibri" w:hAnsi="Calibri" w:cs="Calibri"/>
          <w:sz w:val="20"/>
          <w:lang w:val="sq-AL"/>
        </w:rPr>
      </w:pPr>
    </w:p>
    <w:p w:rsidR="00FC35D3" w:rsidRPr="00C472AD" w:rsidRDefault="00FC35D3" w:rsidP="0056470D">
      <w:pPr>
        <w:jc w:val="both"/>
        <w:rPr>
          <w:rFonts w:ascii="Calibri" w:hAnsi="Calibri" w:cs="Calibri"/>
          <w:lang w:val="sq-AL"/>
        </w:rPr>
      </w:pPr>
      <w:r w:rsidRPr="00C472AD">
        <w:rPr>
          <w:rFonts w:ascii="Calibri" w:hAnsi="Calibri" w:cs="Calibri"/>
          <w:lang w:val="sq-AL"/>
        </w:rPr>
        <w:t>Programi</w:t>
      </w:r>
      <w:r w:rsidRPr="00C472AD">
        <w:rPr>
          <w:rFonts w:ascii="Calibri" w:hAnsi="Calibri" w:cs="Calibri"/>
          <w:b/>
          <w:lang w:val="sq-AL"/>
        </w:rPr>
        <w:t xml:space="preserve"> “Arti dhe Kultura</w:t>
      </w:r>
      <w:r w:rsidRPr="00C472AD">
        <w:rPr>
          <w:rFonts w:ascii="Calibri" w:hAnsi="Calibri" w:cs="Calibri"/>
          <w:lang w:val="sq-AL"/>
        </w:rPr>
        <w:t xml:space="preserve"> ka për qëllim, edukimin, zhvillimin dhe promovimin e skenes artistike dhe vlerave kulturore kombëtare dhe ka objektiv rritjen e interesit të publikut ndaj programeve kulturore përmes përmirësimti të shërbimeve në infrastrukturë si dhe rritjen e cilësisë artistike. Kështu gjatë 4 mujorit të parë 2022 janë realizuar:</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61 premiera dhe shfaqje artistike të zhanrit skenik operistik, koreografik dhe folklorik kombëtar (94.5 milion lekë)</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51 Premiera dhe shfaqie artistike të zhanrit teatror klasik dhe bashkëkohor (51</w:t>
      </w:r>
      <w:r w:rsidR="00601D83" w:rsidRPr="0056470D">
        <w:rPr>
          <w:rFonts w:ascii="Calibri" w:hAnsi="Calibri"/>
          <w:i/>
          <w:sz w:val="22"/>
          <w:lang w:val="sq-AL"/>
        </w:rPr>
        <w:t>mln</w:t>
      </w:r>
      <w:r w:rsidRPr="0056470D">
        <w:rPr>
          <w:rFonts w:ascii="Calibri" w:hAnsi="Calibri"/>
          <w:i/>
          <w:sz w:val="22"/>
          <w:lang w:val="sq-AL"/>
        </w:rPr>
        <w:t xml:space="preserve"> leke);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 xml:space="preserve">127 premiera dhe shfaqje artistike të zhanrit skenik teatror eksperimental klasik dhe bashkekohor (10.3 mln lekë);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lastRenderedPageBreak/>
        <w:t xml:space="preserve">9 ekspozita me vepra pjesë e fondit të GKA, të përkohshme të traditës dhe bashkëkohore, autorë të diasporës dhe të huaj (10.5 milion lekë),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 xml:space="preserve">13 veprimtari edukuese të teatrit me dhe për fëmijë (12 milion lekë), </w:t>
      </w:r>
    </w:p>
    <w:p w:rsidR="00FC35D3"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13 veprimtari artistike ne zhanrin e cirkut dhe eksperimentimin e formave te reja te shprehjes skenike bashkekohore (12.6 milion leke).</w:t>
      </w:r>
    </w:p>
    <w:p w:rsidR="00990CDF" w:rsidRPr="0056470D" w:rsidRDefault="00FC35D3" w:rsidP="003F6B21">
      <w:pPr>
        <w:numPr>
          <w:ilvl w:val="0"/>
          <w:numId w:val="7"/>
        </w:numPr>
        <w:contextualSpacing/>
        <w:jc w:val="both"/>
        <w:rPr>
          <w:rFonts w:ascii="Calibri" w:hAnsi="Calibri"/>
          <w:i/>
          <w:sz w:val="22"/>
          <w:lang w:val="sq-AL"/>
        </w:rPr>
      </w:pPr>
      <w:r w:rsidRPr="0056470D">
        <w:rPr>
          <w:rFonts w:ascii="Calibri" w:hAnsi="Calibri"/>
          <w:i/>
          <w:sz w:val="22"/>
          <w:lang w:val="sq-AL"/>
        </w:rPr>
        <w:t>64 aktivitete për qytetarët përdorues dhe frekuentues të koleksioneve bibliotekare (30.9mln lekë).</w:t>
      </w:r>
    </w:p>
    <w:p w:rsidR="00601D83" w:rsidRDefault="00601D83" w:rsidP="0056470D">
      <w:pPr>
        <w:contextualSpacing/>
        <w:jc w:val="both"/>
        <w:rPr>
          <w:rFonts w:ascii="Calibri" w:hAnsi="Calibri"/>
          <w:i/>
          <w:lang w:val="sq-AL"/>
        </w:rPr>
      </w:pPr>
    </w:p>
    <w:p w:rsidR="00601D83" w:rsidRPr="00601D83" w:rsidRDefault="00601D83" w:rsidP="0056470D">
      <w:pPr>
        <w:contextualSpacing/>
        <w:jc w:val="both"/>
        <w:rPr>
          <w:rFonts w:ascii="Calibri" w:hAnsi="Calibri"/>
          <w: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220" w:name="_Toc10033300"/>
      <w:bookmarkStart w:id="221" w:name="_Toc10721436"/>
      <w:bookmarkStart w:id="222" w:name="_Toc11134236"/>
      <w:r w:rsidRPr="00BF005F">
        <w:rPr>
          <w:rFonts w:asciiTheme="minorHAnsi" w:hAnsiTheme="minorHAnsi"/>
          <w:b/>
          <w:noProof/>
          <w:color w:val="0070C0"/>
          <w:lang w:val="sq-AL"/>
        </w:rPr>
        <w:t>POLITIKA E JASHTME</w:t>
      </w:r>
      <w:bookmarkEnd w:id="220"/>
      <w:bookmarkEnd w:id="221"/>
      <w:bookmarkEnd w:id="222"/>
    </w:p>
    <w:p w:rsidR="00990CDF" w:rsidRPr="00601D83" w:rsidRDefault="00601D83" w:rsidP="009647C4">
      <w:pPr>
        <w:jc w:val="both"/>
        <w:rPr>
          <w:rFonts w:asciiTheme="minorHAnsi" w:hAnsiTheme="minorHAnsi"/>
          <w:color w:val="000000"/>
          <w:lang w:val="sq-AL"/>
        </w:rPr>
      </w:pPr>
      <w:r w:rsidRPr="00601D83">
        <w:rPr>
          <w:rFonts w:asciiTheme="minorHAnsi" w:hAnsiTheme="minorHAnsi"/>
          <w:lang w:val="sq-AL"/>
        </w:rPr>
        <w:t>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Performanca e treguesve buxhetorë për katër programet në Ministrinë për Evropën dhe Punët e Jashtme paraqitet si më poshtë</w:t>
      </w:r>
      <w:r w:rsidR="00990CDF" w:rsidRPr="00601D83">
        <w:rPr>
          <w:rFonts w:asciiTheme="minorHAnsi" w:hAnsiTheme="minorHAnsi"/>
          <w:color w:val="000000"/>
          <w:lang w:val="sq-AL"/>
        </w:rPr>
        <w:t>:</w:t>
      </w:r>
    </w:p>
    <w:p w:rsidR="00990CDF" w:rsidRPr="00601D83" w:rsidRDefault="001C2F44" w:rsidP="009647C4">
      <w:pPr>
        <w:pStyle w:val="Caption"/>
        <w:spacing w:before="240" w:after="0"/>
        <w:rPr>
          <w:rFonts w:asciiTheme="minorHAnsi" w:hAnsiTheme="minorHAnsi"/>
          <w:i/>
          <w:color w:val="000000"/>
          <w:sz w:val="22"/>
          <w:szCs w:val="24"/>
          <w:lang w:val="sq-AL"/>
        </w:rPr>
      </w:pPr>
      <w:bookmarkStart w:id="223" w:name="_Toc107496785"/>
      <w:r w:rsidRPr="001C2F44">
        <w:rPr>
          <w:rFonts w:asciiTheme="minorHAnsi" w:hAnsiTheme="minorHAnsi"/>
          <w:b w:val="0"/>
          <w:bCs w:val="0"/>
          <w:i/>
          <w:noProof/>
          <w:color w:val="auto"/>
          <w:sz w:val="22"/>
          <w:szCs w:val="24"/>
          <w:lang w:val="sq-AL"/>
        </w:rPr>
        <w:t xml:space="preserve">Tabela </w:t>
      </w:r>
      <w:r w:rsidRPr="001C2F44">
        <w:rPr>
          <w:rFonts w:asciiTheme="minorHAnsi" w:hAnsiTheme="minorHAnsi"/>
          <w:b w:val="0"/>
          <w:bCs w:val="0"/>
          <w:i/>
          <w:noProof/>
          <w:color w:val="auto"/>
          <w:sz w:val="22"/>
          <w:szCs w:val="24"/>
          <w:lang w:val="sq-AL"/>
        </w:rPr>
        <w:fldChar w:fldCharType="begin"/>
      </w:r>
      <w:r w:rsidRPr="001C2F44">
        <w:rPr>
          <w:rFonts w:asciiTheme="minorHAnsi" w:hAnsiTheme="minorHAnsi"/>
          <w:b w:val="0"/>
          <w:bCs w:val="0"/>
          <w:i/>
          <w:noProof/>
          <w:color w:val="auto"/>
          <w:sz w:val="22"/>
          <w:szCs w:val="24"/>
          <w:lang w:val="sq-AL"/>
        </w:rPr>
        <w:instrText xml:space="preserve"> SEQ Tabela \* ARABIC </w:instrText>
      </w:r>
      <w:r w:rsidRPr="001C2F44">
        <w:rPr>
          <w:rFonts w:asciiTheme="minorHAnsi" w:hAnsiTheme="minorHAnsi"/>
          <w:b w:val="0"/>
          <w:bCs w:val="0"/>
          <w:i/>
          <w:noProof/>
          <w:color w:val="auto"/>
          <w:sz w:val="22"/>
          <w:szCs w:val="24"/>
          <w:lang w:val="sq-AL"/>
        </w:rPr>
        <w:fldChar w:fldCharType="separate"/>
      </w:r>
      <w:r w:rsidR="003B2B9B">
        <w:rPr>
          <w:rFonts w:asciiTheme="minorHAnsi" w:hAnsiTheme="minorHAnsi"/>
          <w:b w:val="0"/>
          <w:bCs w:val="0"/>
          <w:i/>
          <w:noProof/>
          <w:color w:val="auto"/>
          <w:sz w:val="22"/>
          <w:szCs w:val="24"/>
          <w:lang w:val="sq-AL"/>
        </w:rPr>
        <w:t>49</w:t>
      </w:r>
      <w:r w:rsidRPr="001C2F44">
        <w:rPr>
          <w:rFonts w:asciiTheme="minorHAnsi" w:hAnsiTheme="minorHAnsi"/>
          <w:b w:val="0"/>
          <w:bCs w:val="0"/>
          <w:i/>
          <w:noProof/>
          <w:color w:val="auto"/>
          <w:sz w:val="22"/>
          <w:szCs w:val="24"/>
          <w:lang w:val="sq-AL"/>
        </w:rPr>
        <w:fldChar w:fldCharType="end"/>
      </w:r>
      <w:r w:rsidR="00990CDF" w:rsidRPr="00601D83">
        <w:rPr>
          <w:rFonts w:asciiTheme="minorHAnsi" w:hAnsiTheme="minorHAnsi"/>
          <w:b w:val="0"/>
          <w:bCs w:val="0"/>
          <w:i/>
          <w:noProof/>
          <w:color w:val="auto"/>
          <w:sz w:val="22"/>
          <w:szCs w:val="24"/>
          <w:lang w:val="sq-AL"/>
        </w:rPr>
        <w:t>: Politika e Jashtme</w:t>
      </w:r>
      <w:bookmarkEnd w:id="223"/>
      <w:r w:rsidR="00990CDF" w:rsidRPr="00601D83">
        <w:rPr>
          <w:rFonts w:asciiTheme="minorHAnsi" w:hAnsiTheme="minorHAnsi"/>
          <w:i/>
          <w:color w:val="000000"/>
          <w:sz w:val="22"/>
          <w:szCs w:val="24"/>
          <w:lang w:val="sq-AL"/>
        </w:rPr>
        <w:t xml:space="preserve">                                          </w:t>
      </w:r>
    </w:p>
    <w:p w:rsidR="00990CDF" w:rsidRPr="007E297E" w:rsidRDefault="00990CDF" w:rsidP="006F25E7">
      <w:pPr>
        <w:spacing w:line="276" w:lineRule="auto"/>
        <w:ind w:left="2880" w:firstLine="720"/>
        <w:jc w:val="right"/>
        <w:rPr>
          <w:rFonts w:asciiTheme="minorHAnsi" w:hAnsiTheme="minorHAnsi"/>
          <w:i/>
          <w:color w:val="000000"/>
          <w:sz w:val="22"/>
          <w:lang w:val="sq-AL"/>
        </w:rPr>
      </w:pPr>
      <w:r w:rsidRPr="007E297E">
        <w:rPr>
          <w:rFonts w:asciiTheme="minorHAnsi" w:hAnsiTheme="minorHAnsi"/>
          <w:i/>
          <w:color w:val="000000"/>
          <w:sz w:val="22"/>
          <w:lang w:val="sq-AL"/>
        </w:rPr>
        <w:t>Në mijë lekë</w:t>
      </w:r>
    </w:p>
    <w:tbl>
      <w:tblPr>
        <w:tblStyle w:val="ListTable3-Accent523"/>
        <w:tblW w:w="9881" w:type="dxa"/>
        <w:jc w:val="center"/>
        <w:tblLook w:val="0000" w:firstRow="0" w:lastRow="0" w:firstColumn="0" w:lastColumn="0" w:noHBand="0" w:noVBand="0"/>
      </w:tblPr>
      <w:tblGrid>
        <w:gridCol w:w="436"/>
        <w:gridCol w:w="3864"/>
        <w:gridCol w:w="948"/>
        <w:gridCol w:w="952"/>
        <w:gridCol w:w="880"/>
        <w:gridCol w:w="952"/>
        <w:gridCol w:w="888"/>
        <w:gridCol w:w="961"/>
      </w:tblGrid>
      <w:tr w:rsidR="00601D83" w:rsidRPr="00601D83" w:rsidTr="00601D83">
        <w:trPr>
          <w:cnfStyle w:val="000000100000" w:firstRow="0" w:lastRow="0" w:firstColumn="0" w:lastColumn="0" w:oddVBand="0" w:evenVBand="0" w:oddHBand="1" w:evenHBand="0" w:firstRowFirstColumn="0" w:firstRowLastColumn="0" w:lastRowFirstColumn="0" w:lastRowLastColumn="0"/>
          <w:trHeight w:val="123"/>
          <w:jc w:val="center"/>
        </w:trPr>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B6DDE8" w:themeFill="accent5" w:themeFillTint="66"/>
          </w:tcPr>
          <w:p w:rsidR="00601D83" w:rsidRPr="00601D83" w:rsidRDefault="00601D83" w:rsidP="00601D83">
            <w:pPr>
              <w:jc w:val="both"/>
              <w:rPr>
                <w:rFonts w:asciiTheme="minorHAnsi" w:hAnsiTheme="minorHAnsi"/>
                <w:b/>
                <w:bCs/>
                <w:sz w:val="18"/>
                <w:lang w:val="sq-AL"/>
              </w:rPr>
            </w:pPr>
          </w:p>
          <w:p w:rsidR="00601D83" w:rsidRPr="00601D83" w:rsidRDefault="00601D83" w:rsidP="00601D83">
            <w:pPr>
              <w:jc w:val="both"/>
              <w:rPr>
                <w:rFonts w:asciiTheme="minorHAnsi" w:hAnsiTheme="minorHAnsi"/>
                <w:b/>
                <w:bCs/>
                <w:sz w:val="18"/>
                <w:lang w:val="sq-AL"/>
              </w:rPr>
            </w:pPr>
            <w:r w:rsidRPr="00601D83">
              <w:rPr>
                <w:rFonts w:asciiTheme="minorHAnsi" w:hAnsiTheme="minorHAnsi"/>
                <w:b/>
                <w:bCs/>
                <w:sz w:val="18"/>
                <w:lang w:val="sq-AL"/>
              </w:rPr>
              <w:t>NR</w:t>
            </w:r>
          </w:p>
        </w:tc>
        <w:tc>
          <w:tcPr>
            <w:tcW w:w="0" w:type="auto"/>
            <w:vMerge w:val="restart"/>
            <w:shd w:val="clear" w:color="auto" w:fill="B6DDE8" w:themeFill="accent5" w:themeFillTint="66"/>
          </w:tcPr>
          <w:p w:rsidR="00601D83" w:rsidRPr="00601D83" w:rsidRDefault="00601D83" w:rsidP="00601D8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601D83">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601D83" w:rsidRPr="00601D83" w:rsidRDefault="00601D83" w:rsidP="00601D83">
            <w:pPr>
              <w:jc w:val="center"/>
              <w:rPr>
                <w:rFonts w:asciiTheme="minorHAnsi" w:hAnsiTheme="minorHAnsi"/>
                <w:b/>
                <w:bCs/>
                <w:sz w:val="18"/>
                <w:lang w:val="sq-AL"/>
              </w:rPr>
            </w:pPr>
            <w:r w:rsidRPr="00601D83">
              <w:rPr>
                <w:rFonts w:asciiTheme="minorHAnsi" w:hAnsiTheme="minorHAnsi"/>
                <w:b/>
                <w:bCs/>
                <w:sz w:val="18"/>
                <w:lang w:val="sq-AL"/>
              </w:rPr>
              <w:t>Plani 2022</w:t>
            </w:r>
          </w:p>
        </w:tc>
        <w:tc>
          <w:tcPr>
            <w:tcW w:w="0" w:type="auto"/>
            <w:gridSpan w:val="2"/>
            <w:shd w:val="clear" w:color="auto" w:fill="B6DDE8" w:themeFill="accent5" w:themeFillTint="66"/>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601D83">
              <w:rPr>
                <w:rFonts w:asciiTheme="minorHAnsi" w:hAnsiTheme="minorHAnsi"/>
                <w:b/>
                <w:bCs/>
                <w:sz w:val="18"/>
                <w:lang w:val="sq-AL"/>
              </w:rPr>
              <w:t>Fakti 4 M 2022</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601D83" w:rsidRPr="00601D83" w:rsidRDefault="00601D83" w:rsidP="00601D83">
            <w:pPr>
              <w:jc w:val="center"/>
              <w:rPr>
                <w:rFonts w:asciiTheme="minorHAnsi" w:hAnsiTheme="minorHAnsi"/>
                <w:b/>
                <w:bCs/>
                <w:sz w:val="18"/>
                <w:lang w:val="sq-AL"/>
              </w:rPr>
            </w:pPr>
            <w:r w:rsidRPr="00601D83">
              <w:rPr>
                <w:rFonts w:asciiTheme="minorHAnsi" w:hAnsiTheme="minorHAnsi"/>
                <w:b/>
                <w:bCs/>
                <w:sz w:val="18"/>
                <w:lang w:val="sq-AL"/>
              </w:rPr>
              <w:t>Përqindja  e realizimit</w:t>
            </w:r>
          </w:p>
        </w:tc>
      </w:tr>
      <w:tr w:rsidR="00601D83" w:rsidRPr="00601D83" w:rsidTr="00601D83">
        <w:trPr>
          <w:trHeight w:val="115"/>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hemeFill="accent5" w:themeFillTint="66"/>
          </w:tcPr>
          <w:p w:rsidR="00601D83" w:rsidRPr="00601D83" w:rsidRDefault="00601D83" w:rsidP="00601D83">
            <w:pPr>
              <w:jc w:val="both"/>
              <w:rPr>
                <w:rFonts w:asciiTheme="minorHAnsi" w:hAnsiTheme="minorHAnsi"/>
                <w:sz w:val="18"/>
                <w:lang w:val="sq-AL"/>
              </w:rPr>
            </w:pPr>
          </w:p>
        </w:tc>
        <w:tc>
          <w:tcPr>
            <w:tcW w:w="0" w:type="auto"/>
            <w:vMerge/>
            <w:shd w:val="clear" w:color="auto" w:fill="B6DDE8" w:themeFill="accent5" w:themeFillTint="66"/>
          </w:tcPr>
          <w:p w:rsidR="00601D83" w:rsidRPr="00601D83" w:rsidRDefault="00601D83" w:rsidP="00601D8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601D83" w:rsidRPr="00601D83" w:rsidRDefault="00601D83" w:rsidP="00601D83">
            <w:pPr>
              <w:jc w:val="center"/>
              <w:rPr>
                <w:rFonts w:asciiTheme="minorHAnsi" w:hAnsiTheme="minorHAnsi"/>
                <w:b/>
                <w:bCs/>
                <w:sz w:val="18"/>
                <w:lang w:val="sq-AL"/>
              </w:rPr>
            </w:pPr>
            <w:r w:rsidRPr="00601D83">
              <w:rPr>
                <w:rFonts w:asciiTheme="minorHAnsi" w:hAnsiTheme="minorHAnsi"/>
                <w:b/>
                <w:bCs/>
                <w:sz w:val="18"/>
                <w:lang w:val="sq-AL"/>
              </w:rPr>
              <w:t>Korrente</w:t>
            </w:r>
          </w:p>
        </w:tc>
        <w:tc>
          <w:tcPr>
            <w:tcW w:w="0" w:type="auto"/>
            <w:shd w:val="clear" w:color="auto" w:fill="B6DDE8" w:themeFill="accent5" w:themeFillTint="66"/>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601D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601D83" w:rsidRPr="00601D83" w:rsidRDefault="00601D83" w:rsidP="00601D83">
            <w:pPr>
              <w:jc w:val="center"/>
              <w:rPr>
                <w:rFonts w:asciiTheme="minorHAnsi" w:hAnsiTheme="minorHAnsi"/>
                <w:b/>
                <w:bCs/>
                <w:sz w:val="18"/>
                <w:lang w:val="sq-AL"/>
              </w:rPr>
            </w:pPr>
            <w:r w:rsidRPr="00601D83">
              <w:rPr>
                <w:rFonts w:asciiTheme="minorHAnsi" w:hAnsiTheme="minorHAnsi"/>
                <w:b/>
                <w:bCs/>
                <w:sz w:val="18"/>
                <w:lang w:val="sq-AL"/>
              </w:rPr>
              <w:t>Korrente</w:t>
            </w:r>
          </w:p>
        </w:tc>
        <w:tc>
          <w:tcPr>
            <w:tcW w:w="0" w:type="auto"/>
            <w:shd w:val="clear" w:color="auto" w:fill="B6DDE8" w:themeFill="accent5" w:themeFillTint="66"/>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601D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601D83" w:rsidRPr="00601D83" w:rsidRDefault="00601D83" w:rsidP="00601D83">
            <w:pPr>
              <w:jc w:val="center"/>
              <w:rPr>
                <w:rFonts w:asciiTheme="minorHAnsi" w:hAnsiTheme="minorHAnsi"/>
                <w:b/>
                <w:bCs/>
                <w:sz w:val="18"/>
                <w:lang w:val="sq-AL"/>
              </w:rPr>
            </w:pPr>
            <w:r w:rsidRPr="00601D83">
              <w:rPr>
                <w:rFonts w:asciiTheme="minorHAnsi" w:hAnsiTheme="minorHAnsi"/>
                <w:b/>
                <w:bCs/>
                <w:sz w:val="18"/>
                <w:lang w:val="sq-AL"/>
              </w:rPr>
              <w:t>Korrente</w:t>
            </w:r>
          </w:p>
        </w:tc>
        <w:tc>
          <w:tcPr>
            <w:tcW w:w="0" w:type="auto"/>
            <w:shd w:val="clear" w:color="auto" w:fill="B6DDE8" w:themeFill="accent5" w:themeFillTint="66"/>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601D83">
              <w:rPr>
                <w:rFonts w:asciiTheme="minorHAnsi" w:hAnsiTheme="minorHAnsi"/>
                <w:b/>
                <w:bCs/>
                <w:sz w:val="18"/>
                <w:lang w:val="sq-AL"/>
              </w:rPr>
              <w:t>Investime</w:t>
            </w:r>
          </w:p>
        </w:tc>
      </w:tr>
      <w:tr w:rsidR="00601D83" w:rsidRPr="00601D83" w:rsidTr="00601D83">
        <w:trPr>
          <w:cnfStyle w:val="000000100000" w:firstRow="0" w:lastRow="0" w:firstColumn="0" w:lastColumn="0" w:oddVBand="0" w:evenVBand="0" w:oddHBand="1" w:evenHBand="0" w:firstRowFirstColumn="0" w:firstRowLastColumn="0" w:lastRowFirstColumn="0" w:lastRowLastColumn="0"/>
          <w:trHeight w:val="308"/>
          <w:jc w:val="center"/>
        </w:trPr>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both"/>
              <w:rPr>
                <w:rFonts w:asciiTheme="minorHAnsi" w:hAnsiTheme="minorHAnsi"/>
                <w:sz w:val="18"/>
                <w:lang w:val="sq-AL"/>
              </w:rPr>
            </w:pPr>
            <w:r w:rsidRPr="00601D83">
              <w:rPr>
                <w:rFonts w:asciiTheme="minorHAnsi" w:hAnsiTheme="minorHAnsi"/>
                <w:sz w:val="18"/>
                <w:lang w:val="sq-AL"/>
              </w:rPr>
              <w:t>1.</w:t>
            </w:r>
          </w:p>
        </w:tc>
        <w:tc>
          <w:tcPr>
            <w:tcW w:w="0" w:type="auto"/>
          </w:tcPr>
          <w:p w:rsidR="00601D83" w:rsidRPr="00601D83" w:rsidRDefault="00601D83" w:rsidP="00601D8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237,985</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55,000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65,275</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15,832</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27.4</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28.8</w:t>
            </w:r>
          </w:p>
        </w:tc>
      </w:tr>
      <w:tr w:rsidR="00601D83" w:rsidRPr="00601D83" w:rsidTr="00601D83">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both"/>
              <w:rPr>
                <w:rFonts w:asciiTheme="minorHAnsi" w:hAnsiTheme="minorHAnsi"/>
                <w:sz w:val="18"/>
                <w:lang w:val="sq-AL"/>
              </w:rPr>
            </w:pPr>
            <w:r w:rsidRPr="00601D83">
              <w:rPr>
                <w:rFonts w:asciiTheme="minorHAnsi" w:hAnsiTheme="minorHAnsi"/>
                <w:sz w:val="18"/>
                <w:lang w:val="sq-AL"/>
              </w:rPr>
              <w:t>2.</w:t>
            </w:r>
          </w:p>
        </w:tc>
        <w:tc>
          <w:tcPr>
            <w:tcW w:w="0" w:type="auto"/>
          </w:tcPr>
          <w:p w:rsidR="00601D83" w:rsidRPr="00601D83" w:rsidRDefault="00601D83" w:rsidP="00601D8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Mbështetje diplomatike jashtë shtetit</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2,238,809</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15,000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289,602</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12.9</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0.0</w:t>
            </w:r>
          </w:p>
        </w:tc>
      </w:tr>
      <w:tr w:rsidR="00601D83" w:rsidRPr="00601D83" w:rsidTr="00601D83">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both"/>
              <w:rPr>
                <w:rFonts w:asciiTheme="minorHAnsi" w:hAnsiTheme="minorHAnsi"/>
                <w:sz w:val="18"/>
                <w:lang w:val="sq-AL"/>
              </w:rPr>
            </w:pPr>
            <w:r w:rsidRPr="00601D83">
              <w:rPr>
                <w:rFonts w:asciiTheme="minorHAnsi" w:hAnsiTheme="minorHAnsi"/>
                <w:sz w:val="18"/>
                <w:lang w:val="sq-AL"/>
              </w:rPr>
              <w:t>3.</w:t>
            </w:r>
          </w:p>
        </w:tc>
        <w:tc>
          <w:tcPr>
            <w:tcW w:w="0" w:type="auto"/>
          </w:tcPr>
          <w:p w:rsidR="00601D83" w:rsidRPr="00601D83" w:rsidRDefault="00601D83" w:rsidP="00601D83">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Aktiviteti diplomatik dhe konsullor i MPJ</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193,709</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52,318</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27.0</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w:t>
            </w:r>
          </w:p>
        </w:tc>
      </w:tr>
      <w:tr w:rsidR="00601D83" w:rsidRPr="00601D83" w:rsidTr="00601D83">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both"/>
              <w:rPr>
                <w:rFonts w:asciiTheme="minorHAnsi" w:hAnsiTheme="minorHAnsi"/>
                <w:sz w:val="18"/>
                <w:lang w:val="sq-AL"/>
              </w:rPr>
            </w:pPr>
            <w:r w:rsidRPr="00601D83">
              <w:rPr>
                <w:rFonts w:asciiTheme="minorHAnsi" w:hAnsiTheme="minorHAnsi"/>
                <w:sz w:val="18"/>
                <w:lang w:val="sq-AL"/>
              </w:rPr>
              <w:t>4.</w:t>
            </w:r>
          </w:p>
        </w:tc>
        <w:tc>
          <w:tcPr>
            <w:tcW w:w="0" w:type="auto"/>
          </w:tcPr>
          <w:p w:rsidR="00601D83" w:rsidRPr="00601D83" w:rsidRDefault="00601D83" w:rsidP="00601D83">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Mbështetje institucionale për procesin e Integrimit</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77,429</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101,780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18,366</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13,783</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sz w:val="18"/>
                <w:lang w:val="sq-AL"/>
              </w:rPr>
            </w:pPr>
            <w:r w:rsidRPr="00601D83">
              <w:rPr>
                <w:rFonts w:asciiTheme="minorHAnsi" w:hAnsiTheme="minorHAnsi"/>
                <w:sz w:val="18"/>
                <w:lang w:val="sq-AL"/>
              </w:rPr>
              <w:t>23.7</w:t>
            </w:r>
          </w:p>
        </w:tc>
        <w:tc>
          <w:tcPr>
            <w:tcW w:w="0" w:type="auto"/>
          </w:tcPr>
          <w:p w:rsidR="00601D83" w:rsidRPr="00601D83" w:rsidRDefault="00601D83" w:rsidP="00601D8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01D83">
              <w:rPr>
                <w:rFonts w:asciiTheme="minorHAnsi" w:hAnsiTheme="minorHAnsi"/>
                <w:sz w:val="18"/>
                <w:lang w:val="sq-AL"/>
              </w:rPr>
              <w:t>13.5</w:t>
            </w:r>
          </w:p>
        </w:tc>
      </w:tr>
      <w:tr w:rsidR="00601D83" w:rsidRPr="00601D83" w:rsidTr="00601D83">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both"/>
              <w:rPr>
                <w:rFonts w:asciiTheme="minorHAnsi" w:hAnsiTheme="minorHAnsi"/>
                <w:b/>
                <w:sz w:val="18"/>
                <w:lang w:val="sq-AL"/>
              </w:rPr>
            </w:pP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01D83">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b/>
                <w:sz w:val="18"/>
                <w:lang w:val="sq-AL"/>
              </w:rPr>
            </w:pPr>
            <w:r w:rsidRPr="00601D83">
              <w:rPr>
                <w:rFonts w:asciiTheme="minorHAnsi" w:hAnsiTheme="minorHAnsi"/>
                <w:b/>
                <w:sz w:val="18"/>
                <w:lang w:val="sq-AL"/>
              </w:rPr>
              <w:t>2,747,931</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01D83">
              <w:rPr>
                <w:rFonts w:asciiTheme="minorHAnsi" w:hAnsiTheme="minorHAnsi"/>
                <w:b/>
                <w:sz w:val="18"/>
                <w:lang w:val="sq-AL"/>
              </w:rPr>
              <w:t>171,780</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b/>
                <w:sz w:val="18"/>
                <w:lang w:val="sq-AL"/>
              </w:rPr>
            </w:pPr>
            <w:r w:rsidRPr="00601D83">
              <w:rPr>
                <w:rFonts w:asciiTheme="minorHAnsi" w:hAnsiTheme="minorHAnsi"/>
                <w:b/>
                <w:sz w:val="18"/>
                <w:lang w:val="sq-AL"/>
              </w:rPr>
              <w:t>425,562</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01D83">
              <w:rPr>
                <w:rFonts w:asciiTheme="minorHAnsi" w:hAnsiTheme="minorHAnsi"/>
                <w:b/>
                <w:sz w:val="18"/>
                <w:lang w:val="sq-AL"/>
              </w:rPr>
              <w:t>29,615</w:t>
            </w:r>
          </w:p>
        </w:tc>
        <w:tc>
          <w:tcPr>
            <w:cnfStyle w:val="000010000000" w:firstRow="0" w:lastRow="0" w:firstColumn="0" w:lastColumn="0" w:oddVBand="1" w:evenVBand="0" w:oddHBand="0" w:evenHBand="0" w:firstRowFirstColumn="0" w:firstRowLastColumn="0" w:lastRowFirstColumn="0" w:lastRowLastColumn="0"/>
            <w:tcW w:w="0" w:type="auto"/>
          </w:tcPr>
          <w:p w:rsidR="00601D83" w:rsidRPr="00601D83" w:rsidRDefault="00601D83" w:rsidP="00601D83">
            <w:pPr>
              <w:jc w:val="center"/>
              <w:rPr>
                <w:rFonts w:asciiTheme="minorHAnsi" w:hAnsiTheme="minorHAnsi"/>
                <w:b/>
                <w:sz w:val="18"/>
                <w:lang w:val="sq-AL"/>
              </w:rPr>
            </w:pPr>
            <w:r w:rsidRPr="00601D83">
              <w:rPr>
                <w:rFonts w:asciiTheme="minorHAnsi" w:hAnsiTheme="minorHAnsi"/>
                <w:b/>
                <w:sz w:val="18"/>
                <w:lang w:val="sq-AL"/>
              </w:rPr>
              <w:t>15.5</w:t>
            </w:r>
          </w:p>
        </w:tc>
        <w:tc>
          <w:tcPr>
            <w:tcW w:w="0" w:type="auto"/>
          </w:tcPr>
          <w:p w:rsidR="00601D83" w:rsidRPr="00601D83" w:rsidRDefault="00601D83" w:rsidP="00601D8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01D83">
              <w:rPr>
                <w:rFonts w:asciiTheme="minorHAnsi" w:hAnsiTheme="minorHAnsi"/>
                <w:b/>
                <w:sz w:val="18"/>
                <w:lang w:val="sq-AL"/>
              </w:rPr>
              <w:t>17.2</w:t>
            </w:r>
          </w:p>
        </w:tc>
      </w:tr>
    </w:tbl>
    <w:p w:rsidR="00990CDF" w:rsidRPr="00601D83" w:rsidRDefault="00990CDF" w:rsidP="00601D83">
      <w:pPr>
        <w:spacing w:line="276" w:lineRule="auto"/>
        <w:jc w:val="center"/>
        <w:rPr>
          <w:rFonts w:asciiTheme="minorHAnsi" w:hAnsiTheme="minorHAnsi"/>
          <w:noProof/>
          <w:sz w:val="16"/>
          <w:lang w:val="sq-AL"/>
        </w:rPr>
      </w:pPr>
    </w:p>
    <w:p w:rsidR="00601D83" w:rsidRPr="00601D83" w:rsidRDefault="00990CDF" w:rsidP="009647C4">
      <w:pPr>
        <w:jc w:val="both"/>
        <w:rPr>
          <w:rFonts w:asciiTheme="minorHAnsi" w:hAnsiTheme="minorHAnsi"/>
          <w:noProof/>
          <w:lang w:val="sq-AL"/>
        </w:rPr>
      </w:pPr>
      <w:r w:rsidRPr="00601D83">
        <w:rPr>
          <w:rFonts w:asciiTheme="minorHAnsi" w:hAnsiTheme="minorHAnsi"/>
          <w:noProof/>
          <w:lang w:val="sq-AL"/>
        </w:rPr>
        <w:t>Programi “</w:t>
      </w:r>
      <w:r w:rsidRPr="00601D83">
        <w:rPr>
          <w:rFonts w:asciiTheme="minorHAnsi" w:hAnsiTheme="minorHAnsi"/>
          <w:b/>
          <w:noProof/>
          <w:lang w:val="sq-AL"/>
        </w:rPr>
        <w:t>Mbështetje diplomatike jashtë vendit</w:t>
      </w:r>
      <w:r w:rsidRPr="00601D83">
        <w:rPr>
          <w:rFonts w:asciiTheme="minorHAnsi" w:hAnsiTheme="minorHAnsi"/>
          <w:noProof/>
          <w:lang w:val="sq-AL"/>
        </w:rPr>
        <w:t xml:space="preserve">”, </w:t>
      </w:r>
      <w:r w:rsidR="00601D83" w:rsidRPr="00601D83">
        <w:rPr>
          <w:rFonts w:asciiTheme="minorHAnsi" w:hAnsiTheme="minorHAnsi"/>
          <w:noProof/>
          <w:lang w:val="sq-AL"/>
        </w:rPr>
        <w:t>zhvillon aktivitetet që synojnë nxitjen dhe zhvillimin e marrëdhënieve të bashkëpunimit të gjithanshëm, mbrojtjen dhe avancimin e interesave kombëtare dhe përkujdesin ndaj qytetarëve shqiptar kudo ata ndodhen.</w:t>
      </w:r>
      <w:r w:rsidR="00601D83">
        <w:rPr>
          <w:rFonts w:asciiTheme="minorHAnsi" w:hAnsiTheme="minorHAnsi"/>
          <w:noProof/>
          <w:lang w:val="sq-AL"/>
        </w:rPr>
        <w:t xml:space="preserve"> </w:t>
      </w:r>
      <w:r w:rsidR="00601D83" w:rsidRPr="00601D83">
        <w:rPr>
          <w:rFonts w:asciiTheme="minorHAnsi" w:hAnsiTheme="minorHAnsi"/>
          <w:lang w:val="sq-AL"/>
        </w:rPr>
        <w:t xml:space="preserve">Në këtë program janë realizuar disa produkte me kosto faktike 289.6 milionë lekë. Në këtë program ndër produktet kryesore përmendim: </w:t>
      </w:r>
    </w:p>
    <w:p w:rsidR="00601D83" w:rsidRPr="00601D83" w:rsidRDefault="00601D83" w:rsidP="003F6B21">
      <w:pPr>
        <w:numPr>
          <w:ilvl w:val="0"/>
          <w:numId w:val="7"/>
        </w:numPr>
        <w:contextualSpacing/>
        <w:jc w:val="both"/>
        <w:rPr>
          <w:rFonts w:ascii="Calibri" w:hAnsi="Calibri"/>
          <w:i/>
          <w:sz w:val="22"/>
          <w:lang w:val="sq-AL"/>
        </w:rPr>
      </w:pPr>
      <w:r w:rsidRPr="00601D83">
        <w:rPr>
          <w:rFonts w:ascii="Calibri" w:hAnsi="Calibri"/>
          <w:i/>
          <w:sz w:val="22"/>
          <w:lang w:val="sq-AL"/>
        </w:rPr>
        <w:t>“Mbështetja e përfaqësive diplomatike dhe konsullore me personel dhe kushte të përshtatshme pune dhe jetese”, për 60 nga 364 punonjës të planifikuar.</w:t>
      </w:r>
    </w:p>
    <w:p w:rsidR="00601D83" w:rsidRPr="00601D83" w:rsidRDefault="00601D83" w:rsidP="003F6B21">
      <w:pPr>
        <w:numPr>
          <w:ilvl w:val="0"/>
          <w:numId w:val="7"/>
        </w:numPr>
        <w:contextualSpacing/>
        <w:jc w:val="both"/>
        <w:rPr>
          <w:rFonts w:ascii="Calibri" w:hAnsi="Calibri"/>
          <w:i/>
          <w:sz w:val="22"/>
          <w:lang w:val="sq-AL"/>
        </w:rPr>
      </w:pPr>
      <w:r w:rsidRPr="00601D83">
        <w:rPr>
          <w:rFonts w:ascii="Calibri" w:hAnsi="Calibri"/>
          <w:i/>
          <w:sz w:val="22"/>
          <w:lang w:val="sq-AL"/>
        </w:rPr>
        <w:t>“Kuota ndërkombëtare” është kryer pagesa për 9 kuota nga 53 të planifikuara, ku veni ynë është palë si detyrimet ndaj Organizatës së Kombeve të Bashkuara; Misioneve Paqeruajtëse; Frankofonisë; ANEA-s; UNIDO-s; UNESCO; Këshilli i Evropës, NATO-s; OSBE-së etj.</w:t>
      </w:r>
      <w:bookmarkStart w:id="224" w:name="_Toc515271231"/>
      <w:bookmarkEnd w:id="224"/>
    </w:p>
    <w:p w:rsidR="00601D83" w:rsidRPr="00601D83" w:rsidRDefault="00601D83" w:rsidP="009647C4">
      <w:pPr>
        <w:ind w:left="720"/>
        <w:jc w:val="both"/>
        <w:rPr>
          <w:rFonts w:asciiTheme="minorHAnsi" w:hAnsiTheme="minorHAnsi"/>
          <w:sz w:val="16"/>
          <w:lang w:val="sq-AL"/>
        </w:rPr>
      </w:pPr>
    </w:p>
    <w:p w:rsidR="00601D83" w:rsidRPr="00601D83" w:rsidRDefault="00601D83" w:rsidP="009647C4">
      <w:pPr>
        <w:jc w:val="both"/>
        <w:rPr>
          <w:rFonts w:asciiTheme="minorHAnsi" w:hAnsiTheme="minorHAnsi"/>
          <w:noProof/>
          <w:lang w:val="sq-AL"/>
        </w:rPr>
      </w:pPr>
      <w:r w:rsidRPr="00601D83">
        <w:rPr>
          <w:rFonts w:asciiTheme="minorHAnsi" w:hAnsiTheme="minorHAnsi"/>
          <w:noProof/>
          <w:lang w:val="sq-AL"/>
        </w:rPr>
        <w:t>Programi “</w:t>
      </w:r>
      <w:r w:rsidRPr="00601D83">
        <w:rPr>
          <w:rFonts w:asciiTheme="minorHAnsi" w:hAnsiTheme="minorHAnsi"/>
          <w:b/>
          <w:noProof/>
          <w:lang w:val="sq-AL"/>
        </w:rPr>
        <w:t>Aktiviteti diplomatik dhe konsullor</w:t>
      </w:r>
      <w:r w:rsidRPr="00601D83">
        <w:rPr>
          <w:rFonts w:asciiTheme="minorHAnsi" w:hAnsiTheme="minorHAnsi"/>
          <w:noProof/>
          <w:lang w:val="sq-AL"/>
        </w:rPr>
        <w:t xml:space="preserve">” ka për qëllim: </w:t>
      </w:r>
    </w:p>
    <w:p w:rsidR="00601D83" w:rsidRPr="00601D83" w:rsidRDefault="00601D83" w:rsidP="009647C4">
      <w:pPr>
        <w:jc w:val="both"/>
        <w:rPr>
          <w:rFonts w:asciiTheme="minorHAnsi" w:hAnsiTheme="minorHAnsi"/>
          <w:lang w:val="sq-AL"/>
        </w:rPr>
      </w:pPr>
      <w:r w:rsidRPr="00601D83">
        <w:rPr>
          <w:rFonts w:asciiTheme="minorHAnsi" w:hAnsiTheme="minorHAnsi"/>
          <w:lang w:val="sq-AL"/>
        </w:rPr>
        <w:t>zgjerimi, intensifikimi, diversifikimi dhe pasurimi i marrëdhënieve dypalëshe me vendet fqinje, partnerët strategjik, vendet e Rajonit dhe Evropës dhe vende e tjera të botës, për të mbështetur mirëkuptimit dhe të respektit të ndërsjellët midis kombeve, respektimit të lirive dhe të drejtave themelore të njeriut, fqinjësisë së mirë, bashkëpunimit rajonal, dhe solidaritetit ndërkombëtar.</w:t>
      </w:r>
      <w:r>
        <w:rPr>
          <w:rFonts w:asciiTheme="minorHAnsi" w:hAnsiTheme="minorHAnsi"/>
          <w:lang w:val="sq-AL"/>
        </w:rPr>
        <w:t xml:space="preserve"> </w:t>
      </w:r>
      <w:r w:rsidRPr="00601D83">
        <w:rPr>
          <w:rFonts w:asciiTheme="minorHAnsi" w:hAnsiTheme="minorHAnsi"/>
          <w:lang w:val="sq-AL"/>
        </w:rPr>
        <w:t xml:space="preserve">Në këtë program janë realizuar disa produkte me kosto faktike 52.3 milionë lekë, ku përmendim: </w:t>
      </w:r>
    </w:p>
    <w:p w:rsidR="00601D83" w:rsidRPr="00601D83" w:rsidRDefault="00601D83" w:rsidP="003F6B21">
      <w:pPr>
        <w:numPr>
          <w:ilvl w:val="0"/>
          <w:numId w:val="7"/>
        </w:numPr>
        <w:contextualSpacing/>
        <w:jc w:val="both"/>
        <w:rPr>
          <w:rFonts w:ascii="Calibri" w:hAnsi="Calibri"/>
          <w:i/>
          <w:lang w:val="sq-AL"/>
        </w:rPr>
      </w:pPr>
      <w:r w:rsidRPr="00601D83">
        <w:rPr>
          <w:rFonts w:ascii="Calibri" w:hAnsi="Calibri"/>
          <w:i/>
          <w:lang w:val="sq-AL"/>
        </w:rPr>
        <w:t>Janë hartuar 8 nga 24 akte ligjore dhe nënligjore të planifikuara në kuadër të intensifikimit të punës, përpjekjeve dhe koordinimit ndërinstitucional në procesin e përmbushjes së detyrimeve për hapjen e negociatave të anëtarësimit në BE.</w:t>
      </w:r>
    </w:p>
    <w:p w:rsidR="00601D83" w:rsidRPr="00601D83" w:rsidRDefault="00601D83" w:rsidP="003F6B21">
      <w:pPr>
        <w:numPr>
          <w:ilvl w:val="0"/>
          <w:numId w:val="7"/>
        </w:numPr>
        <w:contextualSpacing/>
        <w:jc w:val="both"/>
        <w:rPr>
          <w:rFonts w:ascii="Calibri" w:hAnsi="Calibri"/>
          <w:i/>
          <w:lang w:val="sq-AL"/>
        </w:rPr>
      </w:pPr>
      <w:r w:rsidRPr="00601D83">
        <w:rPr>
          <w:rFonts w:ascii="Calibri" w:hAnsi="Calibri"/>
          <w:i/>
          <w:lang w:val="sq-AL"/>
        </w:rPr>
        <w:t>Janë zhvilluar gjithashtu takime dypalëshe dhe shumëpalëshe, në kuadër të zhvillimit dhe forcimit të marrëdhënieve me partnerë strategjik, vendet e rajonit si dhe si dhe rritjen e rolit të Shqipërisë në organizatat rajonale dhe ndërkombëtare përfshirë këtu edhe në Këshillin e Sigurimit në OKB me një peridicitet 1-3 herë në muaj.</w:t>
      </w:r>
    </w:p>
    <w:p w:rsidR="00601D83" w:rsidRPr="00601D83" w:rsidRDefault="00601D83" w:rsidP="009647C4">
      <w:pPr>
        <w:spacing w:before="240" w:after="200"/>
        <w:contextualSpacing/>
        <w:jc w:val="both"/>
        <w:rPr>
          <w:rFonts w:asciiTheme="minorHAnsi" w:hAnsiTheme="minorHAnsi"/>
          <w:lang w:val="sq-AL"/>
        </w:rPr>
      </w:pPr>
      <w:r w:rsidRPr="00601D83">
        <w:rPr>
          <w:rFonts w:asciiTheme="minorHAnsi" w:hAnsiTheme="minorHAnsi"/>
          <w:lang w:val="sq-AL"/>
        </w:rPr>
        <w:lastRenderedPageBreak/>
        <w:t>Programi “</w:t>
      </w:r>
      <w:r w:rsidRPr="00601D83">
        <w:rPr>
          <w:rFonts w:asciiTheme="minorHAnsi" w:hAnsiTheme="minorHAnsi"/>
          <w:b/>
          <w:noProof/>
          <w:lang w:val="sq-AL"/>
        </w:rPr>
        <w:t xml:space="preserve">Mbështetje institucionale për procesin e Integrimit” </w:t>
      </w:r>
      <w:r w:rsidRPr="00601D83">
        <w:rPr>
          <w:rFonts w:asciiTheme="minorHAnsi" w:hAnsiTheme="minorHAnsi"/>
          <w:lang w:val="sq-AL"/>
        </w:rPr>
        <w:t>synon mbështetjen e procesit të anëtarësimit të Shqipërisë në Bashkimin Evropian, nëpërmjet bashkërendimit, monitorimit dhe raportimit të zbatimit të Marrëveshjes së Stabilizim-Asociimit, përafrimit të legjislacionit vendas me atë të BE-së, menaxhimit të fondeve të BE-së, zhvillimit të negociatave të anëtarësimit të RSH në BE. Në përmbushje të synimit janë kryer disa aktivitete, me një kosto faktike  33.3 milionë lekë, ndër to përmendim:</w:t>
      </w:r>
    </w:p>
    <w:p w:rsidR="00601D83" w:rsidRPr="00601D83" w:rsidRDefault="00601D83" w:rsidP="003F6B21">
      <w:pPr>
        <w:numPr>
          <w:ilvl w:val="0"/>
          <w:numId w:val="7"/>
        </w:numPr>
        <w:contextualSpacing/>
        <w:jc w:val="both"/>
        <w:rPr>
          <w:rFonts w:ascii="Calibri" w:hAnsi="Calibri"/>
          <w:i/>
          <w:lang w:val="sq-AL"/>
        </w:rPr>
      </w:pPr>
      <w:r w:rsidRPr="00601D83">
        <w:rPr>
          <w:rFonts w:ascii="Calibri" w:hAnsi="Calibri"/>
          <w:i/>
          <w:lang w:val="sq-AL"/>
        </w:rPr>
        <w:t>2 takime të institucioneve të përbashkëta Shqipëri – Bashkimi Evropian ngritur në kuadër të Marrëveshjes së Stabilizim-Asociimit.</w:t>
      </w:r>
    </w:p>
    <w:p w:rsidR="00601D83" w:rsidRPr="00601D83" w:rsidRDefault="00601D83" w:rsidP="003F6B21">
      <w:pPr>
        <w:numPr>
          <w:ilvl w:val="0"/>
          <w:numId w:val="7"/>
        </w:numPr>
        <w:contextualSpacing/>
        <w:jc w:val="both"/>
        <w:rPr>
          <w:rFonts w:ascii="Calibri" w:hAnsi="Calibri"/>
          <w:i/>
          <w:lang w:val="sq-AL"/>
        </w:rPr>
      </w:pPr>
      <w:r w:rsidRPr="00601D83">
        <w:rPr>
          <w:rFonts w:ascii="Calibri" w:hAnsi="Calibri"/>
          <w:i/>
          <w:lang w:val="sq-AL"/>
        </w:rPr>
        <w:t>U zhvillua takimi i Nën Komitetit Inovacionit, Shqipëria e Informacionit dhe Politikat Sociale, në 27 Janar 2022.</w:t>
      </w:r>
    </w:p>
    <w:p w:rsidR="00601D83" w:rsidRPr="00601D83" w:rsidRDefault="00601D83" w:rsidP="003F6B21">
      <w:pPr>
        <w:numPr>
          <w:ilvl w:val="0"/>
          <w:numId w:val="7"/>
        </w:numPr>
        <w:contextualSpacing/>
        <w:jc w:val="both"/>
        <w:rPr>
          <w:rFonts w:ascii="Calibri" w:hAnsi="Calibri"/>
          <w:i/>
          <w:lang w:val="sq-AL"/>
        </w:rPr>
      </w:pPr>
      <w:r w:rsidRPr="00601D83">
        <w:rPr>
          <w:rFonts w:ascii="Calibri" w:hAnsi="Calibri"/>
          <w:i/>
          <w:lang w:val="sq-AL"/>
        </w:rPr>
        <w:t>U hartua kontributi i parë i qeverisë shqiptare në raportin e Komisionit 2022 dhe iu paraqit shërbimeve në Komisionit Evropian.</w:t>
      </w:r>
    </w:p>
    <w:p w:rsidR="009640B4" w:rsidRPr="00601D83" w:rsidRDefault="009640B4" w:rsidP="009647C4">
      <w:pPr>
        <w:jc w:val="both"/>
        <w:rPr>
          <w:rFonts w:asciiTheme="minorHAnsi" w:hAnsiTheme="minorHAnsi"/>
          <w:bCs/>
          <w:iCs/>
          <w:color w:val="00000A"/>
          <w:lang w:val="sq-AL"/>
        </w:rPr>
      </w:pPr>
    </w:p>
    <w:p w:rsidR="008F0207" w:rsidRDefault="008F0207" w:rsidP="009647C4">
      <w:pPr>
        <w:ind w:left="720"/>
        <w:jc w:val="both"/>
        <w:rPr>
          <w:rFonts w:asciiTheme="minorHAnsi" w:hAnsiTheme="minorHAnsi"/>
          <w:bCs/>
          <w:iCs/>
          <w:color w:val="00000A"/>
          <w:lang w:val="sq-AL"/>
        </w:rPr>
      </w:pPr>
    </w:p>
    <w:p w:rsidR="00150012" w:rsidRPr="00FA4974" w:rsidRDefault="00150012" w:rsidP="00FA4974">
      <w:pPr>
        <w:pStyle w:val="Heading2"/>
        <w:numPr>
          <w:ilvl w:val="0"/>
          <w:numId w:val="58"/>
        </w:numPr>
        <w:ind w:left="360"/>
        <w:rPr>
          <w:sz w:val="26"/>
          <w:szCs w:val="26"/>
        </w:rPr>
      </w:pPr>
      <w:bookmarkStart w:id="225" w:name="_Toc107497010"/>
      <w:r w:rsidRPr="00FA4974">
        <w:rPr>
          <w:sz w:val="26"/>
          <w:szCs w:val="26"/>
        </w:rPr>
        <w:t>Ecuria e detajuar e projekteve t</w:t>
      </w:r>
      <w:r w:rsidR="000E73FC" w:rsidRPr="00FA4974">
        <w:rPr>
          <w:sz w:val="26"/>
          <w:szCs w:val="26"/>
        </w:rPr>
        <w:t>ë</w:t>
      </w:r>
      <w:r w:rsidRPr="00FA4974">
        <w:rPr>
          <w:sz w:val="26"/>
          <w:szCs w:val="26"/>
        </w:rPr>
        <w:t xml:space="preserve"> </w:t>
      </w:r>
      <w:r w:rsidR="00176D77" w:rsidRPr="00FA4974">
        <w:rPr>
          <w:sz w:val="26"/>
          <w:szCs w:val="26"/>
        </w:rPr>
        <w:t>investimeve publike, gjatë J</w:t>
      </w:r>
      <w:r w:rsidRPr="00FA4974">
        <w:rPr>
          <w:sz w:val="26"/>
          <w:szCs w:val="26"/>
        </w:rPr>
        <w:t>anar-</w:t>
      </w:r>
      <w:r w:rsidR="00176D77" w:rsidRPr="00FA4974">
        <w:rPr>
          <w:sz w:val="26"/>
          <w:szCs w:val="26"/>
        </w:rPr>
        <w:t>M</w:t>
      </w:r>
      <w:r w:rsidRPr="00FA4974">
        <w:rPr>
          <w:sz w:val="26"/>
          <w:szCs w:val="26"/>
        </w:rPr>
        <w:t>aj 20</w:t>
      </w:r>
      <w:r w:rsidR="000909B0" w:rsidRPr="00FA4974">
        <w:rPr>
          <w:sz w:val="26"/>
          <w:szCs w:val="26"/>
        </w:rPr>
        <w:t>2</w:t>
      </w:r>
      <w:r w:rsidR="00565BEB" w:rsidRPr="00FA4974">
        <w:rPr>
          <w:sz w:val="26"/>
          <w:szCs w:val="26"/>
        </w:rPr>
        <w:t>2</w:t>
      </w:r>
      <w:bookmarkEnd w:id="225"/>
    </w:p>
    <w:p w:rsidR="00E0196D" w:rsidRDefault="00E504CD" w:rsidP="009647C4">
      <w:pPr>
        <w:jc w:val="both"/>
        <w:rPr>
          <w:rFonts w:asciiTheme="minorHAnsi" w:hAnsiTheme="minorHAnsi"/>
          <w:lang w:val="sq-AL"/>
        </w:rPr>
      </w:pPr>
      <w:r w:rsidRPr="0070086A">
        <w:rPr>
          <w:rFonts w:asciiTheme="minorHAnsi" w:hAnsiTheme="minorHAnsi"/>
          <w:bCs/>
          <w:lang w:val="sq-AL"/>
        </w:rPr>
        <w:t xml:space="preserve">Ecuria e investimeve publike për 5-mujorin e parë të vitit 2022 paraqitet më e ulët krahasuar me vitet e mëparshme për të njëjtën periudhë raportimi. Realizimi i ulët është i lidhur me faktorë të jashtëm dhe të brendshëm si rritja e çmimeve të materialeve të ndërtimit, dhe inputeve të tjera të prodhimit, kujdesin e treguar kundrejt </w:t>
      </w:r>
      <w:r w:rsidRPr="0070086A">
        <w:rPr>
          <w:rFonts w:asciiTheme="minorHAnsi" w:hAnsiTheme="minorHAnsi"/>
          <w:lang w:val="sq-AL"/>
        </w:rPr>
        <w:t xml:space="preserve">goditjeve të papritura që mund të sjellin çmimet e energjisë, vonesa në procedurat tenderuese për projektet e reja etj. </w:t>
      </w:r>
    </w:p>
    <w:p w:rsidR="00E0196D" w:rsidRPr="00E0196D" w:rsidRDefault="00E0196D" w:rsidP="009647C4">
      <w:pPr>
        <w:jc w:val="both"/>
        <w:rPr>
          <w:rFonts w:asciiTheme="minorHAnsi" w:hAnsiTheme="minorHAnsi"/>
          <w:sz w:val="8"/>
          <w:szCs w:val="8"/>
          <w:lang w:val="sq-AL"/>
        </w:rPr>
      </w:pPr>
    </w:p>
    <w:p w:rsidR="00E504CD" w:rsidRDefault="00E504CD" w:rsidP="009647C4">
      <w:pPr>
        <w:jc w:val="both"/>
        <w:rPr>
          <w:rFonts w:asciiTheme="minorHAnsi" w:hAnsiTheme="minorHAnsi"/>
          <w:bCs/>
          <w:lang w:val="sq-AL"/>
        </w:rPr>
      </w:pPr>
      <w:r w:rsidRPr="0070086A">
        <w:rPr>
          <w:rFonts w:asciiTheme="minorHAnsi" w:hAnsiTheme="minorHAnsi"/>
          <w:bCs/>
          <w:lang w:val="sq-AL"/>
        </w:rPr>
        <w:t>Nga ministritë e linjës pavarësisht realizimit të deritanishëm</w:t>
      </w:r>
      <w:r>
        <w:rPr>
          <w:rFonts w:asciiTheme="minorHAnsi" w:hAnsiTheme="minorHAnsi"/>
          <w:bCs/>
          <w:lang w:val="sq-AL"/>
        </w:rPr>
        <w:t>,</w:t>
      </w:r>
      <w:r w:rsidRPr="0070086A">
        <w:rPr>
          <w:rFonts w:asciiTheme="minorHAnsi" w:hAnsiTheme="minorHAnsi"/>
          <w:bCs/>
          <w:lang w:val="sq-AL"/>
        </w:rPr>
        <w:t xml:space="preserve"> është raportuar se deri në fund të vitit do të kryhen të gjitha procedurat e prokurimit dhe do të vijohet normalisht me realizimin e fondeve për projektet e investimeve. Deri në fund të muajit Maj 2022 janë raportuar disa kontrata për projekte investimi të përfunduara. Ndërkohë, po vijohet me zbatimin e kontratave për projektet e investimeve të parashikuara për vitin 2022. Numri më i lartë i kontratave për projektet e investimit të përfunduara i takon </w:t>
      </w:r>
      <w:r w:rsidR="00E0196D">
        <w:rPr>
          <w:rFonts w:asciiTheme="minorHAnsi" w:hAnsiTheme="minorHAnsi"/>
          <w:bCs/>
          <w:lang w:val="sq-AL"/>
        </w:rPr>
        <w:t>MIE</w:t>
      </w:r>
      <w:r w:rsidRPr="0070086A">
        <w:rPr>
          <w:rFonts w:asciiTheme="minorHAnsi" w:hAnsiTheme="minorHAnsi"/>
          <w:bCs/>
          <w:lang w:val="sq-AL"/>
        </w:rPr>
        <w:t xml:space="preserve"> dhe konkretisht projektet në Infrastrukturë. </w:t>
      </w:r>
    </w:p>
    <w:p w:rsidR="00E504CD" w:rsidRPr="00E504CD" w:rsidRDefault="00E504CD" w:rsidP="009647C4">
      <w:pPr>
        <w:jc w:val="both"/>
        <w:rPr>
          <w:rFonts w:asciiTheme="minorHAnsi" w:hAnsiTheme="minorHAnsi"/>
          <w:bCs/>
          <w:sz w:val="8"/>
          <w:szCs w:val="8"/>
          <w:lang w:val="sq-AL"/>
        </w:rPr>
      </w:pPr>
    </w:p>
    <w:p w:rsidR="009640B4" w:rsidRDefault="00E504CD" w:rsidP="009647C4">
      <w:pPr>
        <w:jc w:val="both"/>
        <w:rPr>
          <w:rFonts w:asciiTheme="minorHAnsi" w:hAnsiTheme="minorHAnsi"/>
          <w:bCs/>
          <w:lang w:val="sq-AL"/>
        </w:rPr>
      </w:pPr>
      <w:r>
        <w:rPr>
          <w:rFonts w:asciiTheme="minorHAnsi" w:hAnsiTheme="minorHAnsi"/>
          <w:bCs/>
          <w:lang w:val="sq-AL"/>
        </w:rPr>
        <w:t>Më</w:t>
      </w:r>
      <w:r w:rsidRPr="0070086A">
        <w:rPr>
          <w:rFonts w:asciiTheme="minorHAnsi" w:hAnsiTheme="minorHAnsi"/>
          <w:bCs/>
          <w:lang w:val="sq-AL"/>
        </w:rPr>
        <w:t>poshtë paraqitet shkurtimisht projektet kryesore të financuara deri në fund të muajit Maj  dhe projektet kryesore të përfunduara nga ministritë e linjës</w:t>
      </w:r>
      <w:r w:rsidR="009640B4" w:rsidRPr="005678D0">
        <w:rPr>
          <w:rFonts w:asciiTheme="minorHAnsi" w:hAnsiTheme="minorHAnsi"/>
          <w:bCs/>
          <w:lang w:val="sq-AL"/>
        </w:rPr>
        <w:t>.</w:t>
      </w:r>
    </w:p>
    <w:p w:rsidR="00E0196D" w:rsidRPr="00E0196D" w:rsidRDefault="00E0196D" w:rsidP="006F25E7">
      <w:pPr>
        <w:spacing w:line="276" w:lineRule="auto"/>
        <w:jc w:val="both"/>
        <w:rPr>
          <w:rFonts w:asciiTheme="minorHAnsi" w:hAnsiTheme="minorHAnsi"/>
          <w:bCs/>
          <w:sz w:val="12"/>
          <w:lang w:val="sq-AL"/>
        </w:rPr>
      </w:pPr>
    </w:p>
    <w:p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Bujqësisë dhe Zhvillimit Rural</w:t>
      </w:r>
    </w:p>
    <w:p w:rsidR="00E0196D" w:rsidRPr="00E0196D" w:rsidRDefault="00E0196D" w:rsidP="003F6B21">
      <w:pPr>
        <w:pStyle w:val="ListParagraph"/>
        <w:numPr>
          <w:ilvl w:val="0"/>
          <w:numId w:val="43"/>
        </w:numPr>
        <w:ind w:left="360"/>
        <w:jc w:val="both"/>
        <w:rPr>
          <w:rFonts w:asciiTheme="minorHAnsi" w:hAnsiTheme="minorHAnsi"/>
          <w:bCs/>
          <w:iCs/>
          <w:lang w:val="sq-AL"/>
        </w:rPr>
      </w:pPr>
      <w:r w:rsidRPr="00E0196D">
        <w:rPr>
          <w:rFonts w:asciiTheme="minorHAnsi" w:eastAsiaTheme="minorHAnsi" w:hAnsiTheme="minorHAnsi"/>
          <w:lang w:val="sq-AL"/>
        </w:rPr>
        <w:t>P</w:t>
      </w:r>
      <w:r w:rsidRPr="00E0196D">
        <w:rPr>
          <w:rFonts w:asciiTheme="minorHAnsi" w:hAnsiTheme="minorHAnsi"/>
          <w:lang w:val="sq-AL"/>
        </w:rPr>
        <w:t>ër projektet me financim të brendshëm, realizimi për 5mujorin 2022 është 17.8% e buxhetit fillestar realizuar ne masën 492.7 milionë lekë</w:t>
      </w:r>
      <w:r w:rsidRPr="00E0196D">
        <w:rPr>
          <w:rFonts w:asciiTheme="minorHAnsi" w:hAnsiTheme="minorHAnsi"/>
          <w:bCs/>
          <w:iCs/>
          <w:lang w:val="sq-AL"/>
        </w:rPr>
        <w:t xml:space="preserve"> dhe 19.3 % referuar AN nr.3/2022. </w:t>
      </w:r>
    </w:p>
    <w:p w:rsidR="00E0196D" w:rsidRPr="00E0196D" w:rsidRDefault="00E0196D" w:rsidP="003F6B21">
      <w:pPr>
        <w:pStyle w:val="ListParagraph"/>
        <w:numPr>
          <w:ilvl w:val="0"/>
          <w:numId w:val="43"/>
        </w:numPr>
        <w:ind w:left="360"/>
        <w:jc w:val="both"/>
        <w:rPr>
          <w:rFonts w:asciiTheme="minorHAnsi" w:hAnsiTheme="minorHAnsi"/>
          <w:lang w:val="sq-AL"/>
        </w:rPr>
      </w:pPr>
      <w:r w:rsidRPr="00E0196D">
        <w:rPr>
          <w:rFonts w:asciiTheme="minorHAnsi" w:hAnsiTheme="minorHAnsi"/>
          <w:lang w:val="sq-AL"/>
        </w:rPr>
        <w:t>Për projektet me financim të huaj realizimi për 5-mujorin e vitit 2022 është 20.9 % e buxhetit fillestar realizuar në masën 662 milionë lekë</w:t>
      </w:r>
      <w:r w:rsidRPr="00E0196D">
        <w:rPr>
          <w:rFonts w:asciiTheme="minorHAnsi" w:hAnsiTheme="minorHAnsi"/>
          <w:bCs/>
          <w:iCs/>
          <w:lang w:val="sq-AL"/>
        </w:rPr>
        <w:t xml:space="preserve"> dhe 23.1% të planit të ndryshuar me AN nr.3/2022.</w:t>
      </w:r>
      <w:r w:rsidRPr="00E0196D">
        <w:rPr>
          <w:rFonts w:asciiTheme="minorHAnsi" w:hAnsiTheme="minorHAnsi"/>
          <w:lang w:val="sq-AL"/>
        </w:rPr>
        <w:t xml:space="preserve"> </w:t>
      </w:r>
    </w:p>
    <w:p w:rsidR="00E0196D" w:rsidRPr="00E0196D" w:rsidRDefault="00E0196D" w:rsidP="003F6B21">
      <w:pPr>
        <w:pStyle w:val="ListParagraph"/>
        <w:numPr>
          <w:ilvl w:val="0"/>
          <w:numId w:val="43"/>
        </w:numPr>
        <w:ind w:left="360"/>
        <w:jc w:val="both"/>
        <w:rPr>
          <w:rFonts w:asciiTheme="minorHAnsi" w:hAnsiTheme="minorHAnsi"/>
          <w:lang w:val="sq-AL"/>
        </w:rPr>
      </w:pPr>
      <w:r w:rsidRPr="00E0196D">
        <w:rPr>
          <w:rFonts w:asciiTheme="minorHAnsi" w:hAnsiTheme="minorHAnsi"/>
          <w:lang w:val="sq-AL"/>
        </w:rPr>
        <w:t>Kjo ministri nuk ka raportuar për problematika të cilat do të ndikojnë në realizimin e projekteve të investimeve. Procedurat e prokurimit janë në proces dhe në vijim do të realizohen edhe shpenzimet për projektet e investimeve.</w:t>
      </w:r>
    </w:p>
    <w:p w:rsidR="00E0196D" w:rsidRPr="00E0196D" w:rsidRDefault="00E0196D" w:rsidP="003F6B21">
      <w:pPr>
        <w:pStyle w:val="ListParagraph"/>
        <w:numPr>
          <w:ilvl w:val="0"/>
          <w:numId w:val="43"/>
        </w:numPr>
        <w:ind w:left="360"/>
        <w:jc w:val="both"/>
        <w:rPr>
          <w:rFonts w:asciiTheme="minorHAnsi" w:hAnsiTheme="minorHAnsi"/>
          <w:lang w:val="sq-AL"/>
        </w:rPr>
      </w:pPr>
      <w:r w:rsidRPr="00E0196D">
        <w:rPr>
          <w:rFonts w:asciiTheme="minorHAnsi" w:hAnsiTheme="minorHAnsi"/>
          <w:lang w:val="sq-AL"/>
        </w:rPr>
        <w:t xml:space="preserve">Programet me realizimin më të mirë përsa i përket projekteve me financim te brendshëm </w:t>
      </w:r>
      <w:r>
        <w:rPr>
          <w:rFonts w:asciiTheme="minorHAnsi" w:hAnsiTheme="minorHAnsi"/>
          <w:lang w:val="sq-AL"/>
        </w:rPr>
        <w:t>jan</w:t>
      </w:r>
      <w:r w:rsidR="009647C4">
        <w:rPr>
          <w:rFonts w:asciiTheme="minorHAnsi" w:hAnsiTheme="minorHAnsi"/>
          <w:lang w:val="sq-AL"/>
        </w:rPr>
        <w:t>ë</w:t>
      </w:r>
      <w:r>
        <w:rPr>
          <w:rFonts w:asciiTheme="minorHAnsi" w:hAnsiTheme="minorHAnsi"/>
          <w:lang w:val="sq-AL"/>
        </w:rPr>
        <w:t>:</w:t>
      </w:r>
      <w:r w:rsidRPr="00E0196D">
        <w:rPr>
          <w:rFonts w:asciiTheme="minorHAnsi" w:hAnsiTheme="minorHAnsi"/>
          <w:lang w:val="sq-AL"/>
        </w:rPr>
        <w:t xml:space="preserve"> “Zhvillimi Rural duke mbesht. Prodh. Bujq, Blek, Agroind dhe Market.” realizuar 25.6% kundrejt planit prej 946 milionë lekë dhe “Menaxhimi i infrastruktures se kullimit dhe ujitjes” realizuar 20% kundrejt planit  993 milionë  lekë.</w:t>
      </w:r>
    </w:p>
    <w:p w:rsidR="00E0196D" w:rsidRPr="00E0196D" w:rsidRDefault="00E0196D" w:rsidP="003F6B21">
      <w:pPr>
        <w:pStyle w:val="ListParagraph"/>
        <w:numPr>
          <w:ilvl w:val="0"/>
          <w:numId w:val="43"/>
        </w:numPr>
        <w:ind w:left="360"/>
        <w:jc w:val="both"/>
        <w:rPr>
          <w:rFonts w:asciiTheme="minorHAnsi" w:hAnsiTheme="minorHAnsi"/>
          <w:lang w:val="sq-AL"/>
        </w:rPr>
      </w:pPr>
      <w:r w:rsidRPr="00E0196D">
        <w:rPr>
          <w:rFonts w:asciiTheme="minorHAnsi" w:hAnsiTheme="minorHAnsi"/>
          <w:lang w:val="sq-AL"/>
        </w:rPr>
        <w:t xml:space="preserve">Programet me realizimin më të mirë përsa i përket projekteve me financim te huaj </w:t>
      </w:r>
      <w:r>
        <w:rPr>
          <w:rFonts w:asciiTheme="minorHAnsi" w:hAnsiTheme="minorHAnsi"/>
          <w:lang w:val="sq-AL"/>
        </w:rPr>
        <w:t>jan</w:t>
      </w:r>
      <w:r w:rsidR="009647C4">
        <w:rPr>
          <w:rFonts w:asciiTheme="minorHAnsi" w:hAnsiTheme="minorHAnsi"/>
          <w:lang w:val="sq-AL"/>
        </w:rPr>
        <w:t>ë</w:t>
      </w:r>
      <w:r>
        <w:rPr>
          <w:rFonts w:asciiTheme="minorHAnsi" w:hAnsiTheme="minorHAnsi"/>
          <w:lang w:val="sq-AL"/>
        </w:rPr>
        <w:t xml:space="preserve">: </w:t>
      </w:r>
      <w:r w:rsidRPr="00E0196D">
        <w:rPr>
          <w:rFonts w:asciiTheme="minorHAnsi" w:hAnsiTheme="minorHAnsi"/>
          <w:lang w:val="sq-AL"/>
        </w:rPr>
        <w:t>“Zhvillimi Rural duke mbesht. Prodh. Bujq, Blek, Agroind dhe Market.” realizuar 23.4% kundrejt planit prej 2,413 milionë lekë dhe “Siguria Ushqimore dhe Mbrojtja e Konsumatorit” realizuar 24.9% kundrejt planit 388 milionë  lekë.</w:t>
      </w:r>
    </w:p>
    <w:p w:rsidR="00E0196D" w:rsidRPr="00E0196D" w:rsidRDefault="00E0196D" w:rsidP="003F6B21">
      <w:pPr>
        <w:pStyle w:val="ListParagraph"/>
        <w:numPr>
          <w:ilvl w:val="0"/>
          <w:numId w:val="43"/>
        </w:numPr>
        <w:ind w:left="360"/>
        <w:jc w:val="both"/>
        <w:rPr>
          <w:rFonts w:asciiTheme="minorHAnsi" w:eastAsia="MS Mincho" w:hAnsiTheme="minorHAnsi"/>
          <w:lang w:val="sq-AL"/>
        </w:rPr>
      </w:pPr>
      <w:r w:rsidRPr="00E0196D">
        <w:rPr>
          <w:rFonts w:asciiTheme="minorHAnsi" w:eastAsia="MS Mincho" w:hAnsiTheme="minorHAnsi"/>
          <w:lang w:val="sq-AL"/>
        </w:rPr>
        <w:t xml:space="preserve">Projektet kryesore të cilat kanë kontribuar në realizimin e investimeve </w:t>
      </w:r>
      <w:r>
        <w:rPr>
          <w:rFonts w:asciiTheme="minorHAnsi" w:eastAsia="MS Mincho" w:hAnsiTheme="minorHAnsi"/>
          <w:lang w:val="sq-AL"/>
        </w:rPr>
        <w:t>për 5</w:t>
      </w:r>
      <w:r w:rsidRPr="00E0196D">
        <w:rPr>
          <w:rFonts w:asciiTheme="minorHAnsi" w:eastAsia="MS Mincho" w:hAnsiTheme="minorHAnsi"/>
          <w:lang w:val="sq-AL"/>
        </w:rPr>
        <w:t xml:space="preserve">mujorin </w:t>
      </w:r>
      <w:r>
        <w:rPr>
          <w:rFonts w:asciiTheme="minorHAnsi" w:eastAsia="MS Mincho" w:hAnsiTheme="minorHAnsi"/>
          <w:lang w:val="sq-AL"/>
        </w:rPr>
        <w:t xml:space="preserve">2022 </w:t>
      </w:r>
      <w:r w:rsidRPr="00E0196D">
        <w:rPr>
          <w:rFonts w:asciiTheme="minorHAnsi" w:eastAsia="MS Mincho" w:hAnsiTheme="minorHAnsi"/>
          <w:lang w:val="sq-AL"/>
        </w:rPr>
        <w:t>paraqiten si vijon:</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lastRenderedPageBreak/>
        <w:t>Përfitues nga Programi IPARD II nga masa 1 në vlerën 148 milionë lekë;</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Kosto Lokale "Fond garancie I Qeverise Shqiptare per projektin "Krijimi dhe lehtësimi i mbështetjes së agrobiznesit" (BERZH) në vlerën 75.7 milionë lekë;</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Rikonstruksion i Argjinatures se Selevecit,Vlore në vlerën 63.6 milionë lekë;</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Mbrojtje nga permbytja nga lumi Osum ne Uznove, Berat në vlerën 36 milionë lekë;</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Rehabilitim hidrovorit te Karavastase në vlerën 36 milionë lekë;</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Rikonstruksion I ISUV në vlerën 30 milionë lekë.</w:t>
      </w:r>
    </w:p>
    <w:p w:rsidR="00E0196D" w:rsidRPr="00E0196D" w:rsidRDefault="00E0196D" w:rsidP="009647C4">
      <w:pPr>
        <w:pStyle w:val="ListParagraph"/>
        <w:jc w:val="both"/>
        <w:rPr>
          <w:rFonts w:asciiTheme="minorHAnsi" w:eastAsia="MS Mincho" w:hAnsiTheme="minorHAnsi"/>
          <w:sz w:val="8"/>
          <w:szCs w:val="8"/>
          <w:lang w:val="sq-AL"/>
        </w:rPr>
      </w:pPr>
    </w:p>
    <w:p w:rsidR="00E0196D" w:rsidRPr="00E0196D" w:rsidRDefault="00E0196D" w:rsidP="003F6B21">
      <w:pPr>
        <w:pStyle w:val="ListParagraph"/>
        <w:numPr>
          <w:ilvl w:val="0"/>
          <w:numId w:val="43"/>
        </w:numPr>
        <w:ind w:left="360"/>
        <w:jc w:val="both"/>
        <w:rPr>
          <w:rFonts w:asciiTheme="minorHAnsi" w:eastAsia="MS Mincho" w:hAnsiTheme="minorHAnsi"/>
          <w:lang w:val="sq-AL"/>
        </w:rPr>
      </w:pPr>
      <w:r>
        <w:rPr>
          <w:rFonts w:asciiTheme="minorHAnsi" w:eastAsia="MS Mincho" w:hAnsiTheme="minorHAnsi"/>
          <w:lang w:val="sq-AL"/>
        </w:rPr>
        <w:t>P</w:t>
      </w:r>
      <w:r w:rsidRPr="00E0196D">
        <w:rPr>
          <w:rFonts w:asciiTheme="minorHAnsi" w:eastAsia="MS Mincho" w:hAnsiTheme="minorHAnsi"/>
          <w:lang w:val="sq-AL"/>
        </w:rPr>
        <w:t xml:space="preserve">ër periudhën 5mujore të vitit 2022 </w:t>
      </w:r>
      <w:r w:rsidR="009647C4">
        <w:rPr>
          <w:rFonts w:asciiTheme="minorHAnsi" w:eastAsia="MS Mincho" w:hAnsiTheme="minorHAnsi"/>
          <w:lang w:val="sq-AL"/>
        </w:rPr>
        <w:t>ë</w:t>
      </w:r>
      <w:r>
        <w:rPr>
          <w:rFonts w:asciiTheme="minorHAnsi" w:eastAsia="MS Mincho" w:hAnsiTheme="minorHAnsi"/>
          <w:lang w:val="sq-AL"/>
        </w:rPr>
        <w:t>sht</w:t>
      </w:r>
      <w:r w:rsidR="009647C4">
        <w:rPr>
          <w:rFonts w:asciiTheme="minorHAnsi" w:eastAsia="MS Mincho" w:hAnsiTheme="minorHAnsi"/>
          <w:lang w:val="sq-AL"/>
        </w:rPr>
        <w:t>ë</w:t>
      </w:r>
      <w:r>
        <w:rPr>
          <w:rFonts w:asciiTheme="minorHAnsi" w:eastAsia="MS Mincho" w:hAnsiTheme="minorHAnsi"/>
          <w:lang w:val="sq-AL"/>
        </w:rPr>
        <w:t xml:space="preserve"> mbyllur kontrata </w:t>
      </w:r>
      <w:r w:rsidRPr="00E0196D">
        <w:rPr>
          <w:rFonts w:asciiTheme="minorHAnsi" w:eastAsia="MS Mincho" w:hAnsiTheme="minorHAnsi"/>
          <w:lang w:val="sq-AL"/>
        </w:rPr>
        <w:t xml:space="preserve">për </w:t>
      </w:r>
      <w:r>
        <w:rPr>
          <w:rFonts w:asciiTheme="minorHAnsi" w:eastAsia="MS Mincho" w:hAnsiTheme="minorHAnsi"/>
          <w:lang w:val="sq-AL"/>
        </w:rPr>
        <w:t>projektin</w:t>
      </w:r>
      <w:r w:rsidRPr="00E0196D">
        <w:rPr>
          <w:rFonts w:asciiTheme="minorHAnsi" w:eastAsia="MS Mincho" w:hAnsiTheme="minorHAnsi"/>
          <w:lang w:val="sq-AL"/>
        </w:rPr>
        <w:t>:</w:t>
      </w:r>
    </w:p>
    <w:p w:rsidR="00E0196D" w:rsidRPr="00E0196D" w:rsidRDefault="00E0196D" w:rsidP="003F6B21">
      <w:pPr>
        <w:pStyle w:val="ListParagraph"/>
        <w:numPr>
          <w:ilvl w:val="0"/>
          <w:numId w:val="44"/>
        </w:numPr>
        <w:jc w:val="both"/>
        <w:rPr>
          <w:rFonts w:asciiTheme="minorHAnsi" w:eastAsia="MS Mincho" w:hAnsiTheme="minorHAnsi"/>
          <w:i/>
          <w:lang w:val="sq-AL"/>
        </w:rPr>
      </w:pPr>
      <w:r w:rsidRPr="00E0196D">
        <w:rPr>
          <w:rFonts w:asciiTheme="minorHAnsi" w:eastAsia="MS Mincho" w:hAnsiTheme="minorHAnsi"/>
          <w:i/>
          <w:lang w:val="sq-AL"/>
        </w:rPr>
        <w:t>“Mbrojtje nga permbytja nga lumi Osum ne Uznove, Berat” me vlerë totale projekti 52 milionë lekë;</w:t>
      </w:r>
    </w:p>
    <w:p w:rsidR="009640B4" w:rsidRPr="005678D0" w:rsidRDefault="009640B4" w:rsidP="006F25E7">
      <w:pPr>
        <w:pStyle w:val="ListParagraph"/>
        <w:spacing w:before="240" w:line="276" w:lineRule="auto"/>
        <w:jc w:val="both"/>
        <w:rPr>
          <w:rFonts w:asciiTheme="minorHAnsi" w:hAnsiTheme="minorHAnsi"/>
          <w:b/>
          <w:lang w:val="sq-AL"/>
        </w:rPr>
      </w:pPr>
    </w:p>
    <w:p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Transportit dhe Infrastrukturës</w:t>
      </w:r>
    </w:p>
    <w:p w:rsidR="00E56215" w:rsidRDefault="00E56215"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w:t>
      </w:r>
      <w:r w:rsidRPr="00E56215">
        <w:rPr>
          <w:rFonts w:asciiTheme="minorHAnsi" w:eastAsiaTheme="minorHAnsi" w:hAnsiTheme="minorHAnsi"/>
          <w:lang w:val="sq-AL"/>
        </w:rPr>
        <w:t>projektet me financi</w:t>
      </w:r>
      <w:r>
        <w:rPr>
          <w:rFonts w:asciiTheme="minorHAnsi" w:eastAsiaTheme="minorHAnsi" w:hAnsiTheme="minorHAnsi"/>
          <w:lang w:val="sq-AL"/>
        </w:rPr>
        <w:t>m të brendshëm, realizimi për 5</w:t>
      </w:r>
      <w:r w:rsidRPr="00E56215">
        <w:rPr>
          <w:rFonts w:asciiTheme="minorHAnsi" w:eastAsiaTheme="minorHAnsi" w:hAnsiTheme="minorHAnsi"/>
          <w:lang w:val="sq-AL"/>
        </w:rPr>
        <w:t xml:space="preserve">mujorin 2022 është 19.7% </w:t>
      </w:r>
      <w:r>
        <w:rPr>
          <w:rFonts w:asciiTheme="minorHAnsi" w:eastAsiaTheme="minorHAnsi" w:hAnsiTheme="minorHAnsi"/>
          <w:lang w:val="sq-AL"/>
        </w:rPr>
        <w:t>e</w:t>
      </w:r>
      <w:r w:rsidRPr="00E56215">
        <w:rPr>
          <w:rFonts w:asciiTheme="minorHAnsi" w:eastAsiaTheme="minorHAnsi" w:hAnsiTheme="minorHAnsi"/>
          <w:lang w:val="sq-AL"/>
        </w:rPr>
        <w:t xml:space="preserve"> buxhetit fillestar realizuar ne masën 5,016 milionë lekë dhe 20.8% </w:t>
      </w:r>
      <w:r>
        <w:rPr>
          <w:rFonts w:asciiTheme="minorHAnsi" w:eastAsiaTheme="minorHAnsi" w:hAnsiTheme="minorHAnsi"/>
          <w:lang w:val="sq-AL"/>
        </w:rPr>
        <w:t>e</w:t>
      </w:r>
      <w:r w:rsidRPr="00E56215">
        <w:rPr>
          <w:rFonts w:asciiTheme="minorHAnsi" w:eastAsiaTheme="minorHAnsi" w:hAnsiTheme="minorHAnsi"/>
          <w:lang w:val="sq-AL"/>
        </w:rPr>
        <w:t xml:space="preserve"> planit të ndryshuar me AN nr.3</w:t>
      </w:r>
      <w:r>
        <w:rPr>
          <w:rFonts w:asciiTheme="minorHAnsi" w:eastAsiaTheme="minorHAnsi" w:hAnsiTheme="minorHAnsi"/>
          <w:lang w:val="sq-AL"/>
        </w:rPr>
        <w:t>/2022</w:t>
      </w:r>
      <w:r w:rsidRPr="00E56215">
        <w:rPr>
          <w:rFonts w:asciiTheme="minorHAnsi" w:eastAsiaTheme="minorHAnsi" w:hAnsiTheme="minorHAnsi"/>
          <w:lang w:val="sq-AL"/>
        </w:rPr>
        <w:t xml:space="preserve">. </w:t>
      </w:r>
    </w:p>
    <w:p w:rsidR="00E56215" w:rsidRPr="00E56215" w:rsidRDefault="00E56215" w:rsidP="003F6B21">
      <w:pPr>
        <w:pStyle w:val="ListParagraph"/>
        <w:numPr>
          <w:ilvl w:val="0"/>
          <w:numId w:val="43"/>
        </w:numPr>
        <w:ind w:left="360"/>
        <w:jc w:val="both"/>
        <w:rPr>
          <w:rFonts w:asciiTheme="minorHAnsi" w:eastAsiaTheme="minorHAnsi" w:hAnsiTheme="minorHAnsi"/>
          <w:lang w:val="sq-AL"/>
        </w:rPr>
      </w:pPr>
      <w:r w:rsidRPr="00E56215">
        <w:rPr>
          <w:rFonts w:asciiTheme="minorHAnsi" w:eastAsiaTheme="minorHAnsi" w:hAnsiTheme="minorHAnsi"/>
          <w:lang w:val="sq-AL"/>
        </w:rPr>
        <w:t xml:space="preserve">Për projektet me financim të huaj realizimi për </w:t>
      </w:r>
      <w:r w:rsidR="002D6FC9">
        <w:rPr>
          <w:rFonts w:asciiTheme="minorHAnsi" w:eastAsiaTheme="minorHAnsi" w:hAnsiTheme="minorHAnsi"/>
          <w:lang w:val="sq-AL"/>
        </w:rPr>
        <w:t>5M</w:t>
      </w:r>
      <w:r w:rsidRPr="00E56215">
        <w:rPr>
          <w:rFonts w:asciiTheme="minorHAnsi" w:eastAsiaTheme="minorHAnsi" w:hAnsiTheme="minorHAnsi"/>
          <w:lang w:val="sq-AL"/>
        </w:rPr>
        <w:t xml:space="preserve"> 2022 është 15.9% e buxhetit fillestar, realizuar në masën 2,708 milionë lekë </w:t>
      </w:r>
      <w:r>
        <w:rPr>
          <w:rFonts w:asciiTheme="minorHAnsi" w:eastAsiaTheme="minorHAnsi" w:hAnsiTheme="minorHAnsi"/>
          <w:lang w:val="sq-AL"/>
        </w:rPr>
        <w:t>dhe 19.3</w:t>
      </w:r>
      <w:r w:rsidRPr="00E56215">
        <w:rPr>
          <w:rFonts w:asciiTheme="minorHAnsi" w:eastAsiaTheme="minorHAnsi" w:hAnsiTheme="minorHAnsi"/>
          <w:lang w:val="sq-AL"/>
        </w:rPr>
        <w:t xml:space="preserve">% </w:t>
      </w:r>
      <w:r>
        <w:rPr>
          <w:rFonts w:asciiTheme="minorHAnsi" w:eastAsiaTheme="minorHAnsi" w:hAnsiTheme="minorHAnsi"/>
          <w:lang w:val="sq-AL"/>
        </w:rPr>
        <w:t>e</w:t>
      </w:r>
      <w:r w:rsidRPr="00E56215">
        <w:rPr>
          <w:rFonts w:asciiTheme="minorHAnsi" w:eastAsiaTheme="minorHAnsi" w:hAnsiTheme="minorHAnsi"/>
          <w:lang w:val="sq-AL"/>
        </w:rPr>
        <w:t xml:space="preserve"> planit të ndryshuar me AN nr.3</w:t>
      </w:r>
      <w:r w:rsidR="002D6FC9">
        <w:rPr>
          <w:rFonts w:asciiTheme="minorHAnsi" w:eastAsiaTheme="minorHAnsi" w:hAnsiTheme="minorHAnsi"/>
          <w:lang w:val="sq-AL"/>
        </w:rPr>
        <w:t>/2022.</w:t>
      </w:r>
    </w:p>
    <w:p w:rsidR="00E56215" w:rsidRDefault="00E56215"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Nga kjo ministri</w:t>
      </w:r>
      <w:r w:rsidRPr="00E56215">
        <w:rPr>
          <w:rFonts w:asciiTheme="minorHAnsi" w:eastAsiaTheme="minorHAnsi" w:hAnsiTheme="minorHAnsi"/>
          <w:lang w:val="sq-AL"/>
        </w:rPr>
        <w:t xml:space="preserve"> nuk është raportuar për problematika të cilat do të ndikojnë në realizimin e projekteve të ivnestimeve. </w:t>
      </w:r>
    </w:p>
    <w:p w:rsidR="003C5935" w:rsidRDefault="00E56215"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Nd</w:t>
      </w:r>
      <w:r w:rsidR="009647C4">
        <w:rPr>
          <w:rFonts w:asciiTheme="minorHAnsi" w:eastAsiaTheme="minorHAnsi" w:hAnsiTheme="minorHAnsi"/>
          <w:lang w:val="sq-AL"/>
        </w:rPr>
        <w:t>ë</w:t>
      </w:r>
      <w:r>
        <w:rPr>
          <w:rFonts w:asciiTheme="minorHAnsi" w:eastAsiaTheme="minorHAnsi" w:hAnsiTheme="minorHAnsi"/>
          <w:lang w:val="sq-AL"/>
        </w:rPr>
        <w:t>rkoh</w:t>
      </w:r>
      <w:r w:rsidR="009647C4">
        <w:rPr>
          <w:rFonts w:asciiTheme="minorHAnsi" w:eastAsiaTheme="minorHAnsi" w:hAnsiTheme="minorHAnsi"/>
          <w:lang w:val="sq-AL"/>
        </w:rPr>
        <w:t>ë</w:t>
      </w:r>
      <w:r>
        <w:rPr>
          <w:rFonts w:asciiTheme="minorHAnsi" w:eastAsiaTheme="minorHAnsi" w:hAnsiTheme="minorHAnsi"/>
          <w:lang w:val="sq-AL"/>
        </w:rPr>
        <w:t xml:space="preserve">, </w:t>
      </w:r>
      <w:r w:rsidRPr="00E56215">
        <w:rPr>
          <w:rFonts w:asciiTheme="minorHAnsi" w:eastAsiaTheme="minorHAnsi" w:hAnsiTheme="minorHAnsi"/>
          <w:lang w:val="sq-AL"/>
        </w:rPr>
        <w:t xml:space="preserve">me VKM nr.111 datë 02.03.2022 është miratuar fusha e </w:t>
      </w:r>
      <w:r>
        <w:rPr>
          <w:rFonts w:asciiTheme="minorHAnsi" w:eastAsiaTheme="minorHAnsi" w:hAnsiTheme="minorHAnsi"/>
          <w:lang w:val="sq-AL"/>
        </w:rPr>
        <w:t xml:space="preserve">re e </w:t>
      </w:r>
      <w:r w:rsidRPr="00E56215">
        <w:rPr>
          <w:rFonts w:asciiTheme="minorHAnsi" w:eastAsiaTheme="minorHAnsi" w:hAnsiTheme="minorHAnsi"/>
          <w:lang w:val="sq-AL"/>
        </w:rPr>
        <w:t xml:space="preserve">përgjegjësisë së </w:t>
      </w:r>
      <w:r>
        <w:rPr>
          <w:rFonts w:asciiTheme="minorHAnsi" w:eastAsiaTheme="minorHAnsi" w:hAnsiTheme="minorHAnsi"/>
          <w:lang w:val="sq-AL"/>
        </w:rPr>
        <w:t xml:space="preserve">MIE, e cila ka </w:t>
      </w:r>
      <w:r w:rsidRPr="00E56215">
        <w:rPr>
          <w:rFonts w:asciiTheme="minorHAnsi" w:eastAsiaTheme="minorHAnsi" w:hAnsiTheme="minorHAnsi"/>
          <w:lang w:val="sq-AL"/>
        </w:rPr>
        <w:t xml:space="preserve">hequr </w:t>
      </w:r>
      <w:r w:rsidR="003C5935">
        <w:rPr>
          <w:rFonts w:asciiTheme="minorHAnsi" w:eastAsiaTheme="minorHAnsi" w:hAnsiTheme="minorHAnsi"/>
          <w:lang w:val="sq-AL"/>
        </w:rPr>
        <w:t xml:space="preserve">programin </w:t>
      </w:r>
      <w:r>
        <w:rPr>
          <w:rFonts w:asciiTheme="minorHAnsi" w:eastAsiaTheme="minorHAnsi" w:hAnsiTheme="minorHAnsi"/>
          <w:lang w:val="sq-AL"/>
        </w:rPr>
        <w:t>“</w:t>
      </w:r>
      <w:r w:rsidRPr="003C5935">
        <w:rPr>
          <w:rFonts w:asciiTheme="minorHAnsi" w:eastAsiaTheme="minorHAnsi" w:hAnsiTheme="minorHAnsi"/>
          <w:i/>
          <w:lang w:val="sq-AL"/>
        </w:rPr>
        <w:t>Menaxhimin e mbetjeve</w:t>
      </w:r>
      <w:r w:rsidR="003C5935">
        <w:rPr>
          <w:rFonts w:asciiTheme="minorHAnsi" w:eastAsiaTheme="minorHAnsi" w:hAnsiTheme="minorHAnsi"/>
          <w:lang w:val="sq-AL"/>
        </w:rPr>
        <w:t xml:space="preserve"> urbane</w:t>
      </w:r>
      <w:r>
        <w:rPr>
          <w:rFonts w:asciiTheme="minorHAnsi" w:eastAsiaTheme="minorHAnsi" w:hAnsiTheme="minorHAnsi"/>
          <w:lang w:val="sq-AL"/>
        </w:rPr>
        <w:t>”</w:t>
      </w:r>
      <w:r w:rsidRPr="00E56215">
        <w:rPr>
          <w:rFonts w:asciiTheme="minorHAnsi" w:eastAsiaTheme="minorHAnsi" w:hAnsiTheme="minorHAnsi"/>
          <w:lang w:val="sq-AL"/>
        </w:rPr>
        <w:t>. Në këto kushte nuk është bërë detajimi dhe nuk ka realiz</w:t>
      </w:r>
      <w:r w:rsidR="003C5935">
        <w:rPr>
          <w:rFonts w:asciiTheme="minorHAnsi" w:eastAsiaTheme="minorHAnsi" w:hAnsiTheme="minorHAnsi"/>
          <w:lang w:val="sq-AL"/>
        </w:rPr>
        <w:t>im</w:t>
      </w:r>
      <w:r w:rsidRPr="00E56215">
        <w:rPr>
          <w:rFonts w:asciiTheme="minorHAnsi" w:eastAsiaTheme="minorHAnsi" w:hAnsiTheme="minorHAnsi"/>
          <w:lang w:val="sq-AL"/>
        </w:rPr>
        <w:t xml:space="preserve"> fonde</w:t>
      </w:r>
      <w:r w:rsidR="003C5935">
        <w:rPr>
          <w:rFonts w:asciiTheme="minorHAnsi" w:eastAsiaTheme="minorHAnsi" w:hAnsiTheme="minorHAnsi"/>
          <w:lang w:val="sq-AL"/>
        </w:rPr>
        <w:t>sh p</w:t>
      </w:r>
      <w:r w:rsidR="009647C4">
        <w:rPr>
          <w:rFonts w:asciiTheme="minorHAnsi" w:eastAsiaTheme="minorHAnsi" w:hAnsiTheme="minorHAnsi"/>
          <w:lang w:val="sq-AL"/>
        </w:rPr>
        <w:t>ë</w:t>
      </w:r>
      <w:r w:rsidR="003C5935">
        <w:rPr>
          <w:rFonts w:asciiTheme="minorHAnsi" w:eastAsiaTheme="minorHAnsi" w:hAnsiTheme="minorHAnsi"/>
          <w:lang w:val="sq-AL"/>
        </w:rPr>
        <w:t>r k</w:t>
      </w:r>
      <w:r w:rsidR="009647C4">
        <w:rPr>
          <w:rFonts w:asciiTheme="minorHAnsi" w:eastAsiaTheme="minorHAnsi" w:hAnsiTheme="minorHAnsi"/>
          <w:lang w:val="sq-AL"/>
        </w:rPr>
        <w:t>ë</w:t>
      </w:r>
      <w:r w:rsidR="003C5935">
        <w:rPr>
          <w:rFonts w:asciiTheme="minorHAnsi" w:eastAsiaTheme="minorHAnsi" w:hAnsiTheme="minorHAnsi"/>
          <w:lang w:val="sq-AL"/>
        </w:rPr>
        <w:t>t</w:t>
      </w:r>
      <w:r w:rsidR="009647C4">
        <w:rPr>
          <w:rFonts w:asciiTheme="minorHAnsi" w:eastAsiaTheme="minorHAnsi" w:hAnsiTheme="minorHAnsi"/>
          <w:lang w:val="sq-AL"/>
        </w:rPr>
        <w:t>ë</w:t>
      </w:r>
      <w:r w:rsidR="003C5935">
        <w:rPr>
          <w:rFonts w:asciiTheme="minorHAnsi" w:eastAsiaTheme="minorHAnsi" w:hAnsiTheme="minorHAnsi"/>
          <w:lang w:val="sq-AL"/>
        </w:rPr>
        <w:t xml:space="preserve"> p</w:t>
      </w:r>
      <w:r w:rsidRPr="00E56215">
        <w:rPr>
          <w:rFonts w:asciiTheme="minorHAnsi" w:eastAsiaTheme="minorHAnsi" w:hAnsiTheme="minorHAnsi"/>
          <w:lang w:val="sq-AL"/>
        </w:rPr>
        <w:t>rogram</w:t>
      </w:r>
      <w:r w:rsidR="003C5935">
        <w:rPr>
          <w:rFonts w:asciiTheme="minorHAnsi" w:eastAsiaTheme="minorHAnsi" w:hAnsiTheme="minorHAnsi"/>
          <w:lang w:val="sq-AL"/>
        </w:rPr>
        <w:t>, pasi f</w:t>
      </w:r>
      <w:r w:rsidRPr="00E56215">
        <w:rPr>
          <w:rFonts w:asciiTheme="minorHAnsi" w:eastAsiaTheme="minorHAnsi" w:hAnsiTheme="minorHAnsi"/>
          <w:lang w:val="sq-AL"/>
        </w:rPr>
        <w:t>ondet buxhetore në këtë program pritet që të rialokohe</w:t>
      </w:r>
      <w:r>
        <w:rPr>
          <w:rFonts w:asciiTheme="minorHAnsi" w:eastAsiaTheme="minorHAnsi" w:hAnsiTheme="minorHAnsi"/>
          <w:lang w:val="sq-AL"/>
        </w:rPr>
        <w:t>n</w:t>
      </w:r>
      <w:r w:rsidRPr="00E56215">
        <w:rPr>
          <w:rFonts w:asciiTheme="minorHAnsi" w:eastAsiaTheme="minorHAnsi" w:hAnsiTheme="minorHAnsi"/>
          <w:lang w:val="sq-AL"/>
        </w:rPr>
        <w:t xml:space="preserve">. </w:t>
      </w:r>
    </w:p>
    <w:p w:rsidR="00E56215" w:rsidRPr="00E56215" w:rsidRDefault="00E56215" w:rsidP="002D6FC9">
      <w:pPr>
        <w:pStyle w:val="ListParagraph"/>
        <w:numPr>
          <w:ilvl w:val="0"/>
          <w:numId w:val="43"/>
        </w:numPr>
        <w:ind w:left="360"/>
        <w:jc w:val="both"/>
        <w:rPr>
          <w:rFonts w:asciiTheme="minorHAnsi" w:eastAsiaTheme="minorHAnsi" w:hAnsiTheme="minorHAnsi"/>
          <w:lang w:val="sq-AL"/>
        </w:rPr>
      </w:pPr>
      <w:r w:rsidRPr="00E56215">
        <w:rPr>
          <w:rFonts w:asciiTheme="minorHAnsi" w:eastAsiaTheme="minorHAnsi" w:hAnsiTheme="minorHAnsi"/>
          <w:lang w:val="sq-AL"/>
        </w:rPr>
        <w:t xml:space="preserve">Njëkohësisht për </w:t>
      </w:r>
      <w:r w:rsidR="003C5935">
        <w:rPr>
          <w:rFonts w:asciiTheme="minorHAnsi" w:eastAsiaTheme="minorHAnsi" w:hAnsiTheme="minorHAnsi"/>
          <w:lang w:val="sq-AL"/>
        </w:rPr>
        <w:t>p</w:t>
      </w:r>
      <w:r w:rsidRPr="00E56215">
        <w:rPr>
          <w:rFonts w:asciiTheme="minorHAnsi" w:eastAsiaTheme="minorHAnsi" w:hAnsiTheme="minorHAnsi"/>
          <w:lang w:val="sq-AL"/>
        </w:rPr>
        <w:t xml:space="preserve">rogramin </w:t>
      </w:r>
      <w:r w:rsidR="003C5935">
        <w:rPr>
          <w:rFonts w:asciiTheme="minorHAnsi" w:eastAsiaTheme="minorHAnsi" w:hAnsiTheme="minorHAnsi"/>
          <w:lang w:val="sq-AL"/>
        </w:rPr>
        <w:t>“</w:t>
      </w:r>
      <w:r w:rsidRPr="002D6FC9">
        <w:rPr>
          <w:rFonts w:asciiTheme="minorHAnsi" w:eastAsiaTheme="minorHAnsi" w:hAnsiTheme="minorHAnsi"/>
          <w:lang w:val="sq-AL"/>
        </w:rPr>
        <w:t>Furnizimi me ujë dhe kanalizime</w:t>
      </w:r>
      <w:r w:rsidR="003C5935">
        <w:rPr>
          <w:rFonts w:asciiTheme="minorHAnsi" w:eastAsiaTheme="minorHAnsi" w:hAnsiTheme="minorHAnsi"/>
          <w:lang w:val="sq-AL"/>
        </w:rPr>
        <w:t>”</w:t>
      </w:r>
      <w:r w:rsidRPr="00E56215">
        <w:rPr>
          <w:rFonts w:asciiTheme="minorHAnsi" w:eastAsiaTheme="minorHAnsi" w:hAnsiTheme="minorHAnsi"/>
          <w:lang w:val="sq-AL"/>
        </w:rPr>
        <w:t xml:space="preserve"> detajimi i fondeve është bërë me vonesë pasi me </w:t>
      </w:r>
      <w:r>
        <w:rPr>
          <w:rFonts w:asciiTheme="minorHAnsi" w:eastAsiaTheme="minorHAnsi" w:hAnsiTheme="minorHAnsi"/>
          <w:lang w:val="sq-AL"/>
        </w:rPr>
        <w:t>VKM</w:t>
      </w:r>
      <w:r w:rsidRPr="00E56215">
        <w:rPr>
          <w:rFonts w:asciiTheme="minorHAnsi" w:eastAsiaTheme="minorHAnsi" w:hAnsiTheme="minorHAnsi"/>
          <w:lang w:val="sq-AL"/>
        </w:rPr>
        <w:t xml:space="preserve"> </w:t>
      </w:r>
      <w:r w:rsidR="002D6FC9">
        <w:rPr>
          <w:rFonts w:asciiTheme="minorHAnsi" w:eastAsiaTheme="minorHAnsi" w:hAnsiTheme="minorHAnsi"/>
          <w:lang w:val="sq-AL"/>
        </w:rPr>
        <w:t>nr.302 datë 11.05.2022 “</w:t>
      </w:r>
      <w:r w:rsidR="002D6FC9" w:rsidRPr="002D6FC9">
        <w:rPr>
          <w:rFonts w:asciiTheme="minorHAnsi" w:eastAsiaTheme="minorHAnsi" w:hAnsiTheme="minorHAnsi"/>
          <w:i/>
          <w:sz w:val="22"/>
          <w:lang w:val="sq-AL"/>
        </w:rPr>
        <w:t>Për politikat kombëtare për riorganizimin e sektorit të furnizimit me ujë dhe të largimit, trajtimit dhe përpunimit të ujërave të ndotura</w:t>
      </w:r>
      <w:r w:rsidR="002D6FC9">
        <w:rPr>
          <w:rFonts w:asciiTheme="minorHAnsi" w:eastAsiaTheme="minorHAnsi" w:hAnsiTheme="minorHAnsi"/>
          <w:lang w:val="sq-AL"/>
        </w:rPr>
        <w:t xml:space="preserve">” </w:t>
      </w:r>
      <w:r w:rsidRPr="00E56215">
        <w:rPr>
          <w:rFonts w:asciiTheme="minorHAnsi" w:eastAsiaTheme="minorHAnsi" w:hAnsiTheme="minorHAnsi"/>
          <w:lang w:val="sq-AL"/>
        </w:rPr>
        <w:t xml:space="preserve">sistemi i ndërmarjeve të ujësjellës kanalizimeve është reformuar. </w:t>
      </w:r>
      <w:r w:rsidR="002D6FC9" w:rsidRPr="00E56215">
        <w:rPr>
          <w:rFonts w:asciiTheme="minorHAnsi" w:eastAsiaTheme="minorHAnsi" w:hAnsiTheme="minorHAnsi"/>
          <w:lang w:val="sq-AL"/>
        </w:rPr>
        <w:t xml:space="preserve">Në këto kushte </w:t>
      </w:r>
      <w:r w:rsidR="002D6FC9">
        <w:rPr>
          <w:rFonts w:asciiTheme="minorHAnsi" w:eastAsiaTheme="minorHAnsi" w:hAnsiTheme="minorHAnsi"/>
          <w:lang w:val="sq-AL"/>
        </w:rPr>
        <w:t xml:space="preserve">pavarësisht detajimit të projekteve me vonesë </w:t>
      </w:r>
      <w:r w:rsidR="002D6FC9" w:rsidRPr="00E56215">
        <w:rPr>
          <w:rFonts w:asciiTheme="minorHAnsi" w:eastAsiaTheme="minorHAnsi" w:hAnsiTheme="minorHAnsi"/>
          <w:lang w:val="sq-AL"/>
        </w:rPr>
        <w:t>pritet që realizimi për projektet e investimeve të vijojë normalisht</w:t>
      </w:r>
      <w:r w:rsidR="002D6FC9">
        <w:rPr>
          <w:rFonts w:asciiTheme="minorHAnsi" w:eastAsiaTheme="minorHAnsi" w:hAnsiTheme="minorHAnsi"/>
          <w:lang w:val="sq-AL"/>
        </w:rPr>
        <w:t>,</w:t>
      </w:r>
      <w:r w:rsidR="002D6FC9" w:rsidRPr="002D6FC9">
        <w:rPr>
          <w:rFonts w:asciiTheme="minorHAnsi" w:eastAsiaTheme="minorHAnsi" w:hAnsiTheme="minorHAnsi"/>
          <w:lang w:val="sq-AL"/>
        </w:rPr>
        <w:t xml:space="preserve"> sepse shumica e kontratave jane ne vijim dhe kane vijuar me punimet.</w:t>
      </w:r>
    </w:p>
    <w:p w:rsidR="00E56215" w:rsidRDefault="00E56215" w:rsidP="003F6B21">
      <w:pPr>
        <w:pStyle w:val="ListParagraph"/>
        <w:numPr>
          <w:ilvl w:val="0"/>
          <w:numId w:val="43"/>
        </w:numPr>
        <w:ind w:left="360"/>
        <w:jc w:val="both"/>
        <w:rPr>
          <w:rFonts w:asciiTheme="minorHAnsi" w:eastAsiaTheme="minorHAnsi" w:hAnsiTheme="minorHAnsi"/>
          <w:lang w:val="sq-AL"/>
        </w:rPr>
      </w:pPr>
      <w:r w:rsidRPr="00E56215">
        <w:rPr>
          <w:rFonts w:asciiTheme="minorHAnsi" w:eastAsiaTheme="minorHAnsi" w:hAnsiTheme="minorHAnsi"/>
          <w:lang w:val="sq-AL"/>
        </w:rPr>
        <w:t>Programet me realizimin më të mirë përsa i përket projekteve me financim te brendshëm paraqiten:  “Mbeshtetje per Burimet Natyrore” me realizim 44% kundrejt planit prej 91 milionë lekë, programi  “Mbeshtetje per Industrine” me realizim 42.1 % kundrejt planit prej 64 milionë lekë, programi “Mbeshtetje per Energjine” me realizim 37.5% kundrejt planit prej 200 milionë lekë, programi “Transporti Hekurudhor” me realizim 34.5% kundrejt planit prej 400 milione lekë, programi “Transporti Rrugor” me realizim 26.6 % kundrejt planit prej 15,575 milionë lekë, programi “Menaxhimi i Mbetjeve Urbane” me realizim 17.6% kundrejt planit prej 1,067 milionë lekë dhe programi “Furnizimi me Uje dhe Kanalizime” me realizim 5.9 % kundrejt planit prej 6,486 milionë lekë.</w:t>
      </w:r>
    </w:p>
    <w:p w:rsidR="00E56215" w:rsidRPr="00E56215" w:rsidRDefault="00E56215" w:rsidP="003F6B21">
      <w:pPr>
        <w:pStyle w:val="ListParagraph"/>
        <w:numPr>
          <w:ilvl w:val="0"/>
          <w:numId w:val="43"/>
        </w:numPr>
        <w:ind w:left="360"/>
        <w:jc w:val="both"/>
        <w:rPr>
          <w:rFonts w:asciiTheme="minorHAnsi" w:eastAsiaTheme="minorHAnsi" w:hAnsiTheme="minorHAnsi"/>
          <w:lang w:val="sq-AL"/>
        </w:rPr>
      </w:pPr>
      <w:r w:rsidRPr="00E56215">
        <w:rPr>
          <w:rFonts w:asciiTheme="minorHAnsi" w:eastAsiaTheme="minorHAnsi" w:hAnsiTheme="minorHAnsi"/>
          <w:lang w:val="sq-AL"/>
        </w:rPr>
        <w:t xml:space="preserve">Projektet kryesore të cilat kanë kontribuar në realizimin e investimeve me financim të brendshëm </w:t>
      </w:r>
      <w:r w:rsidR="003C5935">
        <w:rPr>
          <w:rFonts w:asciiTheme="minorHAnsi" w:eastAsiaTheme="minorHAnsi" w:hAnsiTheme="minorHAnsi"/>
          <w:lang w:val="sq-AL"/>
        </w:rPr>
        <w:t>për 5</w:t>
      </w:r>
      <w:r w:rsidRPr="00E56215">
        <w:rPr>
          <w:rFonts w:asciiTheme="minorHAnsi" w:eastAsiaTheme="minorHAnsi" w:hAnsiTheme="minorHAnsi"/>
          <w:lang w:val="sq-AL"/>
        </w:rPr>
        <w:t xml:space="preserve">mujorin </w:t>
      </w:r>
      <w:r w:rsidR="003C5935">
        <w:rPr>
          <w:rFonts w:asciiTheme="minorHAnsi" w:eastAsiaTheme="minorHAnsi" w:hAnsiTheme="minorHAnsi"/>
          <w:lang w:val="sq-AL"/>
        </w:rPr>
        <w:t xml:space="preserve">2022, </w:t>
      </w:r>
      <w:r w:rsidRPr="00E56215">
        <w:rPr>
          <w:rFonts w:asciiTheme="minorHAnsi" w:eastAsiaTheme="minorHAnsi" w:hAnsiTheme="minorHAnsi"/>
          <w:lang w:val="sq-AL"/>
        </w:rPr>
        <w:t>paraqiten si vijon:</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i Tunelit të Llogarasë në vlerën 1.35 miliardë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Kontrata e Koncesionit /PPP për permiresimin, ndertimin, operimin dhe mirembajtjen e rruges se Arbrit në vlerën 420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Subvencioni I kontrates koncesionare per ndertimin, permiresimin, shfrtytezimin, mirembajtjen dhe rehabitimin e autostrades Milot – Morine në vlerën 380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Ndertim rruga Kardhiq - Delvine Loti 7 në vlerën 206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Plotesimi i punimeve dhe rruget lidhese ne Unazen lindore, Loti 2 në vlerën 190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Impjanti i prodhimit të energjisë nga mbetjet në Fier në vlerën 188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lastRenderedPageBreak/>
        <w:t>TVSH per zbatimin projektit te linjes Tirane - Durres, per ndertimin e linjes se re Tirane-Rinas në vlerën 126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Ndertimi i segmentit rrugor Sheshi Shqiponja- Bulevardi i ri, Loti 2 në vlerën 120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Kosto Lokale projekti I kanalizimeve te Tiranes se madhe në vlerën 110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TVSH Programi i Infrastruktures Bashkiake, III dhe IV në vlerën 109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Shpronesime në vlerën 106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Përfundimi i punimeve në segmentet rrugore ura e Kranesë Qafë Botë, Ura e Kranesë Ura e Gajdarit dhe përmirësimi i segmentit rrugor Shijan Ura e Gajdarit në vlerën 93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rruga Palase – Dhërmi në vlerën 91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Ndertim rruga Porto Romano Durres, Loti 3, vazhdimi në vlerën 81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Rehabilitim i segmentit rrugore mbikalimi pallati me shigjeta  rrethrrotullimi Shqiponja Loti 3 në vlerën 75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rruga Kardhiq - Delvinë Loti 8 (Sinjalistike dhe Siguri r</w:t>
      </w:r>
      <w:r w:rsidR="003C5935">
        <w:rPr>
          <w:rFonts w:asciiTheme="minorHAnsi" w:eastAsia="MS Mincho" w:hAnsiTheme="minorHAnsi"/>
          <w:i/>
          <w:lang w:val="sq-AL"/>
        </w:rPr>
        <w:t>rugore nga Loti 1 deri ne Lotin</w:t>
      </w:r>
      <w:r w:rsidRPr="003C5935">
        <w:rPr>
          <w:rFonts w:asciiTheme="minorHAnsi" w:eastAsia="MS Mincho" w:hAnsiTheme="minorHAnsi"/>
          <w:i/>
          <w:lang w:val="sq-AL"/>
        </w:rPr>
        <w:t>6 në vlerën 70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 xml:space="preserve">Rehabilitim i segmentit rrugore mbikalimi pallati me shigjeta </w:t>
      </w:r>
      <w:r w:rsidR="003C5935">
        <w:rPr>
          <w:rFonts w:asciiTheme="minorHAnsi" w:eastAsia="MS Mincho" w:hAnsiTheme="minorHAnsi"/>
          <w:i/>
          <w:lang w:val="sq-AL"/>
        </w:rPr>
        <w:t xml:space="preserve"> rrethrrotullimi Shqiponja Loti</w:t>
      </w:r>
      <w:r w:rsidRPr="003C5935">
        <w:rPr>
          <w:rFonts w:asciiTheme="minorHAnsi" w:eastAsia="MS Mincho" w:hAnsiTheme="minorHAnsi"/>
          <w:i/>
          <w:lang w:val="sq-AL"/>
        </w:rPr>
        <w:t>1 në vlerën 70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TVSH e T.D. Ndërtim By Pass i Vlorës (Kontrate e Re) në vlerën 60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Ndertim rruga Korce - Erseke Loti 2 ( pjesa e pare) në vlerën 50 milionë lekë.</w:t>
      </w:r>
    </w:p>
    <w:p w:rsidR="003C5935" w:rsidRPr="003C5935" w:rsidRDefault="003C5935" w:rsidP="009647C4">
      <w:pPr>
        <w:ind w:left="360"/>
        <w:jc w:val="both"/>
        <w:rPr>
          <w:rFonts w:asciiTheme="minorHAnsi" w:eastAsia="MS Mincho" w:hAnsiTheme="minorHAnsi"/>
          <w:sz w:val="12"/>
          <w:lang w:val="sq-AL"/>
        </w:rPr>
      </w:pPr>
    </w:p>
    <w:p w:rsidR="00E56215" w:rsidRPr="003C5935" w:rsidRDefault="00E56215" w:rsidP="003F6B21">
      <w:pPr>
        <w:pStyle w:val="ListParagraph"/>
        <w:numPr>
          <w:ilvl w:val="0"/>
          <w:numId w:val="43"/>
        </w:numPr>
        <w:ind w:left="360"/>
        <w:jc w:val="both"/>
        <w:rPr>
          <w:rFonts w:asciiTheme="minorHAnsi" w:eastAsiaTheme="minorHAnsi" w:hAnsiTheme="minorHAnsi"/>
          <w:lang w:val="sq-AL"/>
        </w:rPr>
      </w:pPr>
      <w:r w:rsidRPr="003C5935">
        <w:rPr>
          <w:rFonts w:asciiTheme="minorHAnsi" w:eastAsiaTheme="minorHAnsi" w:hAnsiTheme="minorHAnsi"/>
          <w:lang w:val="sq-AL"/>
        </w:rPr>
        <w:t>Projektet kryesore të cilat kanë kontribuar në realizimin e e investimeve me financim të huaj për 5-mujorin për Ministrinë e Infrastrukturës dhe Energjisë paraqiten si vijon:</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Programi i Infrastruktures Bashkiake III dhe IV (Kredi) në vlerën 544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By Pass i Fierit në vlerën 372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Bypass i Vlores, Grant në vlerën 276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By Pass i Fierit (Kontrate e Re) në vlerën 216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RRSMSP/CË/2015/1- Kontrata A (Projekti i Bankes Boterore) në vlerën 157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Manaxhimi i mbetejeve te ngurta Vlore në vlerën 152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Programi i infrastruktures Bashkiake III dhe IV në vlerën 127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 xml:space="preserve">Ndertim Segmenti 1, Aksi "Tirane-Elbasan" (Sauk km 0-Hyrje tuneli i Krrabes </w:t>
      </w:r>
      <w:r w:rsidR="003C5935">
        <w:rPr>
          <w:rFonts w:asciiTheme="minorHAnsi" w:eastAsia="MS Mincho" w:hAnsiTheme="minorHAnsi"/>
          <w:i/>
          <w:lang w:val="sq-AL"/>
        </w:rPr>
        <w:t>km</w:t>
      </w:r>
      <w:r w:rsidRPr="003C5935">
        <w:rPr>
          <w:rFonts w:asciiTheme="minorHAnsi" w:eastAsia="MS Mincho" w:hAnsiTheme="minorHAnsi"/>
          <w:i/>
          <w:lang w:val="sq-AL"/>
        </w:rPr>
        <w:t>13</w:t>
      </w:r>
      <w:r w:rsidR="003C5935">
        <w:rPr>
          <w:rFonts w:asciiTheme="minorHAnsi" w:eastAsia="MS Mincho" w:hAnsiTheme="minorHAnsi"/>
          <w:i/>
          <w:lang w:val="sq-AL"/>
        </w:rPr>
        <w:t>,</w:t>
      </w:r>
      <w:r w:rsidRPr="003C5935">
        <w:rPr>
          <w:rFonts w:asciiTheme="minorHAnsi" w:eastAsia="MS Mincho" w:hAnsiTheme="minorHAnsi"/>
          <w:i/>
          <w:lang w:val="sq-AL"/>
        </w:rPr>
        <w:t xml:space="preserve"> në vle</w:t>
      </w:r>
      <w:r w:rsidR="003C5935">
        <w:rPr>
          <w:rFonts w:asciiTheme="minorHAnsi" w:eastAsia="MS Mincho" w:hAnsiTheme="minorHAnsi"/>
          <w:i/>
          <w:lang w:val="sq-AL"/>
        </w:rPr>
        <w:t>r</w:t>
      </w:r>
      <w:r w:rsidRPr="003C5935">
        <w:rPr>
          <w:rFonts w:asciiTheme="minorHAnsi" w:eastAsia="MS Mincho" w:hAnsiTheme="minorHAnsi"/>
          <w:i/>
          <w:lang w:val="sq-AL"/>
        </w:rPr>
        <w:t>ën 103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RRSMSP/CË/2015/2- Kontrata B (Projekti i Bankes Boterore) në vlerën 101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segmenti rrugor Qukës - Qafë Plloçë Loti 1 në vlerën 90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Ndërtim By Pass i Vlorës(Kontrate e Re) në vlerën 60 milionë lekë;</w:t>
      </w:r>
    </w:p>
    <w:p w:rsidR="00E56215" w:rsidRPr="003C5935" w:rsidRDefault="00E56215" w:rsidP="003F6B21">
      <w:pPr>
        <w:pStyle w:val="ListParagraph"/>
        <w:numPr>
          <w:ilvl w:val="0"/>
          <w:numId w:val="44"/>
        </w:numPr>
        <w:jc w:val="both"/>
        <w:rPr>
          <w:rFonts w:asciiTheme="minorHAnsi" w:eastAsia="MS Mincho" w:hAnsiTheme="minorHAnsi"/>
          <w:i/>
          <w:lang w:val="sq-AL"/>
        </w:rPr>
      </w:pPr>
      <w:r w:rsidRPr="003C5935">
        <w:rPr>
          <w:rFonts w:asciiTheme="minorHAnsi" w:eastAsia="MS Mincho" w:hAnsiTheme="minorHAnsi"/>
          <w:i/>
          <w:lang w:val="sq-AL"/>
        </w:rPr>
        <w:t>Fuqia energjitike dhe Siguria e Diges ne Kaskaden e Drinit në vlerën 60 milionë lekë.</w:t>
      </w:r>
    </w:p>
    <w:p w:rsidR="003C5935" w:rsidRPr="002D6FC9" w:rsidRDefault="003C5935" w:rsidP="009647C4">
      <w:pPr>
        <w:jc w:val="both"/>
        <w:rPr>
          <w:rFonts w:asciiTheme="minorHAnsi" w:eastAsiaTheme="minorHAnsi" w:hAnsiTheme="minorHAnsi"/>
          <w:sz w:val="16"/>
          <w:szCs w:val="8"/>
          <w:lang w:val="sq-AL"/>
        </w:rPr>
      </w:pPr>
    </w:p>
    <w:p w:rsidR="00E56215" w:rsidRDefault="003C5935"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Për periudhën 5</w:t>
      </w:r>
      <w:r w:rsidR="00E56215" w:rsidRPr="0070086A">
        <w:rPr>
          <w:rFonts w:asciiTheme="minorHAnsi" w:eastAsiaTheme="minorHAnsi" w:hAnsiTheme="minorHAnsi"/>
          <w:lang w:val="sq-AL"/>
        </w:rPr>
        <w:t>mujore 2022 janë mbyllur kontratat e investimit</w:t>
      </w:r>
      <w:r>
        <w:rPr>
          <w:rFonts w:asciiTheme="minorHAnsi" w:eastAsiaTheme="minorHAnsi" w:hAnsiTheme="minorHAnsi"/>
          <w:lang w:val="sq-AL"/>
        </w:rPr>
        <w:t>, ku</w:t>
      </w:r>
      <w:r w:rsidR="00E56215" w:rsidRPr="0070086A">
        <w:rPr>
          <w:rFonts w:asciiTheme="minorHAnsi" w:eastAsiaTheme="minorHAnsi" w:hAnsiTheme="minorHAnsi"/>
          <w:lang w:val="sq-AL"/>
        </w:rPr>
        <w:t xml:space="preserve"> veçojmë: </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Rikualifikim i akseve rrugore Unaza Lindore Loti2 me vlerë të plotë projekti 1904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Ndertim rruga By Pass Perendimor Shkoder, Loti1 (shtese punimesh) me vlerë të plotë projekti 282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Ndertim i lidhjes se rruges se Oroshit me rrugen e Kombit me vlerë të plotë projekti 139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Projekt Pilot për përmirësimin e Eficencës së Energjisë në impiantet e trajtimit të ujërave të zeza me vlerë të plotë projekti 62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Rikostruksion i Godines se DPD me vlerë të plotë projekti 41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Supervizion Punimesh Rehabilitim i segmentit rrugore mbikalimi pallati me shigjeta  rrethrrotullimi Shqiponja Loti 1 me vlerë të plotë projekti 18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Blerja e Pajisjeve teknike të auditimit për procesin e mbikëqyrjes CPE Projekt për standartet e ndricimit rrugor dhe urban në Shqipëri me vlerë të plotë projekti 12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Blerje automjeti per inspektim AKSEM me vlerë të plotë projekti 6 milionë lekë;</w:t>
      </w:r>
    </w:p>
    <w:p w:rsidR="002D6FC9" w:rsidRPr="002D6FC9"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Oponence teknike per kontrates koncesionare per permiresimin, ndertimin, operimin dhe mirembajtjne e rruges Milot - Balldre me vlerë të plotë projekti 6 milionë lekë;</w:t>
      </w:r>
    </w:p>
    <w:p w:rsidR="00E56215" w:rsidRPr="000C4F22" w:rsidRDefault="002D6FC9" w:rsidP="002D6FC9">
      <w:pPr>
        <w:pStyle w:val="ListParagraph"/>
        <w:numPr>
          <w:ilvl w:val="0"/>
          <w:numId w:val="44"/>
        </w:numPr>
        <w:jc w:val="both"/>
        <w:rPr>
          <w:rFonts w:asciiTheme="minorHAnsi" w:eastAsia="MS Mincho" w:hAnsiTheme="minorHAnsi"/>
          <w:i/>
          <w:sz w:val="22"/>
          <w:szCs w:val="23"/>
          <w:lang w:val="sq-AL"/>
        </w:rPr>
      </w:pPr>
      <w:r w:rsidRPr="002D6FC9">
        <w:rPr>
          <w:rFonts w:asciiTheme="minorHAnsi" w:eastAsia="MS Mincho" w:hAnsiTheme="minorHAnsi"/>
          <w:i/>
          <w:sz w:val="22"/>
          <w:szCs w:val="23"/>
          <w:lang w:val="sq-AL"/>
        </w:rPr>
        <w:t>Blerje mjet transporti per kimikatet QGTKRR me vlerë të plotë projekti 3 milionë lekë</w:t>
      </w:r>
      <w:r w:rsidR="00E56215" w:rsidRPr="000C4F22">
        <w:rPr>
          <w:rFonts w:asciiTheme="minorHAnsi" w:eastAsia="MS Mincho" w:hAnsiTheme="minorHAnsi"/>
          <w:i/>
          <w:sz w:val="22"/>
          <w:szCs w:val="23"/>
          <w:lang w:val="sq-AL"/>
        </w:rPr>
        <w:t>;</w:t>
      </w:r>
    </w:p>
    <w:p w:rsidR="000C4F22" w:rsidRPr="000C4F22" w:rsidRDefault="000C4F22" w:rsidP="009647C4">
      <w:pPr>
        <w:pStyle w:val="NormalWeb"/>
        <w:spacing w:before="0" w:beforeAutospacing="0" w:after="0" w:afterAutospacing="0"/>
        <w:jc w:val="both"/>
        <w:rPr>
          <w:rFonts w:asciiTheme="minorHAnsi" w:hAnsiTheme="minorHAnsi"/>
          <w:b/>
          <w:color w:val="000000"/>
          <w:sz w:val="12"/>
          <w:lang w:val="sq-AL"/>
        </w:rPr>
      </w:pPr>
    </w:p>
    <w:p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Financave dhe Ekonomisë</w:t>
      </w:r>
    </w:p>
    <w:p w:rsidR="000C4F22"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w:t>
      </w:r>
      <w:r w:rsidRPr="000C4F22">
        <w:rPr>
          <w:rFonts w:asciiTheme="minorHAnsi" w:eastAsiaTheme="minorHAnsi" w:hAnsiTheme="minorHAnsi"/>
          <w:lang w:val="sq-AL"/>
        </w:rPr>
        <w:t xml:space="preserve">projektet me financim të brendshëm, realizimi për 5mujorin 2022 është 9.8% </w:t>
      </w:r>
      <w:r>
        <w:rPr>
          <w:rFonts w:asciiTheme="minorHAnsi" w:eastAsiaTheme="minorHAnsi" w:hAnsiTheme="minorHAnsi"/>
          <w:lang w:val="sq-AL"/>
        </w:rPr>
        <w:t>e</w:t>
      </w:r>
      <w:r w:rsidRPr="000C4F22">
        <w:rPr>
          <w:rFonts w:asciiTheme="minorHAnsi" w:eastAsiaTheme="minorHAnsi" w:hAnsiTheme="minorHAnsi"/>
          <w:lang w:val="sq-AL"/>
        </w:rPr>
        <w:t xml:space="preserve"> buxhetit fillestar realizuar ne masën 211.6 milionë lekë dhe 11% </w:t>
      </w:r>
      <w:r>
        <w:rPr>
          <w:rFonts w:asciiTheme="minorHAnsi" w:eastAsiaTheme="minorHAnsi" w:hAnsiTheme="minorHAnsi"/>
          <w:lang w:val="sq-AL"/>
        </w:rPr>
        <w:t>e</w:t>
      </w:r>
      <w:r w:rsidRPr="000C4F22">
        <w:rPr>
          <w:rFonts w:asciiTheme="minorHAnsi" w:eastAsiaTheme="minorHAnsi" w:hAnsiTheme="minorHAnsi"/>
          <w:lang w:val="sq-AL"/>
        </w:rPr>
        <w:t xml:space="preserve"> planit të ndryshuar me AN nr.3</w:t>
      </w:r>
      <w:r>
        <w:rPr>
          <w:rFonts w:asciiTheme="minorHAnsi" w:eastAsiaTheme="minorHAnsi" w:hAnsiTheme="minorHAnsi"/>
          <w:lang w:val="sq-AL"/>
        </w:rPr>
        <w:t>/2022</w:t>
      </w:r>
      <w:r w:rsidRPr="000C4F22">
        <w:rPr>
          <w:rFonts w:asciiTheme="minorHAnsi" w:eastAsiaTheme="minorHAnsi" w:hAnsiTheme="minorHAnsi"/>
          <w:lang w:val="sq-AL"/>
        </w:rPr>
        <w:t xml:space="preserve">. </w:t>
      </w:r>
    </w:p>
    <w:p w:rsidR="000C4F22" w:rsidRPr="000C4F22" w:rsidRDefault="000C4F22" w:rsidP="003F6B21">
      <w:pPr>
        <w:pStyle w:val="ListParagraph"/>
        <w:numPr>
          <w:ilvl w:val="0"/>
          <w:numId w:val="43"/>
        </w:numPr>
        <w:ind w:left="360"/>
        <w:jc w:val="both"/>
        <w:rPr>
          <w:rFonts w:asciiTheme="minorHAnsi" w:eastAsiaTheme="minorHAnsi" w:hAnsiTheme="minorHAnsi"/>
          <w:lang w:val="sq-AL"/>
        </w:rPr>
      </w:pPr>
      <w:r w:rsidRPr="000C4F22">
        <w:rPr>
          <w:rFonts w:asciiTheme="minorHAnsi" w:eastAsiaTheme="minorHAnsi" w:hAnsiTheme="minorHAnsi"/>
          <w:lang w:val="sq-AL"/>
        </w:rPr>
        <w:t>Për projektet me financim të huaj realizimi për 5mujorin 2022 është 4.9% e buxhetit fillestar dhe të ndryshuar</w:t>
      </w:r>
      <w:r>
        <w:rPr>
          <w:rFonts w:asciiTheme="minorHAnsi" w:eastAsiaTheme="minorHAnsi" w:hAnsiTheme="minorHAnsi"/>
          <w:lang w:val="sq-AL"/>
        </w:rPr>
        <w:t>,</w:t>
      </w:r>
      <w:r w:rsidRPr="000C4F22">
        <w:rPr>
          <w:rFonts w:asciiTheme="minorHAnsi" w:eastAsiaTheme="minorHAnsi" w:hAnsiTheme="minorHAnsi"/>
          <w:lang w:val="sq-AL"/>
        </w:rPr>
        <w:t xml:space="preserve"> realizuar në masën 46 milionë lekë. </w:t>
      </w:r>
    </w:p>
    <w:p w:rsidR="000C4F22" w:rsidRPr="000C4F22" w:rsidRDefault="000C4F22"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 xml:space="preserve">Kjo ministri nuk ka </w:t>
      </w:r>
      <w:r w:rsidRPr="000C4F22">
        <w:rPr>
          <w:rFonts w:asciiTheme="minorHAnsi" w:eastAsiaTheme="minorHAnsi" w:hAnsiTheme="minorHAnsi"/>
          <w:lang w:val="sq-AL"/>
        </w:rPr>
        <w:t>raportuar për problematika të cilat do të ndikojnë në realizimin e projekteve të investimeve. Projektet e reja janë në proces prokurimi dhe projektet në vazhdim vazhdojnë normalisht punimet dhe pritet që realizimi i shpenzimeve të bëhet në muajt në vijim. Ndërkohë për disa projekte pritet miratimi i bazës ligjore për të vijuar me realizimin si psh projektet e transfertave kapitale për IBRD.</w:t>
      </w:r>
    </w:p>
    <w:p w:rsidR="000C4F22" w:rsidRPr="000C4F22" w:rsidRDefault="000C4F22" w:rsidP="003F6B21">
      <w:pPr>
        <w:pStyle w:val="ListParagraph"/>
        <w:numPr>
          <w:ilvl w:val="0"/>
          <w:numId w:val="43"/>
        </w:numPr>
        <w:ind w:left="360"/>
        <w:jc w:val="both"/>
        <w:rPr>
          <w:rFonts w:asciiTheme="minorHAnsi" w:eastAsiaTheme="minorHAnsi" w:hAnsiTheme="minorHAnsi"/>
          <w:lang w:val="sq-AL"/>
        </w:rPr>
      </w:pPr>
      <w:r w:rsidRPr="000C4F22">
        <w:rPr>
          <w:rFonts w:asciiTheme="minorHAnsi" w:eastAsiaTheme="minorHAnsi" w:hAnsiTheme="minorHAnsi"/>
          <w:lang w:val="sq-AL"/>
        </w:rPr>
        <w:t xml:space="preserve">Programet me realizimin më të mirë përsa i përket projekteve me financim te brendshëm </w:t>
      </w:r>
      <w:r>
        <w:rPr>
          <w:rFonts w:asciiTheme="minorHAnsi" w:eastAsiaTheme="minorHAnsi" w:hAnsiTheme="minorHAnsi"/>
          <w:lang w:val="sq-AL"/>
        </w:rPr>
        <w:t>jan</w:t>
      </w:r>
      <w:r w:rsidR="009647C4">
        <w:rPr>
          <w:rFonts w:asciiTheme="minorHAnsi" w:eastAsiaTheme="minorHAnsi" w:hAnsiTheme="minorHAnsi"/>
          <w:lang w:val="sq-AL"/>
        </w:rPr>
        <w:t>ë</w:t>
      </w:r>
      <w:r>
        <w:rPr>
          <w:rFonts w:asciiTheme="minorHAnsi" w:eastAsiaTheme="minorHAnsi" w:hAnsiTheme="minorHAnsi"/>
          <w:lang w:val="sq-AL"/>
        </w:rPr>
        <w:t xml:space="preserve">: </w:t>
      </w:r>
      <w:r w:rsidRPr="000C4F22">
        <w:rPr>
          <w:rFonts w:asciiTheme="minorHAnsi" w:eastAsiaTheme="minorHAnsi" w:hAnsiTheme="minorHAnsi"/>
          <w:lang w:val="sq-AL"/>
        </w:rPr>
        <w:t>“Menaxhimi i të Ardhurave Tatimore”  me realizim 23.8% kundrejt planit prej 342.6 milionë lekë dhe programi “</w:t>
      </w:r>
      <w:r w:rsidRPr="002D6FC9">
        <w:rPr>
          <w:rFonts w:asciiTheme="minorHAnsi" w:eastAsiaTheme="minorHAnsi" w:hAnsiTheme="minorHAnsi"/>
          <w:i/>
          <w:lang w:val="sq-AL"/>
        </w:rPr>
        <w:t>Planifikimi Menaxhimi dhe administrimi</w:t>
      </w:r>
      <w:r w:rsidRPr="000C4F22">
        <w:rPr>
          <w:rFonts w:asciiTheme="minorHAnsi" w:eastAsiaTheme="minorHAnsi" w:hAnsiTheme="minorHAnsi"/>
          <w:lang w:val="sq-AL"/>
        </w:rPr>
        <w:t xml:space="preserve">” me realizim 27.4% </w:t>
      </w:r>
      <w:r w:rsidR="002D6FC9">
        <w:rPr>
          <w:rFonts w:asciiTheme="minorHAnsi" w:eastAsiaTheme="minorHAnsi" w:hAnsiTheme="minorHAnsi"/>
          <w:lang w:val="sq-AL"/>
        </w:rPr>
        <w:t xml:space="preserve">ndaj </w:t>
      </w:r>
      <w:r w:rsidRPr="000C4F22">
        <w:rPr>
          <w:rFonts w:asciiTheme="minorHAnsi" w:eastAsiaTheme="minorHAnsi" w:hAnsiTheme="minorHAnsi"/>
          <w:lang w:val="sq-AL"/>
        </w:rPr>
        <w:t>planit.</w:t>
      </w:r>
    </w:p>
    <w:p w:rsidR="000C4F22" w:rsidRPr="000C4F22" w:rsidRDefault="000C4F22" w:rsidP="003F6B21">
      <w:pPr>
        <w:pStyle w:val="ListParagraph"/>
        <w:numPr>
          <w:ilvl w:val="0"/>
          <w:numId w:val="43"/>
        </w:numPr>
        <w:ind w:left="360"/>
        <w:jc w:val="both"/>
        <w:rPr>
          <w:rFonts w:asciiTheme="minorHAnsi" w:eastAsiaTheme="minorHAnsi" w:hAnsiTheme="minorHAnsi"/>
          <w:lang w:val="sq-AL"/>
        </w:rPr>
      </w:pPr>
      <w:r w:rsidRPr="000C4F22">
        <w:rPr>
          <w:rFonts w:asciiTheme="minorHAnsi" w:eastAsiaTheme="minorHAnsi" w:hAnsiTheme="minorHAnsi"/>
          <w:lang w:val="sq-AL"/>
        </w:rPr>
        <w:t>Program</w:t>
      </w:r>
      <w:r>
        <w:rPr>
          <w:rFonts w:asciiTheme="minorHAnsi" w:eastAsiaTheme="minorHAnsi" w:hAnsiTheme="minorHAnsi"/>
          <w:lang w:val="sq-AL"/>
        </w:rPr>
        <w:t>i</w:t>
      </w:r>
      <w:r w:rsidRPr="000C4F22">
        <w:rPr>
          <w:rFonts w:asciiTheme="minorHAnsi" w:eastAsiaTheme="minorHAnsi" w:hAnsiTheme="minorHAnsi"/>
          <w:lang w:val="sq-AL"/>
        </w:rPr>
        <w:t xml:space="preserve"> me realizim më të mirë përsa i përket projekteve me financim të huaj </w:t>
      </w:r>
      <w:r>
        <w:rPr>
          <w:rFonts w:asciiTheme="minorHAnsi" w:eastAsiaTheme="minorHAnsi" w:hAnsiTheme="minorHAnsi"/>
          <w:lang w:val="sq-AL"/>
        </w:rPr>
        <w:t xml:space="preserve">është: </w:t>
      </w:r>
      <w:r w:rsidRPr="000C4F22">
        <w:rPr>
          <w:rFonts w:asciiTheme="minorHAnsi" w:eastAsiaTheme="minorHAnsi" w:hAnsiTheme="minorHAnsi"/>
          <w:lang w:val="sq-AL"/>
        </w:rPr>
        <w:t xml:space="preserve">“Planifikimi Menaxhimi dhe administrimi” me realizim 7.1% </w:t>
      </w:r>
      <w:r>
        <w:rPr>
          <w:rFonts w:asciiTheme="minorHAnsi" w:eastAsiaTheme="minorHAnsi" w:hAnsiTheme="minorHAnsi"/>
          <w:lang w:val="sq-AL"/>
        </w:rPr>
        <w:t>ndaj</w:t>
      </w:r>
      <w:r w:rsidRPr="000C4F22">
        <w:rPr>
          <w:rFonts w:asciiTheme="minorHAnsi" w:eastAsiaTheme="minorHAnsi" w:hAnsiTheme="minorHAnsi"/>
          <w:lang w:val="sq-AL"/>
        </w:rPr>
        <w:t xml:space="preserve"> planit prej 350 milionë lekë.</w:t>
      </w:r>
    </w:p>
    <w:p w:rsidR="000C4F22" w:rsidRPr="000C4F22" w:rsidRDefault="000C4F22" w:rsidP="003F6B21">
      <w:pPr>
        <w:pStyle w:val="ListParagraph"/>
        <w:numPr>
          <w:ilvl w:val="0"/>
          <w:numId w:val="43"/>
        </w:numPr>
        <w:ind w:left="360"/>
        <w:jc w:val="both"/>
        <w:rPr>
          <w:rFonts w:asciiTheme="minorHAnsi" w:eastAsiaTheme="minorHAnsi" w:hAnsiTheme="minorHAnsi"/>
          <w:lang w:val="sq-AL"/>
        </w:rPr>
      </w:pPr>
      <w:r w:rsidRPr="000C4F22">
        <w:rPr>
          <w:rFonts w:asciiTheme="minorHAnsi" w:eastAsiaTheme="minorHAnsi" w:hAnsiTheme="minorHAnsi"/>
          <w:lang w:val="sq-AL"/>
        </w:rPr>
        <w:t xml:space="preserve">Projektet kryesore të cilat kanë kontribuar në realizimin e investimeve për 5mujorin </w:t>
      </w:r>
      <w:r>
        <w:rPr>
          <w:rFonts w:asciiTheme="minorHAnsi" w:eastAsiaTheme="minorHAnsi" w:hAnsiTheme="minorHAnsi"/>
          <w:lang w:val="sq-AL"/>
        </w:rPr>
        <w:t>jan</w:t>
      </w:r>
      <w:r w:rsidR="009647C4">
        <w:rPr>
          <w:rFonts w:asciiTheme="minorHAnsi" w:eastAsiaTheme="minorHAnsi" w:hAnsiTheme="minorHAnsi"/>
          <w:lang w:val="sq-AL"/>
        </w:rPr>
        <w:t>ë</w:t>
      </w:r>
      <w:r w:rsidRPr="000C4F22">
        <w:rPr>
          <w:rFonts w:asciiTheme="minorHAnsi" w:eastAsiaTheme="minorHAnsi" w:hAnsiTheme="minorHAnsi"/>
          <w:lang w:val="sq-AL"/>
        </w:rPr>
        <w:t>:</w:t>
      </w:r>
    </w:p>
    <w:p w:rsidR="000C4F22" w:rsidRPr="000C4F22" w:rsidRDefault="000C4F22" w:rsidP="003F6B21">
      <w:pPr>
        <w:pStyle w:val="ListParagraph"/>
        <w:numPr>
          <w:ilvl w:val="0"/>
          <w:numId w:val="44"/>
        </w:numPr>
        <w:jc w:val="both"/>
        <w:rPr>
          <w:rFonts w:asciiTheme="minorHAnsi" w:eastAsia="MS Mincho" w:hAnsiTheme="minorHAnsi"/>
          <w:i/>
          <w:sz w:val="22"/>
          <w:lang w:val="sq-AL"/>
        </w:rPr>
      </w:pPr>
      <w:r w:rsidRPr="000C4F22">
        <w:rPr>
          <w:rFonts w:asciiTheme="minorHAnsi" w:eastAsia="MS Mincho" w:hAnsiTheme="minorHAnsi"/>
          <w:i/>
          <w:sz w:val="22"/>
          <w:lang w:val="sq-AL"/>
        </w:rPr>
        <w:t>Rritja e kapaciteteve H</w:t>
      </w:r>
      <w:r w:rsidR="009647C4">
        <w:rPr>
          <w:rFonts w:asciiTheme="minorHAnsi" w:eastAsia="MS Mincho" w:hAnsiTheme="minorHAnsi"/>
          <w:i/>
          <w:sz w:val="22"/>
          <w:lang w:val="sq-AL"/>
        </w:rPr>
        <w:t>ë</w:t>
      </w:r>
      <w:r w:rsidRPr="000C4F22">
        <w:rPr>
          <w:rFonts w:asciiTheme="minorHAnsi" w:eastAsia="MS Mincho" w:hAnsiTheme="minorHAnsi"/>
          <w:i/>
          <w:sz w:val="22"/>
          <w:lang w:val="sq-AL"/>
        </w:rPr>
        <w:t xml:space="preserve"> per sistemin AFMIS me vlerë 27 milionë lekë;</w:t>
      </w:r>
    </w:p>
    <w:p w:rsidR="000C4F22" w:rsidRPr="000C4F22" w:rsidRDefault="000C4F22" w:rsidP="003F6B21">
      <w:pPr>
        <w:pStyle w:val="ListParagraph"/>
        <w:numPr>
          <w:ilvl w:val="0"/>
          <w:numId w:val="44"/>
        </w:numPr>
        <w:jc w:val="both"/>
        <w:rPr>
          <w:rFonts w:asciiTheme="minorHAnsi" w:eastAsia="MS Mincho" w:hAnsiTheme="minorHAnsi"/>
          <w:i/>
          <w:sz w:val="22"/>
          <w:lang w:val="sq-AL"/>
        </w:rPr>
      </w:pPr>
      <w:r w:rsidRPr="000C4F22">
        <w:rPr>
          <w:rFonts w:asciiTheme="minorHAnsi" w:eastAsia="MS Mincho" w:hAnsiTheme="minorHAnsi"/>
          <w:i/>
          <w:sz w:val="22"/>
          <w:lang w:val="sq-AL"/>
        </w:rPr>
        <w:t>Mirembajtja e sistemit te thesarit dhe blerje licenca Oracle me vlerë 28 milionë lekë;</w:t>
      </w:r>
    </w:p>
    <w:p w:rsidR="000C4F22" w:rsidRPr="000C4F22" w:rsidRDefault="000C4F22" w:rsidP="003F6B21">
      <w:pPr>
        <w:pStyle w:val="ListParagraph"/>
        <w:numPr>
          <w:ilvl w:val="0"/>
          <w:numId w:val="44"/>
        </w:numPr>
        <w:jc w:val="both"/>
        <w:rPr>
          <w:rFonts w:asciiTheme="minorHAnsi" w:eastAsia="MS Mincho" w:hAnsiTheme="minorHAnsi"/>
          <w:i/>
          <w:sz w:val="22"/>
          <w:lang w:val="sq-AL"/>
        </w:rPr>
      </w:pPr>
      <w:r w:rsidRPr="000C4F22">
        <w:rPr>
          <w:rFonts w:asciiTheme="minorHAnsi" w:eastAsia="MS Mincho" w:hAnsiTheme="minorHAnsi"/>
          <w:i/>
          <w:sz w:val="22"/>
          <w:lang w:val="sq-AL"/>
        </w:rPr>
        <w:t>Krijimi i një mjedisi të ri dhomë serverash (data center), sistem tefonik voip dhe monitorimi i qendërzuar për DPT/DRT me vlerë 40 milionë lekë;</w:t>
      </w:r>
    </w:p>
    <w:p w:rsidR="000C4F22" w:rsidRPr="000C4F22" w:rsidRDefault="000C4F22" w:rsidP="003F6B21">
      <w:pPr>
        <w:pStyle w:val="ListParagraph"/>
        <w:numPr>
          <w:ilvl w:val="0"/>
          <w:numId w:val="44"/>
        </w:numPr>
        <w:jc w:val="both"/>
        <w:rPr>
          <w:rFonts w:asciiTheme="minorHAnsi" w:eastAsia="MS Mincho" w:hAnsiTheme="minorHAnsi"/>
          <w:i/>
          <w:sz w:val="22"/>
          <w:lang w:val="sq-AL"/>
        </w:rPr>
      </w:pPr>
      <w:r w:rsidRPr="000C4F22">
        <w:rPr>
          <w:rFonts w:asciiTheme="minorHAnsi" w:eastAsia="MS Mincho" w:hAnsiTheme="minorHAnsi"/>
          <w:i/>
          <w:sz w:val="22"/>
          <w:lang w:val="sq-AL"/>
        </w:rPr>
        <w:t>Ngritja e sistemit për shkëmbimin e Informacionit financiar me entitetet e huaja me vlerë</w:t>
      </w:r>
      <w:r>
        <w:rPr>
          <w:rFonts w:asciiTheme="minorHAnsi" w:eastAsia="MS Mincho" w:hAnsiTheme="minorHAnsi"/>
          <w:i/>
          <w:sz w:val="22"/>
          <w:lang w:val="sq-AL"/>
        </w:rPr>
        <w:t xml:space="preserve"> 41mln</w:t>
      </w:r>
      <w:r w:rsidRPr="000C4F22">
        <w:rPr>
          <w:rFonts w:asciiTheme="minorHAnsi" w:eastAsia="MS Mincho" w:hAnsiTheme="minorHAnsi"/>
          <w:i/>
          <w:sz w:val="22"/>
          <w:lang w:val="sq-AL"/>
        </w:rPr>
        <w:t xml:space="preserve"> lekë;</w:t>
      </w:r>
    </w:p>
    <w:p w:rsidR="000C4F22" w:rsidRPr="000C4F22" w:rsidRDefault="000C4F22" w:rsidP="003F6B21">
      <w:pPr>
        <w:pStyle w:val="ListParagraph"/>
        <w:numPr>
          <w:ilvl w:val="0"/>
          <w:numId w:val="44"/>
        </w:numPr>
        <w:jc w:val="both"/>
        <w:rPr>
          <w:rFonts w:asciiTheme="minorHAnsi" w:eastAsia="MS Mincho" w:hAnsiTheme="minorHAnsi"/>
          <w:i/>
          <w:sz w:val="22"/>
          <w:lang w:val="sq-AL"/>
        </w:rPr>
      </w:pPr>
      <w:r w:rsidRPr="000C4F22">
        <w:rPr>
          <w:rFonts w:asciiTheme="minorHAnsi" w:eastAsia="MS Mincho" w:hAnsiTheme="minorHAnsi"/>
          <w:i/>
          <w:sz w:val="22"/>
          <w:lang w:val="sq-AL"/>
        </w:rPr>
        <w:t>Janë paguar 58 milionë lekë për projekte të strehimit social.</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Njëkohësisht për periudhën 5-mujore të vitit 2022 janë mbyllur kontratat e investimit si më poshtë, ku ndër më kryesoret veçojmë: </w:t>
      </w:r>
    </w:p>
    <w:p w:rsidR="000C4F22" w:rsidRPr="000C4F22" w:rsidRDefault="000C4F22" w:rsidP="003F6B21">
      <w:pPr>
        <w:pStyle w:val="ListParagraph"/>
        <w:numPr>
          <w:ilvl w:val="0"/>
          <w:numId w:val="44"/>
        </w:numPr>
        <w:jc w:val="both"/>
        <w:rPr>
          <w:rFonts w:asciiTheme="minorHAnsi" w:eastAsia="MS Mincho" w:hAnsiTheme="minorHAnsi"/>
          <w:i/>
          <w:sz w:val="22"/>
          <w:szCs w:val="22"/>
          <w:lang w:val="sq-AL"/>
        </w:rPr>
      </w:pPr>
      <w:r w:rsidRPr="000C4F22">
        <w:rPr>
          <w:rFonts w:asciiTheme="minorHAnsi" w:eastAsia="MS Mincho" w:hAnsiTheme="minorHAnsi"/>
          <w:i/>
          <w:sz w:val="22"/>
          <w:szCs w:val="22"/>
          <w:lang w:val="sq-AL"/>
        </w:rPr>
        <w:t>Projekti  “Sistemi e-tax fraud&amp;investigation” me vlere te plote projketi 92 milionë lekë;</w:t>
      </w:r>
    </w:p>
    <w:p w:rsidR="000C4F22" w:rsidRPr="000C4F22" w:rsidRDefault="000C4F22" w:rsidP="003F6B21">
      <w:pPr>
        <w:pStyle w:val="ListParagraph"/>
        <w:numPr>
          <w:ilvl w:val="0"/>
          <w:numId w:val="44"/>
        </w:numPr>
        <w:jc w:val="both"/>
        <w:rPr>
          <w:rFonts w:asciiTheme="minorHAnsi" w:eastAsia="MS Mincho" w:hAnsiTheme="minorHAnsi"/>
          <w:i/>
          <w:sz w:val="22"/>
          <w:szCs w:val="22"/>
          <w:lang w:val="sq-AL"/>
        </w:rPr>
      </w:pPr>
      <w:r w:rsidRPr="000C4F22">
        <w:rPr>
          <w:rFonts w:asciiTheme="minorHAnsi" w:eastAsia="MS Mincho" w:hAnsiTheme="minorHAnsi"/>
          <w:i/>
          <w:sz w:val="22"/>
          <w:szCs w:val="22"/>
          <w:lang w:val="sq-AL"/>
        </w:rPr>
        <w:t xml:space="preserve">Projekti “Krijimi i një mjedisi të ri dhomë serverash(data center), sistem tefonik voip dhe monitorimi i qendërzuar për DPT/DRT” me vlere totale projekti 91 milionë lekë. </w:t>
      </w:r>
    </w:p>
    <w:p w:rsidR="000C4F22" w:rsidRPr="000C4F22" w:rsidRDefault="000C4F22" w:rsidP="003F6B21">
      <w:pPr>
        <w:pStyle w:val="ListParagraph"/>
        <w:numPr>
          <w:ilvl w:val="0"/>
          <w:numId w:val="44"/>
        </w:numPr>
        <w:jc w:val="both"/>
        <w:rPr>
          <w:rFonts w:asciiTheme="minorHAnsi" w:eastAsia="MS Mincho" w:hAnsiTheme="minorHAnsi"/>
          <w:i/>
          <w:sz w:val="22"/>
          <w:szCs w:val="22"/>
          <w:lang w:val="sq-AL"/>
        </w:rPr>
      </w:pPr>
      <w:r w:rsidRPr="000C4F22">
        <w:rPr>
          <w:rFonts w:asciiTheme="minorHAnsi" w:eastAsia="MS Mincho" w:hAnsiTheme="minorHAnsi"/>
          <w:i/>
          <w:sz w:val="22"/>
          <w:szCs w:val="22"/>
          <w:lang w:val="sq-AL"/>
        </w:rPr>
        <w:t>Projekti “Ngritja e sistemit për shkëmbimin e Informacionit financiar me entitetet e huaja” me vlere totale projekti 80 milionë lekë.</w:t>
      </w:r>
    </w:p>
    <w:p w:rsidR="000C4F22" w:rsidRDefault="000C4F22" w:rsidP="003F6B21">
      <w:pPr>
        <w:pStyle w:val="ListParagraph"/>
        <w:numPr>
          <w:ilvl w:val="0"/>
          <w:numId w:val="44"/>
        </w:numPr>
        <w:jc w:val="both"/>
        <w:rPr>
          <w:rFonts w:asciiTheme="minorHAnsi" w:eastAsia="MS Mincho" w:hAnsiTheme="minorHAnsi"/>
          <w:i/>
          <w:sz w:val="22"/>
          <w:szCs w:val="22"/>
          <w:lang w:val="sq-AL"/>
        </w:rPr>
      </w:pPr>
      <w:r w:rsidRPr="000C4F22">
        <w:rPr>
          <w:rFonts w:asciiTheme="minorHAnsi" w:eastAsia="MS Mincho" w:hAnsiTheme="minorHAnsi"/>
          <w:i/>
          <w:sz w:val="22"/>
          <w:szCs w:val="22"/>
          <w:lang w:val="sq-AL"/>
        </w:rPr>
        <w:t>Rikonstruksion dhe sinjalistike Dega Doganore Berat me vlerë totale projekti 83 milionë lekë.</w:t>
      </w:r>
    </w:p>
    <w:p w:rsidR="009647C4" w:rsidRDefault="009647C4" w:rsidP="009647C4">
      <w:pPr>
        <w:pStyle w:val="ListParagraph"/>
        <w:jc w:val="both"/>
        <w:rPr>
          <w:rFonts w:asciiTheme="minorHAnsi" w:eastAsia="MS Mincho" w:hAnsiTheme="minorHAnsi"/>
          <w:i/>
          <w:sz w:val="22"/>
          <w:szCs w:val="22"/>
          <w:lang w:val="sq-AL"/>
        </w:rPr>
      </w:pPr>
    </w:p>
    <w:p w:rsidR="009640B4" w:rsidRPr="009647C4" w:rsidRDefault="009640B4" w:rsidP="009647C4">
      <w:pPr>
        <w:spacing w:before="240"/>
        <w:jc w:val="both"/>
        <w:rPr>
          <w:rFonts w:asciiTheme="minorHAnsi" w:hAnsiTheme="minorHAnsi"/>
          <w:b/>
          <w:color w:val="0070C0"/>
          <w:lang w:val="sq-AL"/>
        </w:rPr>
      </w:pPr>
      <w:r w:rsidRPr="009647C4">
        <w:rPr>
          <w:rFonts w:asciiTheme="minorHAnsi" w:hAnsiTheme="minorHAnsi"/>
          <w:b/>
          <w:color w:val="0070C0"/>
          <w:lang w:val="sq-AL"/>
        </w:rPr>
        <w:t>Ministria e Arsimit dhe Sporteve</w:t>
      </w:r>
    </w:p>
    <w:p w:rsidR="003C5935" w:rsidRDefault="003C5935"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w:t>
      </w:r>
      <w:r>
        <w:rPr>
          <w:rFonts w:asciiTheme="minorHAnsi" w:eastAsiaTheme="minorHAnsi" w:hAnsiTheme="minorHAnsi"/>
          <w:lang w:val="sq-AL"/>
        </w:rPr>
        <w:t>m të brendshëm, realizimi për 5</w:t>
      </w:r>
      <w:r w:rsidRPr="0070086A">
        <w:rPr>
          <w:rFonts w:asciiTheme="minorHAnsi" w:eastAsiaTheme="minorHAnsi" w:hAnsiTheme="minorHAnsi"/>
          <w:lang w:val="sq-AL"/>
        </w:rPr>
        <w:t xml:space="preserve">mujorin </w:t>
      </w:r>
      <w:r>
        <w:rPr>
          <w:rFonts w:asciiTheme="minorHAnsi" w:eastAsiaTheme="minorHAnsi" w:hAnsiTheme="minorHAnsi"/>
          <w:lang w:val="sq-AL"/>
        </w:rPr>
        <w:t>2022 është 1.9</w:t>
      </w:r>
      <w:r w:rsidRPr="0070086A">
        <w:rPr>
          <w:rFonts w:asciiTheme="minorHAnsi" w:eastAsiaTheme="minorHAnsi" w:hAnsiTheme="minorHAnsi"/>
          <w:lang w:val="sq-AL"/>
        </w:rPr>
        <w:t xml:space="preserve">% </w:t>
      </w:r>
      <w:r>
        <w:rPr>
          <w:rFonts w:asciiTheme="minorHAnsi" w:eastAsiaTheme="minorHAnsi" w:hAnsiTheme="minorHAnsi"/>
          <w:lang w:val="sq-AL"/>
        </w:rPr>
        <w:t>e</w:t>
      </w:r>
      <w:r w:rsidRPr="0070086A">
        <w:rPr>
          <w:rFonts w:asciiTheme="minorHAnsi" w:eastAsiaTheme="minorHAnsi" w:hAnsiTheme="minorHAnsi"/>
          <w:lang w:val="sq-AL"/>
        </w:rPr>
        <w:t xml:space="preserve"> buxhetit fillestar realizuar ne masën 76.4 milionë lekë dhe</w:t>
      </w:r>
      <w:r>
        <w:rPr>
          <w:rFonts w:asciiTheme="minorHAnsi" w:eastAsiaTheme="minorHAnsi" w:hAnsiTheme="minorHAnsi"/>
          <w:lang w:val="sq-AL"/>
        </w:rPr>
        <w:t xml:space="preserve"> 2</w:t>
      </w:r>
      <w:r w:rsidRPr="0070086A">
        <w:rPr>
          <w:rFonts w:asciiTheme="minorHAnsi" w:eastAsiaTheme="minorHAnsi" w:hAnsiTheme="minorHAnsi"/>
          <w:lang w:val="sq-AL"/>
        </w:rPr>
        <w:t xml:space="preserve">% </w:t>
      </w:r>
      <w:r>
        <w:rPr>
          <w:rFonts w:asciiTheme="minorHAnsi" w:eastAsiaTheme="minorHAnsi" w:hAnsiTheme="minorHAnsi"/>
          <w:lang w:val="sq-AL"/>
        </w:rPr>
        <w:t>e</w:t>
      </w:r>
      <w:r w:rsidRPr="0070086A">
        <w:rPr>
          <w:rFonts w:asciiTheme="minorHAnsi" w:eastAsiaTheme="minorHAnsi" w:hAnsiTheme="minorHAnsi"/>
          <w:lang w:val="sq-AL"/>
        </w:rPr>
        <w:t xml:space="preserve"> planit të ndryshuar me AN nr.3</w:t>
      </w:r>
      <w:r>
        <w:rPr>
          <w:rFonts w:asciiTheme="minorHAnsi" w:eastAsiaTheme="minorHAnsi" w:hAnsiTheme="minorHAnsi"/>
          <w:lang w:val="sq-AL"/>
        </w:rPr>
        <w:t>/2022</w:t>
      </w:r>
      <w:r w:rsidRPr="0070086A">
        <w:rPr>
          <w:rFonts w:asciiTheme="minorHAnsi" w:eastAsiaTheme="minorHAnsi" w:hAnsiTheme="minorHAnsi"/>
          <w:lang w:val="sq-AL"/>
        </w:rPr>
        <w:t xml:space="preserve">. </w:t>
      </w:r>
    </w:p>
    <w:p w:rsidR="003C5935" w:rsidRPr="0070086A" w:rsidRDefault="003C5935"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 huaj realizimi për 5mujorin 2022 është 37.7% e buxhetit fillestar realizuar në masën 121 milionë lekë</w:t>
      </w:r>
      <w:r>
        <w:rPr>
          <w:rFonts w:asciiTheme="minorHAnsi" w:eastAsiaTheme="minorHAnsi" w:hAnsiTheme="minorHAnsi"/>
          <w:lang w:val="sq-AL"/>
        </w:rPr>
        <w:t>,</w:t>
      </w:r>
      <w:r w:rsidRPr="0070086A">
        <w:rPr>
          <w:rFonts w:asciiTheme="minorHAnsi" w:eastAsiaTheme="minorHAnsi" w:hAnsiTheme="minorHAnsi"/>
          <w:lang w:val="sq-AL"/>
        </w:rPr>
        <w:t xml:space="preserve"> të cilat vijnë nga projektet e granteve në arsimin universitar dhe fondeve për shkencën. </w:t>
      </w:r>
    </w:p>
    <w:p w:rsidR="003C5935" w:rsidRDefault="003C5935"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R</w:t>
      </w:r>
      <w:r w:rsidRPr="0070086A">
        <w:rPr>
          <w:rFonts w:asciiTheme="minorHAnsi" w:eastAsiaTheme="minorHAnsi" w:hAnsiTheme="minorHAnsi"/>
          <w:lang w:val="sq-AL"/>
        </w:rPr>
        <w:t xml:space="preserve">ealizimi </w:t>
      </w:r>
      <w:r>
        <w:rPr>
          <w:rFonts w:asciiTheme="minorHAnsi" w:eastAsiaTheme="minorHAnsi" w:hAnsiTheme="minorHAnsi"/>
          <w:lang w:val="sq-AL"/>
        </w:rPr>
        <w:t>5M n</w:t>
      </w:r>
      <w:r w:rsidR="009647C4">
        <w:rPr>
          <w:rFonts w:asciiTheme="minorHAnsi" w:eastAsiaTheme="minorHAnsi" w:hAnsiTheme="minorHAnsi"/>
          <w:lang w:val="sq-AL"/>
        </w:rPr>
        <w:t>ë</w:t>
      </w:r>
      <w:r>
        <w:rPr>
          <w:rFonts w:asciiTheme="minorHAnsi" w:eastAsiaTheme="minorHAnsi" w:hAnsiTheme="minorHAnsi"/>
          <w:lang w:val="sq-AL"/>
        </w:rPr>
        <w:t xml:space="preserve"> t</w:t>
      </w:r>
      <w:r w:rsidR="009647C4">
        <w:rPr>
          <w:rFonts w:asciiTheme="minorHAnsi" w:eastAsiaTheme="minorHAnsi" w:hAnsiTheme="minorHAnsi"/>
          <w:lang w:val="sq-AL"/>
        </w:rPr>
        <w:t>ë</w:t>
      </w:r>
      <w:r>
        <w:rPr>
          <w:rFonts w:asciiTheme="minorHAnsi" w:eastAsiaTheme="minorHAnsi" w:hAnsiTheme="minorHAnsi"/>
          <w:lang w:val="sq-AL"/>
        </w:rPr>
        <w:t>r</w:t>
      </w:r>
      <w:r w:rsidR="009647C4">
        <w:rPr>
          <w:rFonts w:asciiTheme="minorHAnsi" w:eastAsiaTheme="minorHAnsi" w:hAnsiTheme="minorHAnsi"/>
          <w:lang w:val="sq-AL"/>
        </w:rPr>
        <w:t>ë</w:t>
      </w:r>
      <w:r>
        <w:rPr>
          <w:rFonts w:asciiTheme="minorHAnsi" w:eastAsiaTheme="minorHAnsi" w:hAnsiTheme="minorHAnsi"/>
          <w:lang w:val="sq-AL"/>
        </w:rPr>
        <w:t xml:space="preserve">si </w:t>
      </w:r>
      <w:r w:rsidRPr="0070086A">
        <w:rPr>
          <w:rFonts w:asciiTheme="minorHAnsi" w:eastAsiaTheme="minorHAnsi" w:hAnsiTheme="minorHAnsi"/>
          <w:lang w:val="sq-AL"/>
        </w:rPr>
        <w:t xml:space="preserve">paraqitet tepër i ulët, por sipas raportimeve të MAS pritet që realizimi të </w:t>
      </w:r>
      <w:r>
        <w:rPr>
          <w:rFonts w:asciiTheme="minorHAnsi" w:eastAsiaTheme="minorHAnsi" w:hAnsiTheme="minorHAnsi"/>
          <w:lang w:val="sq-AL"/>
        </w:rPr>
        <w:t>p</w:t>
      </w:r>
      <w:r w:rsidR="009647C4">
        <w:rPr>
          <w:rFonts w:asciiTheme="minorHAnsi" w:eastAsiaTheme="minorHAnsi" w:hAnsiTheme="minorHAnsi"/>
          <w:lang w:val="sq-AL"/>
        </w:rPr>
        <w:t>ë</w:t>
      </w:r>
      <w:r>
        <w:rPr>
          <w:rFonts w:asciiTheme="minorHAnsi" w:eastAsiaTheme="minorHAnsi" w:hAnsiTheme="minorHAnsi"/>
          <w:lang w:val="sq-AL"/>
        </w:rPr>
        <w:t>rshpejtohet</w:t>
      </w:r>
      <w:r w:rsidRPr="0070086A">
        <w:rPr>
          <w:rFonts w:asciiTheme="minorHAnsi" w:eastAsiaTheme="minorHAnsi" w:hAnsiTheme="minorHAnsi"/>
          <w:lang w:val="sq-AL"/>
        </w:rPr>
        <w:t xml:space="preserve"> në muajt në vijim</w:t>
      </w:r>
      <w:r>
        <w:rPr>
          <w:rFonts w:asciiTheme="minorHAnsi" w:eastAsiaTheme="minorHAnsi" w:hAnsiTheme="minorHAnsi"/>
          <w:lang w:val="sq-AL"/>
        </w:rPr>
        <w:t>, pasi zbatimi</w:t>
      </w:r>
      <w:r w:rsidRPr="0070086A">
        <w:rPr>
          <w:rFonts w:asciiTheme="minorHAnsi" w:eastAsiaTheme="minorHAnsi" w:hAnsiTheme="minorHAnsi"/>
          <w:lang w:val="sq-AL"/>
        </w:rPr>
        <w:t xml:space="preserve"> për një pjesë të fondeve bëhet me thirrje të cilat janë shpallur për aplikime nga NJQV-te. Procedurat e prokurimeve sipas raportimit janë në proces dhe pritet të finalizohen në muajt në vijim. </w:t>
      </w:r>
    </w:p>
    <w:p w:rsidR="003C5935" w:rsidRPr="0070086A" w:rsidRDefault="003C5935" w:rsidP="002D6FC9">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Ndërkohë, projekti </w:t>
      </w:r>
      <w:r>
        <w:rPr>
          <w:rFonts w:asciiTheme="minorHAnsi" w:eastAsiaTheme="minorHAnsi" w:hAnsiTheme="minorHAnsi"/>
          <w:lang w:val="sq-AL"/>
        </w:rPr>
        <w:t>“</w:t>
      </w:r>
      <w:r w:rsidRPr="0070086A">
        <w:rPr>
          <w:rFonts w:asciiTheme="minorHAnsi" w:eastAsiaTheme="minorHAnsi" w:hAnsiTheme="minorHAnsi"/>
          <w:lang w:val="sq-AL"/>
        </w:rPr>
        <w:t xml:space="preserve">Studim, projektim </w:t>
      </w:r>
      <w:r>
        <w:rPr>
          <w:rFonts w:asciiTheme="minorHAnsi" w:eastAsiaTheme="minorHAnsi" w:hAnsiTheme="minorHAnsi"/>
          <w:lang w:val="sq-AL"/>
        </w:rPr>
        <w:t>i</w:t>
      </w:r>
      <w:r w:rsidRPr="0070086A">
        <w:rPr>
          <w:rFonts w:asciiTheme="minorHAnsi" w:eastAsiaTheme="minorHAnsi" w:hAnsiTheme="minorHAnsi"/>
          <w:lang w:val="sq-AL"/>
        </w:rPr>
        <w:t xml:space="preserve"> konvikteve</w:t>
      </w:r>
      <w:r>
        <w:rPr>
          <w:rFonts w:asciiTheme="minorHAnsi" w:eastAsiaTheme="minorHAnsi" w:hAnsiTheme="minorHAnsi"/>
          <w:lang w:val="sq-AL"/>
        </w:rPr>
        <w:t>”</w:t>
      </w:r>
      <w:r w:rsidRPr="0070086A">
        <w:rPr>
          <w:rFonts w:asciiTheme="minorHAnsi" w:eastAsiaTheme="minorHAnsi" w:hAnsiTheme="minorHAnsi"/>
          <w:lang w:val="sq-AL"/>
        </w:rPr>
        <w:t xml:space="preserve"> në vlerën e 500 milionë lekë sipas VKM </w:t>
      </w:r>
      <w:r w:rsidR="002D6FC9">
        <w:rPr>
          <w:rFonts w:asciiTheme="minorHAnsi" w:eastAsiaTheme="minorHAnsi" w:hAnsiTheme="minorHAnsi"/>
          <w:lang w:val="sq-AL"/>
        </w:rPr>
        <w:t>n</w:t>
      </w:r>
      <w:r w:rsidR="002D6FC9" w:rsidRPr="002D6FC9">
        <w:rPr>
          <w:rFonts w:asciiTheme="minorHAnsi" w:eastAsiaTheme="minorHAnsi" w:hAnsiTheme="minorHAnsi"/>
          <w:lang w:val="sq-AL"/>
        </w:rPr>
        <w:t>r.641 datë 20/07/2020 “</w:t>
      </w:r>
      <w:r w:rsidR="002D6FC9" w:rsidRPr="002D6FC9">
        <w:rPr>
          <w:rFonts w:asciiTheme="minorHAnsi" w:eastAsiaTheme="minorHAnsi" w:hAnsiTheme="minorHAnsi"/>
          <w:i/>
          <w:lang w:val="sq-AL"/>
        </w:rPr>
        <w:t>Për përcaktimin e autoritetit kontraktor për zhvillimin e procedurave të prokurimit publik për projektet “Ndërtim i Kampusit të Ri të Universitetit të Tiranës”, “Ndërtim i godinave të Universitetit të Arteve të Tiranës” dhe “Ndërtim i Korpusit të Policisë së Shtetit, Policisë Shkencore dhe Akademisë së Sigurisë</w:t>
      </w:r>
      <w:r w:rsidR="002D6FC9" w:rsidRPr="002D6FC9">
        <w:rPr>
          <w:rFonts w:asciiTheme="minorHAnsi" w:eastAsiaTheme="minorHAnsi" w:hAnsiTheme="minorHAnsi"/>
          <w:lang w:val="sq-AL"/>
        </w:rPr>
        <w:t>”</w:t>
      </w:r>
      <w:r w:rsidR="002D6FC9">
        <w:rPr>
          <w:rFonts w:asciiTheme="minorHAnsi" w:eastAsiaTheme="minorHAnsi" w:hAnsiTheme="minorHAnsi"/>
          <w:lang w:val="sq-AL"/>
        </w:rPr>
        <w:t>,</w:t>
      </w:r>
      <w:r w:rsidRPr="0070086A">
        <w:rPr>
          <w:rFonts w:asciiTheme="minorHAnsi" w:eastAsiaTheme="minorHAnsi" w:hAnsiTheme="minorHAnsi"/>
          <w:lang w:val="sq-AL"/>
        </w:rPr>
        <w:t>do të zbatohet nga Bashkia Tiranë.</w:t>
      </w:r>
    </w:p>
    <w:p w:rsidR="003C5935" w:rsidRPr="0070086A" w:rsidRDefault="003C5935"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Programet “Arsimi Universitar”  dhe “Fonde per Shkencen” </w:t>
      </w:r>
      <w:r w:rsidR="000C4F22">
        <w:rPr>
          <w:rFonts w:asciiTheme="minorHAnsi" w:eastAsiaTheme="minorHAnsi" w:hAnsiTheme="minorHAnsi"/>
          <w:lang w:val="sq-AL"/>
        </w:rPr>
        <w:t>paraqesin nj</w:t>
      </w:r>
      <w:r w:rsidR="009647C4">
        <w:rPr>
          <w:rFonts w:asciiTheme="minorHAnsi" w:eastAsiaTheme="minorHAnsi" w:hAnsiTheme="minorHAnsi"/>
          <w:lang w:val="sq-AL"/>
        </w:rPr>
        <w:t>ë</w:t>
      </w:r>
      <w:r w:rsidR="000C4F22">
        <w:rPr>
          <w:rFonts w:asciiTheme="minorHAnsi" w:eastAsiaTheme="minorHAnsi" w:hAnsiTheme="minorHAnsi"/>
          <w:lang w:val="sq-AL"/>
        </w:rPr>
        <w:t xml:space="preserve"> </w:t>
      </w:r>
      <w:r w:rsidRPr="0070086A">
        <w:rPr>
          <w:rFonts w:asciiTheme="minorHAnsi" w:eastAsiaTheme="minorHAnsi" w:hAnsiTheme="minorHAnsi"/>
          <w:lang w:val="sq-AL"/>
        </w:rPr>
        <w:t xml:space="preserve">realizim perkatesisht 2% dhe 21.8%. Programet e tjera të MAS nuk paraqesin realizim në zërin e investimeve. </w:t>
      </w:r>
    </w:p>
    <w:p w:rsidR="003C5935" w:rsidRDefault="000C4F22"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Kjo ministri, p</w:t>
      </w:r>
      <w:r w:rsidR="003C5935" w:rsidRPr="0070086A">
        <w:rPr>
          <w:rFonts w:asciiTheme="minorHAnsi" w:eastAsiaTheme="minorHAnsi" w:hAnsiTheme="minorHAnsi"/>
          <w:lang w:val="sq-AL"/>
        </w:rPr>
        <w:t xml:space="preserve">ër periudhën 5mujore 2022 nuk ka </w:t>
      </w:r>
      <w:r>
        <w:rPr>
          <w:rFonts w:asciiTheme="minorHAnsi" w:eastAsiaTheme="minorHAnsi" w:hAnsiTheme="minorHAnsi"/>
          <w:lang w:val="sq-AL"/>
        </w:rPr>
        <w:t>mbyllur asnj</w:t>
      </w:r>
      <w:r w:rsidR="009647C4">
        <w:rPr>
          <w:rFonts w:asciiTheme="minorHAnsi" w:eastAsiaTheme="minorHAnsi" w:hAnsiTheme="minorHAnsi"/>
          <w:lang w:val="sq-AL"/>
        </w:rPr>
        <w:t>ë</w:t>
      </w:r>
      <w:r>
        <w:rPr>
          <w:rFonts w:asciiTheme="minorHAnsi" w:eastAsiaTheme="minorHAnsi" w:hAnsiTheme="minorHAnsi"/>
          <w:lang w:val="sq-AL"/>
        </w:rPr>
        <w:t xml:space="preserve"> </w:t>
      </w:r>
      <w:r w:rsidR="003C5935" w:rsidRPr="0070086A">
        <w:rPr>
          <w:rFonts w:asciiTheme="minorHAnsi" w:eastAsiaTheme="minorHAnsi" w:hAnsiTheme="minorHAnsi"/>
          <w:lang w:val="sq-AL"/>
        </w:rPr>
        <w:t>kontrat</w:t>
      </w:r>
      <w:r w:rsidR="009647C4">
        <w:rPr>
          <w:rFonts w:asciiTheme="minorHAnsi" w:eastAsiaTheme="minorHAnsi" w:hAnsiTheme="minorHAnsi"/>
          <w:lang w:val="sq-AL"/>
        </w:rPr>
        <w:t>ë</w:t>
      </w:r>
      <w:r w:rsidR="003C5935" w:rsidRPr="0070086A">
        <w:rPr>
          <w:rFonts w:asciiTheme="minorHAnsi" w:eastAsiaTheme="minorHAnsi" w:hAnsiTheme="minorHAnsi"/>
          <w:lang w:val="sq-AL"/>
        </w:rPr>
        <w:t>.</w:t>
      </w:r>
    </w:p>
    <w:p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Kulturës</w:t>
      </w:r>
    </w:p>
    <w:p w:rsidR="000C4F22"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projektet me financim të brendshëm, realizimi për 5mujor 2022 është </w:t>
      </w:r>
      <w:r>
        <w:rPr>
          <w:rFonts w:asciiTheme="minorHAnsi" w:eastAsiaTheme="minorHAnsi" w:hAnsiTheme="minorHAnsi"/>
          <w:lang w:val="sq-AL"/>
        </w:rPr>
        <w:t>vet</w:t>
      </w:r>
      <w:r w:rsidR="009647C4">
        <w:rPr>
          <w:rFonts w:asciiTheme="minorHAnsi" w:eastAsiaTheme="minorHAnsi" w:hAnsiTheme="minorHAnsi"/>
          <w:lang w:val="sq-AL"/>
        </w:rPr>
        <w:t>ë</w:t>
      </w:r>
      <w:r>
        <w:rPr>
          <w:rFonts w:asciiTheme="minorHAnsi" w:eastAsiaTheme="minorHAnsi" w:hAnsiTheme="minorHAnsi"/>
          <w:lang w:val="sq-AL"/>
        </w:rPr>
        <w:t xml:space="preserve">m </w:t>
      </w:r>
      <w:r w:rsidRPr="0070086A">
        <w:rPr>
          <w:rFonts w:asciiTheme="minorHAnsi" w:eastAsiaTheme="minorHAnsi" w:hAnsiTheme="minorHAnsi"/>
          <w:lang w:val="sq-AL"/>
        </w:rPr>
        <w:t xml:space="preserve">0.1% </w:t>
      </w:r>
      <w:r>
        <w:rPr>
          <w:rFonts w:asciiTheme="minorHAnsi" w:eastAsiaTheme="minorHAnsi" w:hAnsiTheme="minorHAnsi"/>
          <w:lang w:val="sq-AL"/>
        </w:rPr>
        <w:t>e</w:t>
      </w:r>
      <w:r w:rsidRPr="0070086A">
        <w:rPr>
          <w:rFonts w:asciiTheme="minorHAnsi" w:eastAsiaTheme="minorHAnsi" w:hAnsiTheme="minorHAnsi"/>
          <w:lang w:val="sq-AL"/>
        </w:rPr>
        <w:t xml:space="preserve"> buxhetit fillestar</w:t>
      </w:r>
      <w:r>
        <w:rPr>
          <w:rFonts w:asciiTheme="minorHAnsi" w:eastAsiaTheme="minorHAnsi" w:hAnsiTheme="minorHAnsi"/>
          <w:lang w:val="sq-AL"/>
        </w:rPr>
        <w:t>,</w:t>
      </w:r>
      <w:r w:rsidRPr="0070086A">
        <w:rPr>
          <w:rFonts w:asciiTheme="minorHAnsi" w:eastAsiaTheme="minorHAnsi" w:hAnsiTheme="minorHAnsi"/>
          <w:lang w:val="sq-AL"/>
        </w:rPr>
        <w:t xml:space="preserve"> realizuar ne masën 1.6 milionë lekë. </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projektet me financim të huaj realizimi për 5mujorin 2022 është 2.5% </w:t>
      </w:r>
      <w:r>
        <w:rPr>
          <w:rFonts w:asciiTheme="minorHAnsi" w:eastAsiaTheme="minorHAnsi" w:hAnsiTheme="minorHAnsi"/>
          <w:lang w:val="sq-AL"/>
        </w:rPr>
        <w:t>e</w:t>
      </w:r>
      <w:r w:rsidRPr="0070086A">
        <w:rPr>
          <w:rFonts w:asciiTheme="minorHAnsi" w:eastAsiaTheme="minorHAnsi" w:hAnsiTheme="minorHAnsi"/>
          <w:lang w:val="sq-AL"/>
        </w:rPr>
        <w:t xml:space="preserve"> buxhetit</w:t>
      </w:r>
      <w:r>
        <w:rPr>
          <w:rFonts w:asciiTheme="minorHAnsi" w:eastAsiaTheme="minorHAnsi" w:hAnsiTheme="minorHAnsi"/>
          <w:lang w:val="sq-AL"/>
        </w:rPr>
        <w:t>,</w:t>
      </w:r>
      <w:r w:rsidRPr="0070086A">
        <w:rPr>
          <w:rFonts w:asciiTheme="minorHAnsi" w:eastAsiaTheme="minorHAnsi" w:hAnsiTheme="minorHAnsi"/>
          <w:lang w:val="sq-AL"/>
        </w:rPr>
        <w:t xml:space="preserve"> realizuar në masën 4 milionë lekë. </w:t>
      </w:r>
    </w:p>
    <w:p w:rsidR="000C4F22" w:rsidRDefault="000C4F22"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R</w:t>
      </w:r>
      <w:r w:rsidRPr="0070086A">
        <w:rPr>
          <w:rFonts w:asciiTheme="minorHAnsi" w:eastAsiaTheme="minorHAnsi" w:hAnsiTheme="minorHAnsi"/>
          <w:lang w:val="sq-AL"/>
        </w:rPr>
        <w:t xml:space="preserve">ealizimi i investimeve paraqitet tepër i ulët. Pjesa më e madhe e fondeve për MK është akorduar për projekte të reja si Godina e Teatrit Tiranë në vlerën e 900 milionë lekë,  Ndërtimi i Qendres Kombëtare Kulturore për Fëmije dhe Teatri i Kukullave në vlerën e 200 milionë lekë  dhe disa projektë të tjera. </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Aktualisht nga Ministria e Kulturës nuk janë kryer procedurat e prokurimit për pjesën më të madhe të projekteve</w:t>
      </w:r>
      <w:r>
        <w:rPr>
          <w:rFonts w:asciiTheme="minorHAnsi" w:eastAsiaTheme="minorHAnsi" w:hAnsiTheme="minorHAnsi"/>
          <w:lang w:val="sq-AL"/>
        </w:rPr>
        <w:t>,</w:t>
      </w:r>
      <w:r w:rsidRPr="0070086A">
        <w:rPr>
          <w:rFonts w:asciiTheme="minorHAnsi" w:eastAsiaTheme="minorHAnsi" w:hAnsiTheme="minorHAnsi"/>
          <w:lang w:val="sq-AL"/>
        </w:rPr>
        <w:t xml:space="preserve"> duke rrezikuar realizimin e fondeve deri në fund të vitit. </w:t>
      </w:r>
    </w:p>
    <w:p w:rsidR="000C4F22" w:rsidRPr="002D6FC9" w:rsidRDefault="000C4F22" w:rsidP="000C4F22">
      <w:pPr>
        <w:pStyle w:val="ListParagraph"/>
        <w:spacing w:line="276" w:lineRule="auto"/>
        <w:ind w:left="360"/>
        <w:jc w:val="both"/>
        <w:rPr>
          <w:rFonts w:asciiTheme="minorHAnsi" w:eastAsiaTheme="minorHAnsi" w:hAnsiTheme="minorHAnsi"/>
          <w:lang w:val="sq-AL"/>
        </w:rPr>
      </w:pPr>
    </w:p>
    <w:p w:rsidR="009640B4" w:rsidRPr="009647C4" w:rsidRDefault="009640B4"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Shëndetësisë dhe Mbrojtjes Sociale</w:t>
      </w:r>
    </w:p>
    <w:p w:rsidR="00B87B54"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w:t>
      </w:r>
      <w:r w:rsidR="00136F64" w:rsidRPr="0070086A">
        <w:rPr>
          <w:rFonts w:asciiTheme="minorHAnsi" w:eastAsiaTheme="minorHAnsi" w:hAnsiTheme="minorHAnsi"/>
          <w:lang w:val="sq-AL"/>
        </w:rPr>
        <w:t>projektet me financim të brendshëm</w:t>
      </w:r>
      <w:r w:rsidRPr="0070086A">
        <w:rPr>
          <w:rFonts w:asciiTheme="minorHAnsi" w:eastAsiaTheme="minorHAnsi" w:hAnsiTheme="minorHAnsi"/>
          <w:lang w:val="sq-AL"/>
        </w:rPr>
        <w:t xml:space="preserve">, realizimi për 5mujorin 2022 është 13.2% </w:t>
      </w:r>
      <w:r w:rsidR="00136F64">
        <w:rPr>
          <w:rFonts w:asciiTheme="minorHAnsi" w:eastAsiaTheme="minorHAnsi" w:hAnsiTheme="minorHAnsi"/>
          <w:lang w:val="sq-AL"/>
        </w:rPr>
        <w:t>e</w:t>
      </w:r>
      <w:r w:rsidRPr="0070086A">
        <w:rPr>
          <w:rFonts w:asciiTheme="minorHAnsi" w:eastAsiaTheme="minorHAnsi" w:hAnsiTheme="minorHAnsi"/>
          <w:lang w:val="sq-AL"/>
        </w:rPr>
        <w:t xml:space="preserve"> buxhetit fillestar dhe të ndryshuar</w:t>
      </w:r>
      <w:r w:rsidR="00B87B54">
        <w:rPr>
          <w:rFonts w:asciiTheme="minorHAnsi" w:eastAsiaTheme="minorHAnsi" w:hAnsiTheme="minorHAnsi"/>
          <w:lang w:val="sq-AL"/>
        </w:rPr>
        <w:t>,</w:t>
      </w:r>
      <w:r w:rsidRPr="0070086A">
        <w:rPr>
          <w:rFonts w:asciiTheme="minorHAnsi" w:eastAsiaTheme="minorHAnsi" w:hAnsiTheme="minorHAnsi"/>
          <w:lang w:val="sq-AL"/>
        </w:rPr>
        <w:t xml:space="preserve"> realizuar ne masën 177.6 milionë lekë. </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projektet me financim të huaj realizimi për 5mujorin e vitit 2022 është 80.6 % </w:t>
      </w:r>
      <w:r w:rsidR="00B87B54">
        <w:rPr>
          <w:rFonts w:asciiTheme="minorHAnsi" w:eastAsiaTheme="minorHAnsi" w:hAnsiTheme="minorHAnsi"/>
          <w:lang w:val="sq-AL"/>
        </w:rPr>
        <w:t>e</w:t>
      </w:r>
      <w:r w:rsidRPr="0070086A">
        <w:rPr>
          <w:rFonts w:asciiTheme="minorHAnsi" w:eastAsiaTheme="minorHAnsi" w:hAnsiTheme="minorHAnsi"/>
          <w:lang w:val="sq-AL"/>
        </w:rPr>
        <w:t xml:space="preserve"> buxhetit</w:t>
      </w:r>
      <w:r w:rsidR="00B87B54">
        <w:rPr>
          <w:rFonts w:asciiTheme="minorHAnsi" w:eastAsiaTheme="minorHAnsi" w:hAnsiTheme="minorHAnsi"/>
          <w:lang w:val="sq-AL"/>
        </w:rPr>
        <w:t>,</w:t>
      </w:r>
      <w:r w:rsidRPr="0070086A">
        <w:rPr>
          <w:rFonts w:asciiTheme="minorHAnsi" w:eastAsiaTheme="minorHAnsi" w:hAnsiTheme="minorHAnsi"/>
          <w:lang w:val="sq-AL"/>
        </w:rPr>
        <w:t xml:space="preserve"> realizuar në masën 1,137 milionë lekë. </w:t>
      </w:r>
    </w:p>
    <w:p w:rsidR="000C4F22" w:rsidRPr="0070086A" w:rsidRDefault="00B87B54"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 xml:space="preserve">Kjo ministri </w:t>
      </w:r>
      <w:r w:rsidR="000C4F22" w:rsidRPr="0070086A">
        <w:rPr>
          <w:rFonts w:asciiTheme="minorHAnsi" w:eastAsiaTheme="minorHAnsi" w:hAnsiTheme="minorHAnsi"/>
          <w:lang w:val="sq-AL"/>
        </w:rPr>
        <w:t xml:space="preserve">nuk </w:t>
      </w:r>
      <w:r>
        <w:rPr>
          <w:rFonts w:asciiTheme="minorHAnsi" w:eastAsiaTheme="minorHAnsi" w:hAnsiTheme="minorHAnsi"/>
          <w:lang w:val="sq-AL"/>
        </w:rPr>
        <w:t>ka</w:t>
      </w:r>
      <w:r w:rsidR="000C4F22" w:rsidRPr="0070086A">
        <w:rPr>
          <w:rFonts w:asciiTheme="minorHAnsi" w:eastAsiaTheme="minorHAnsi" w:hAnsiTheme="minorHAnsi"/>
          <w:lang w:val="sq-AL"/>
        </w:rPr>
        <w:t xml:space="preserve"> raportuar për problematika të cilat do të ndikojnë në realizimin e projekteve të investimeve. Procedurat e prokurimit për projektet e reja për disa projekte janë realizuar dhe disa të tjera janë në proces. Në muajt në vijim do të bëhet edhe realizimi i fondeve për projektet e miratuara.</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Përsa i përket projekteve me financim të brendshëm, programi  me planin më të lartë paraqitet  “Sherbimet e Kujdesit Dytesor” i cili është realizuar në masën 14.1% kundrejt planit prej 1,159 milionë  lekë.</w:t>
      </w: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Projektet kryesore të cilat kanë kontribuar në realizimin e investimeve me financim të brendshëm </w:t>
      </w:r>
      <w:r w:rsidR="00B87B54">
        <w:rPr>
          <w:rFonts w:asciiTheme="minorHAnsi" w:eastAsiaTheme="minorHAnsi" w:hAnsiTheme="minorHAnsi"/>
          <w:lang w:val="sq-AL"/>
        </w:rPr>
        <w:t>për 5</w:t>
      </w:r>
      <w:r w:rsidRPr="000C4F22">
        <w:rPr>
          <w:rFonts w:asciiTheme="minorHAnsi" w:eastAsiaTheme="minorHAnsi" w:hAnsiTheme="minorHAnsi"/>
          <w:lang w:val="sq-AL"/>
        </w:rPr>
        <w:t xml:space="preserve">mujorin </w:t>
      </w:r>
      <w:r w:rsidR="00B87B54">
        <w:rPr>
          <w:rFonts w:asciiTheme="minorHAnsi" w:eastAsiaTheme="minorHAnsi" w:hAnsiTheme="minorHAnsi"/>
          <w:lang w:val="sq-AL"/>
        </w:rPr>
        <w:t>2022 jan</w:t>
      </w:r>
      <w:r w:rsidR="009647C4">
        <w:rPr>
          <w:rFonts w:asciiTheme="minorHAnsi" w:eastAsiaTheme="minorHAnsi" w:hAnsiTheme="minorHAnsi"/>
          <w:lang w:val="sq-AL"/>
        </w:rPr>
        <w:t>ë</w:t>
      </w:r>
      <w:r w:rsidRPr="0070086A">
        <w:rPr>
          <w:rFonts w:asciiTheme="minorHAnsi" w:eastAsiaTheme="minorHAnsi" w:hAnsiTheme="minorHAnsi"/>
          <w:lang w:val="sq-AL"/>
        </w:rPr>
        <w:t>:</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Rikonstruksion i godines se pediatrise sp.Elbasan me vlerë 67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TVSH Ndertimi I Spitalit te Semundjeve Interne Q.S.U.T. në vlerën 50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Pagese e takses se infrastruktures per rikonstruksionin e godines se infektivit ne QSUT- nderhyrje nga UNOPS në vlerën 24 milionë lekë.</w:t>
      </w:r>
    </w:p>
    <w:p w:rsidR="00B87B54" w:rsidRPr="00B87B54" w:rsidRDefault="00B87B54" w:rsidP="009647C4">
      <w:pPr>
        <w:pStyle w:val="ListParagraph"/>
        <w:ind w:left="360"/>
        <w:jc w:val="both"/>
        <w:rPr>
          <w:rFonts w:asciiTheme="minorHAnsi" w:eastAsiaTheme="minorHAnsi" w:hAnsiTheme="minorHAnsi"/>
          <w:sz w:val="8"/>
          <w:szCs w:val="8"/>
          <w:lang w:val="sq-AL"/>
        </w:rPr>
      </w:pPr>
    </w:p>
    <w:p w:rsidR="000C4F22" w:rsidRPr="00B87B54" w:rsidRDefault="00B87B54"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P</w:t>
      </w:r>
      <w:r w:rsidR="000C4F22" w:rsidRPr="00B87B54">
        <w:rPr>
          <w:rFonts w:asciiTheme="minorHAnsi" w:eastAsiaTheme="minorHAnsi" w:hAnsiTheme="minorHAnsi"/>
          <w:lang w:val="sq-AL"/>
        </w:rPr>
        <w:t>rojekte</w:t>
      </w:r>
      <w:r>
        <w:rPr>
          <w:rFonts w:asciiTheme="minorHAnsi" w:eastAsiaTheme="minorHAnsi" w:hAnsiTheme="minorHAnsi"/>
          <w:lang w:val="sq-AL"/>
        </w:rPr>
        <w:t>t</w:t>
      </w:r>
      <w:r w:rsidR="000C4F22" w:rsidRPr="00B87B54">
        <w:rPr>
          <w:rFonts w:asciiTheme="minorHAnsi" w:eastAsiaTheme="minorHAnsi" w:hAnsiTheme="minorHAnsi"/>
          <w:lang w:val="sq-AL"/>
        </w:rPr>
        <w:t xml:space="preserve"> me financim të huaj të cilat kanë kontribuar në realizimin e  investimeve për 5mujorin </w:t>
      </w:r>
      <w:r>
        <w:rPr>
          <w:rFonts w:asciiTheme="minorHAnsi" w:eastAsiaTheme="minorHAnsi" w:hAnsiTheme="minorHAnsi"/>
          <w:lang w:val="sq-AL"/>
        </w:rPr>
        <w:t>2022,</w:t>
      </w:r>
      <w:r w:rsidR="000C4F22" w:rsidRPr="00B87B54">
        <w:rPr>
          <w:rFonts w:asciiTheme="minorHAnsi" w:eastAsiaTheme="minorHAnsi" w:hAnsiTheme="minorHAnsi"/>
          <w:lang w:val="sq-AL"/>
        </w:rPr>
        <w:t xml:space="preserve"> paraqiten si  vijon:</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Projekti Emergjenca Covid-19- kredi e Bankes Boterore në vlerën 591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Permiresimi i sistemit te shendetesise në vlerën 348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Faza e dyte  e zbatimit te master-planit te qsut- kredi e CEB-it (perfundimi i dy kateve te sp.te ri te ndertuar dhe rikonstruksioni i 6-katshit) vazhdim I Master Planit në vlerën 177</w:t>
      </w:r>
      <w:r w:rsidR="00B87B54">
        <w:rPr>
          <w:rFonts w:asciiTheme="minorHAnsi" w:eastAsia="MS Mincho" w:hAnsiTheme="minorHAnsi"/>
          <w:i/>
          <w:lang w:val="sq-AL"/>
        </w:rPr>
        <w:t>mln</w:t>
      </w:r>
      <w:r w:rsidRPr="00B87B54">
        <w:rPr>
          <w:rFonts w:asciiTheme="minorHAnsi" w:eastAsia="MS Mincho" w:hAnsiTheme="minorHAnsi"/>
          <w:i/>
          <w:lang w:val="sq-AL"/>
        </w:rPr>
        <w:t xml:space="preserve"> lekë.</w:t>
      </w:r>
    </w:p>
    <w:p w:rsidR="00B87B54" w:rsidRPr="00B87B54" w:rsidRDefault="00B87B54" w:rsidP="009647C4">
      <w:pPr>
        <w:pStyle w:val="ListParagraph"/>
        <w:ind w:left="360"/>
        <w:jc w:val="both"/>
        <w:rPr>
          <w:rFonts w:asciiTheme="minorHAnsi" w:eastAsiaTheme="minorHAnsi" w:hAnsiTheme="minorHAnsi"/>
          <w:sz w:val="8"/>
          <w:szCs w:val="8"/>
          <w:lang w:val="sq-AL"/>
        </w:rPr>
      </w:pPr>
    </w:p>
    <w:p w:rsidR="000C4F22" w:rsidRPr="0070086A" w:rsidRDefault="000C4F2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Njëkohësisht, për periudhën 5mujore janë mbyllur kontratat e investimit:</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 xml:space="preserve">F.V. pajisje kompjuterike per godinen e Drejtorise Qendrore te OSHKSH-se me vlere te plote projekti 1,8 milionë lekë; </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F.V unite dentare per kujdesin dentar te femijet me vlere totale projekti 14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Rikonstruksion  supervizim dhe kolaudim i pediatrise infektive ne QSUT me vlere te plote projekti 26,5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Rikonstruksion, supervizim dhe kolaudim  i godines se Arkives se Kartelave Mjekesore ne QSU Nene Tereza Tirane me vlere te plote projekti 9  milionë lekë;</w:t>
      </w:r>
    </w:p>
    <w:p w:rsidR="000C4F22" w:rsidRPr="00B87B54" w:rsidRDefault="000C4F22" w:rsidP="003F6B21">
      <w:pPr>
        <w:pStyle w:val="ListParagraph"/>
        <w:numPr>
          <w:ilvl w:val="0"/>
          <w:numId w:val="44"/>
        </w:numPr>
        <w:jc w:val="both"/>
        <w:rPr>
          <w:rFonts w:asciiTheme="minorHAnsi" w:eastAsia="MS Mincho" w:hAnsiTheme="minorHAnsi"/>
          <w:i/>
          <w:lang w:val="sq-AL"/>
        </w:rPr>
      </w:pPr>
      <w:r w:rsidRPr="00B87B54">
        <w:rPr>
          <w:rFonts w:asciiTheme="minorHAnsi" w:eastAsia="MS Mincho" w:hAnsiTheme="minorHAnsi"/>
          <w:i/>
          <w:lang w:val="sq-AL"/>
        </w:rPr>
        <w:t>Rikonstruksion supervizim dhe kolaudim  i QKMZHRF Tirane me vlere te plote projekti 127 milionë lekë.</w:t>
      </w:r>
    </w:p>
    <w:p w:rsidR="009640B4" w:rsidRPr="00B85B6E" w:rsidRDefault="009640B4" w:rsidP="009647C4">
      <w:pPr>
        <w:jc w:val="both"/>
        <w:rPr>
          <w:rFonts w:asciiTheme="minorHAnsi" w:hAnsiTheme="minorHAnsi"/>
          <w:b/>
          <w:sz w:val="12"/>
          <w:lang w:val="sq-AL"/>
        </w:rPr>
      </w:pPr>
    </w:p>
    <w:p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Drejtësisë</w:t>
      </w:r>
    </w:p>
    <w:p w:rsidR="00B85B6E" w:rsidRDefault="00B85B6E"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projektet me financim të brendshëm, realizimi për 5mujorin 2022 është 0.7% </w:t>
      </w:r>
      <w:r>
        <w:rPr>
          <w:rFonts w:asciiTheme="minorHAnsi" w:eastAsiaTheme="minorHAnsi" w:hAnsiTheme="minorHAnsi"/>
          <w:lang w:val="sq-AL"/>
        </w:rPr>
        <w:t>e</w:t>
      </w:r>
      <w:r w:rsidRPr="0070086A">
        <w:rPr>
          <w:rFonts w:asciiTheme="minorHAnsi" w:eastAsiaTheme="minorHAnsi" w:hAnsiTheme="minorHAnsi"/>
          <w:lang w:val="sq-AL"/>
        </w:rPr>
        <w:t xml:space="preserve"> buxhetit fillestar realizuar ne masën 4 milionë lekë dhe 0.8 % të planit të ndryshuar me AN nr.3</w:t>
      </w:r>
      <w:r>
        <w:rPr>
          <w:rFonts w:asciiTheme="minorHAnsi" w:eastAsiaTheme="minorHAnsi" w:hAnsiTheme="minorHAnsi"/>
          <w:lang w:val="sq-AL"/>
        </w:rPr>
        <w:t>/2022</w:t>
      </w:r>
      <w:r w:rsidRPr="0070086A">
        <w:rPr>
          <w:rFonts w:asciiTheme="minorHAnsi" w:eastAsiaTheme="minorHAnsi" w:hAnsiTheme="minorHAnsi"/>
          <w:lang w:val="sq-AL"/>
        </w:rPr>
        <w:t xml:space="preserve">. </w:t>
      </w:r>
    </w:p>
    <w:p w:rsidR="00B85B6E" w:rsidRPr="0070086A" w:rsidRDefault="00B85B6E"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w:t>
      </w:r>
      <w:r>
        <w:rPr>
          <w:rFonts w:asciiTheme="minorHAnsi" w:eastAsiaTheme="minorHAnsi" w:hAnsiTheme="minorHAnsi"/>
          <w:lang w:val="sq-AL"/>
        </w:rPr>
        <w:t xml:space="preserve"> huaj nuk ka realizim për 5</w:t>
      </w:r>
      <w:r w:rsidRPr="0070086A">
        <w:rPr>
          <w:rFonts w:asciiTheme="minorHAnsi" w:eastAsiaTheme="minorHAnsi" w:hAnsiTheme="minorHAnsi"/>
          <w:lang w:val="sq-AL"/>
        </w:rPr>
        <w:t xml:space="preserve">mujorin 2022. </w:t>
      </w:r>
    </w:p>
    <w:p w:rsidR="00B85B6E" w:rsidRPr="0070086A" w:rsidRDefault="00B85B6E"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w:t>
      </w:r>
      <w:r>
        <w:rPr>
          <w:rFonts w:asciiTheme="minorHAnsi" w:eastAsiaTheme="minorHAnsi" w:hAnsiTheme="minorHAnsi"/>
          <w:lang w:val="sq-AL"/>
        </w:rPr>
        <w:t>k</w:t>
      </w:r>
      <w:r w:rsidR="009647C4">
        <w:rPr>
          <w:rFonts w:asciiTheme="minorHAnsi" w:eastAsiaTheme="minorHAnsi" w:hAnsiTheme="minorHAnsi"/>
          <w:lang w:val="sq-AL"/>
        </w:rPr>
        <w:t>ë</w:t>
      </w:r>
      <w:r>
        <w:rPr>
          <w:rFonts w:asciiTheme="minorHAnsi" w:eastAsiaTheme="minorHAnsi" w:hAnsiTheme="minorHAnsi"/>
          <w:lang w:val="sq-AL"/>
        </w:rPr>
        <w:t>t</w:t>
      </w:r>
      <w:r w:rsidR="009647C4">
        <w:rPr>
          <w:rFonts w:asciiTheme="minorHAnsi" w:eastAsiaTheme="minorHAnsi" w:hAnsiTheme="minorHAnsi"/>
          <w:lang w:val="sq-AL"/>
        </w:rPr>
        <w:t>ë</w:t>
      </w:r>
      <w:r>
        <w:rPr>
          <w:rFonts w:asciiTheme="minorHAnsi" w:eastAsiaTheme="minorHAnsi" w:hAnsiTheme="minorHAnsi"/>
          <w:lang w:val="sq-AL"/>
        </w:rPr>
        <w:t xml:space="preserve"> ministri,</w:t>
      </w:r>
      <w:r w:rsidRPr="0070086A">
        <w:rPr>
          <w:rFonts w:asciiTheme="minorHAnsi" w:eastAsiaTheme="minorHAnsi" w:hAnsiTheme="minorHAnsi"/>
          <w:lang w:val="sq-AL"/>
        </w:rPr>
        <w:t xml:space="preserve"> realizimi i investimeve paraqitet tepër i ulët. Ky realizim lidhet me faktin se shumica e projekteve të MD janë projekte të reja dhe janë në proces prokurimi. </w:t>
      </w:r>
      <w:r>
        <w:rPr>
          <w:rFonts w:asciiTheme="minorHAnsi" w:eastAsiaTheme="minorHAnsi" w:hAnsiTheme="minorHAnsi"/>
          <w:lang w:val="sq-AL"/>
        </w:rPr>
        <w:t>Megjithat</w:t>
      </w:r>
      <w:r w:rsidR="009647C4">
        <w:rPr>
          <w:rFonts w:asciiTheme="minorHAnsi" w:eastAsiaTheme="minorHAnsi" w:hAnsiTheme="minorHAnsi"/>
          <w:lang w:val="sq-AL"/>
        </w:rPr>
        <w:t>ë</w:t>
      </w:r>
      <w:r>
        <w:rPr>
          <w:rFonts w:asciiTheme="minorHAnsi" w:eastAsiaTheme="minorHAnsi" w:hAnsiTheme="minorHAnsi"/>
          <w:lang w:val="sq-AL"/>
        </w:rPr>
        <w:t>, n</w:t>
      </w:r>
      <w:r w:rsidRPr="0070086A">
        <w:rPr>
          <w:rFonts w:asciiTheme="minorHAnsi" w:eastAsiaTheme="minorHAnsi" w:hAnsiTheme="minorHAnsi"/>
          <w:lang w:val="sq-AL"/>
        </w:rPr>
        <w:t>ga MD nuk është raportuar për problematika të cilat do të ndikojnë në realizimin e projekteve të ivnestimeve.</w:t>
      </w:r>
    </w:p>
    <w:p w:rsidR="00B85B6E" w:rsidRPr="00B85B6E" w:rsidRDefault="00B85B6E" w:rsidP="006F25E7">
      <w:pPr>
        <w:spacing w:line="276" w:lineRule="auto"/>
        <w:jc w:val="both"/>
        <w:rPr>
          <w:rFonts w:asciiTheme="minorHAnsi" w:hAnsiTheme="minorHAnsi"/>
          <w:b/>
          <w:sz w:val="12"/>
          <w:lang w:val="sq-AL"/>
        </w:rPr>
      </w:pPr>
    </w:p>
    <w:p w:rsidR="009640B4" w:rsidRPr="009647C4" w:rsidRDefault="009640B4" w:rsidP="006F25E7">
      <w:pPr>
        <w:shd w:val="clear" w:color="auto" w:fill="FFFFFF"/>
        <w:spacing w:line="276" w:lineRule="auto"/>
        <w:rPr>
          <w:rFonts w:asciiTheme="minorHAnsi" w:hAnsiTheme="minorHAnsi"/>
          <w:sz w:val="12"/>
          <w:lang w:val="sq-AL"/>
        </w:rPr>
      </w:pPr>
    </w:p>
    <w:p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për Evropën dhe Punët e Jashtme</w:t>
      </w:r>
    </w:p>
    <w:p w:rsidR="00B85B6E" w:rsidRPr="00B85B6E" w:rsidRDefault="00B85B6E"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w:t>
      </w:r>
      <w:r w:rsidRPr="00B85B6E">
        <w:rPr>
          <w:rFonts w:asciiTheme="minorHAnsi" w:eastAsiaTheme="minorHAnsi" w:hAnsiTheme="minorHAnsi"/>
          <w:lang w:val="sq-AL"/>
        </w:rPr>
        <w:t xml:space="preserve">projektet me financim të brendshëm, realizimi për 5mujorin e vitit 2022 është 29.8% të buxhetit fillestar realizuar ne masën 27.1 milionë lekë. </w:t>
      </w:r>
    </w:p>
    <w:p w:rsidR="00B85B6E" w:rsidRPr="00B85B6E" w:rsidRDefault="00B85B6E" w:rsidP="003F6B21">
      <w:pPr>
        <w:pStyle w:val="ListParagraph"/>
        <w:numPr>
          <w:ilvl w:val="0"/>
          <w:numId w:val="43"/>
        </w:numPr>
        <w:ind w:left="360"/>
        <w:jc w:val="both"/>
        <w:rPr>
          <w:rFonts w:asciiTheme="minorHAnsi" w:eastAsiaTheme="minorHAnsi" w:hAnsiTheme="minorHAnsi"/>
          <w:lang w:val="sq-AL"/>
        </w:rPr>
      </w:pPr>
      <w:r w:rsidRPr="00B85B6E">
        <w:rPr>
          <w:rFonts w:asciiTheme="minorHAnsi" w:eastAsiaTheme="minorHAnsi" w:hAnsiTheme="minorHAnsi"/>
          <w:lang w:val="sq-AL"/>
        </w:rPr>
        <w:t>Për projektet me financim të huaj realizimi për 5-mujorin e vitit 2022 është 17.5% e buxhetit fillestar realizuar në masën 14.1 milionë lekë.</w:t>
      </w:r>
    </w:p>
    <w:p w:rsidR="00B85B6E" w:rsidRPr="00B85B6E" w:rsidRDefault="00A42CBF"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Kjo ministri nuk ka</w:t>
      </w:r>
      <w:r w:rsidR="00B85B6E" w:rsidRPr="00B85B6E">
        <w:rPr>
          <w:rFonts w:asciiTheme="minorHAnsi" w:eastAsiaTheme="minorHAnsi" w:hAnsiTheme="minorHAnsi"/>
          <w:lang w:val="sq-AL"/>
        </w:rPr>
        <w:t xml:space="preserve"> raportuar për problematika të cilat do të ndikojnë në realizimin e projekteve të investimeve.</w:t>
      </w:r>
    </w:p>
    <w:p w:rsidR="00B85B6E" w:rsidRPr="00B85B6E" w:rsidRDefault="00B85B6E" w:rsidP="003F6B21">
      <w:pPr>
        <w:pStyle w:val="ListParagraph"/>
        <w:numPr>
          <w:ilvl w:val="0"/>
          <w:numId w:val="43"/>
        </w:numPr>
        <w:ind w:left="360"/>
        <w:jc w:val="both"/>
        <w:rPr>
          <w:rFonts w:asciiTheme="minorHAnsi" w:eastAsiaTheme="minorHAnsi" w:hAnsiTheme="minorHAnsi"/>
          <w:lang w:val="sq-AL"/>
        </w:rPr>
      </w:pPr>
      <w:r w:rsidRPr="00B85B6E">
        <w:rPr>
          <w:rFonts w:asciiTheme="minorHAnsi" w:eastAsiaTheme="minorHAnsi" w:hAnsiTheme="minorHAnsi"/>
          <w:lang w:val="sq-AL"/>
        </w:rPr>
        <w:t xml:space="preserve">Projektet kryesore të cilat kanë kontribuar në realizimin e investimeve për 5mujorin </w:t>
      </w:r>
      <w:r w:rsidR="00A42CBF">
        <w:rPr>
          <w:rFonts w:asciiTheme="minorHAnsi" w:eastAsiaTheme="minorHAnsi" w:hAnsiTheme="minorHAnsi"/>
          <w:lang w:val="sq-AL"/>
        </w:rPr>
        <w:t>2022, jan</w:t>
      </w:r>
      <w:r w:rsidR="009647C4">
        <w:rPr>
          <w:rFonts w:asciiTheme="minorHAnsi" w:eastAsiaTheme="minorHAnsi" w:hAnsiTheme="minorHAnsi"/>
          <w:lang w:val="sq-AL"/>
        </w:rPr>
        <w:t>ë</w:t>
      </w:r>
      <w:r w:rsidRPr="00B85B6E">
        <w:rPr>
          <w:rFonts w:asciiTheme="minorHAnsi" w:eastAsiaTheme="minorHAnsi" w:hAnsiTheme="minorHAnsi"/>
          <w:lang w:val="sq-AL"/>
        </w:rPr>
        <w:t>:</w:t>
      </w:r>
    </w:p>
    <w:p w:rsidR="00B85B6E" w:rsidRPr="00A42CBF" w:rsidRDefault="00B85B6E" w:rsidP="003F6B21">
      <w:pPr>
        <w:pStyle w:val="ListParagraph"/>
        <w:numPr>
          <w:ilvl w:val="0"/>
          <w:numId w:val="44"/>
        </w:numPr>
        <w:jc w:val="both"/>
        <w:rPr>
          <w:rFonts w:asciiTheme="minorHAnsi" w:eastAsia="MS Mincho" w:hAnsiTheme="minorHAnsi"/>
          <w:i/>
          <w:lang w:val="sq-AL"/>
        </w:rPr>
      </w:pPr>
      <w:r w:rsidRPr="00A42CBF">
        <w:rPr>
          <w:rFonts w:asciiTheme="minorHAnsi" w:eastAsia="MS Mincho" w:hAnsiTheme="minorHAnsi"/>
          <w:i/>
          <w:lang w:val="sq-AL"/>
        </w:rPr>
        <w:t>Rikonstruksion i ambjenteve të pritjes dhe hollit në vlerën 16 milionë lekë;</w:t>
      </w:r>
    </w:p>
    <w:p w:rsidR="00B85B6E" w:rsidRPr="00A42CBF" w:rsidRDefault="00B85B6E" w:rsidP="003F6B21">
      <w:pPr>
        <w:pStyle w:val="ListParagraph"/>
        <w:numPr>
          <w:ilvl w:val="0"/>
          <w:numId w:val="44"/>
        </w:numPr>
        <w:jc w:val="both"/>
        <w:rPr>
          <w:rFonts w:asciiTheme="minorHAnsi" w:eastAsia="MS Mincho" w:hAnsiTheme="minorHAnsi"/>
          <w:i/>
          <w:lang w:val="sq-AL"/>
        </w:rPr>
      </w:pPr>
      <w:r w:rsidRPr="00A42CBF">
        <w:rPr>
          <w:rFonts w:asciiTheme="minorHAnsi" w:eastAsia="MS Mincho" w:hAnsiTheme="minorHAnsi"/>
          <w:i/>
          <w:lang w:val="sq-AL"/>
        </w:rPr>
        <w:t>Blerje pajisje në vlerën 7 milionë lekë.</w:t>
      </w:r>
    </w:p>
    <w:p w:rsidR="00B85B6E" w:rsidRPr="002D6FC9" w:rsidRDefault="00B85B6E" w:rsidP="00A42CBF">
      <w:pPr>
        <w:pStyle w:val="ListParagraph"/>
        <w:jc w:val="both"/>
        <w:rPr>
          <w:rFonts w:asciiTheme="minorHAnsi" w:eastAsia="MS Mincho" w:hAnsiTheme="minorHAnsi"/>
          <w:i/>
          <w:sz w:val="8"/>
          <w:lang w:val="sq-AL"/>
        </w:rPr>
      </w:pPr>
    </w:p>
    <w:p w:rsidR="00B85B6E" w:rsidRPr="009647C4" w:rsidRDefault="00B85B6E" w:rsidP="006F25E7">
      <w:pPr>
        <w:shd w:val="clear" w:color="auto" w:fill="FFFFFF"/>
        <w:spacing w:line="276" w:lineRule="auto"/>
        <w:rPr>
          <w:rFonts w:asciiTheme="minorHAnsi" w:hAnsiTheme="minorHAnsi"/>
          <w:sz w:val="12"/>
          <w:lang w:val="sq-AL"/>
        </w:rPr>
      </w:pPr>
    </w:p>
    <w:p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Brendshme</w:t>
      </w:r>
    </w:p>
    <w:p w:rsidR="00A42CBF"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 brendshëm</w:t>
      </w:r>
      <w:r>
        <w:rPr>
          <w:rFonts w:asciiTheme="minorHAnsi" w:eastAsiaTheme="minorHAnsi" w:hAnsiTheme="minorHAnsi"/>
          <w:lang w:val="sq-AL"/>
        </w:rPr>
        <w:t>, realizimi për 5</w:t>
      </w:r>
      <w:r w:rsidRPr="0070086A">
        <w:rPr>
          <w:rFonts w:asciiTheme="minorHAnsi" w:eastAsiaTheme="minorHAnsi" w:hAnsiTheme="minorHAnsi"/>
          <w:lang w:val="sq-AL"/>
        </w:rPr>
        <w:t xml:space="preserve">mujorin 2022 është 8.7% </w:t>
      </w:r>
      <w:r>
        <w:rPr>
          <w:rFonts w:asciiTheme="minorHAnsi" w:eastAsiaTheme="minorHAnsi" w:hAnsiTheme="minorHAnsi"/>
          <w:lang w:val="sq-AL"/>
        </w:rPr>
        <w:t>e</w:t>
      </w:r>
      <w:r w:rsidRPr="0070086A">
        <w:rPr>
          <w:rFonts w:asciiTheme="minorHAnsi" w:eastAsiaTheme="minorHAnsi" w:hAnsiTheme="minorHAnsi"/>
          <w:lang w:val="sq-AL"/>
        </w:rPr>
        <w:t xml:space="preserve"> buxhetit fillestar realizuar ne masën 87.5 milionë lekë dhe 8.4% </w:t>
      </w:r>
      <w:r>
        <w:rPr>
          <w:rFonts w:asciiTheme="minorHAnsi" w:eastAsiaTheme="minorHAnsi" w:hAnsiTheme="minorHAnsi"/>
          <w:lang w:val="sq-AL"/>
        </w:rPr>
        <w:t>e</w:t>
      </w:r>
      <w:r w:rsidRPr="0070086A">
        <w:rPr>
          <w:rFonts w:asciiTheme="minorHAnsi" w:eastAsiaTheme="minorHAnsi" w:hAnsiTheme="minorHAnsi"/>
          <w:lang w:val="sq-AL"/>
        </w:rPr>
        <w:t xml:space="preserve"> planit të ndryshuar me AN nr.3</w:t>
      </w:r>
      <w:r>
        <w:rPr>
          <w:rFonts w:asciiTheme="minorHAnsi" w:eastAsiaTheme="minorHAnsi" w:hAnsiTheme="minorHAnsi"/>
          <w:lang w:val="sq-AL"/>
        </w:rPr>
        <w:t>/2022</w:t>
      </w:r>
      <w:r w:rsidRPr="0070086A">
        <w:rPr>
          <w:rFonts w:asciiTheme="minorHAnsi" w:eastAsiaTheme="minorHAnsi" w:hAnsiTheme="minorHAnsi"/>
          <w:lang w:val="sq-AL"/>
        </w:rPr>
        <w:t xml:space="preserve">. </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 huaj realizimi për 5mujorin 2022 është</w:t>
      </w:r>
      <w:r>
        <w:rPr>
          <w:rFonts w:asciiTheme="minorHAnsi" w:eastAsiaTheme="minorHAnsi" w:hAnsiTheme="minorHAnsi"/>
          <w:lang w:val="sq-AL"/>
        </w:rPr>
        <w:t xml:space="preserve"> </w:t>
      </w:r>
      <w:r w:rsidRPr="0070086A">
        <w:rPr>
          <w:rFonts w:asciiTheme="minorHAnsi" w:eastAsiaTheme="minorHAnsi" w:hAnsiTheme="minorHAnsi"/>
          <w:lang w:val="sq-AL"/>
        </w:rPr>
        <w:t xml:space="preserve">114.8% </w:t>
      </w:r>
      <w:r>
        <w:rPr>
          <w:rFonts w:asciiTheme="minorHAnsi" w:eastAsiaTheme="minorHAnsi" w:hAnsiTheme="minorHAnsi"/>
          <w:lang w:val="sq-AL"/>
        </w:rPr>
        <w:t>e</w:t>
      </w:r>
      <w:r w:rsidRPr="0070086A">
        <w:rPr>
          <w:rFonts w:asciiTheme="minorHAnsi" w:eastAsiaTheme="minorHAnsi" w:hAnsiTheme="minorHAnsi"/>
          <w:lang w:val="sq-AL"/>
        </w:rPr>
        <w:t xml:space="preserve"> buxhetit realizuar në masën 403 milionë lekë. </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Kjo ministri nuk ka</w:t>
      </w:r>
      <w:r w:rsidRPr="00B85B6E">
        <w:rPr>
          <w:rFonts w:asciiTheme="minorHAnsi" w:eastAsiaTheme="minorHAnsi" w:hAnsiTheme="minorHAnsi"/>
          <w:lang w:val="sq-AL"/>
        </w:rPr>
        <w:t xml:space="preserve"> raportuar për problematika </w:t>
      </w:r>
      <w:r w:rsidRPr="0070086A">
        <w:rPr>
          <w:rFonts w:asciiTheme="minorHAnsi" w:eastAsiaTheme="minorHAnsi" w:hAnsiTheme="minorHAnsi"/>
          <w:lang w:val="sq-AL"/>
        </w:rPr>
        <w:t>të cilat do të ndikojnë në realizimin e projekteve të ivnestimeve.</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Përsa i përket projekteve me financim të brendshëm, programi me realizimin më të mirë dhe me planin më të lartë është programi “Policia e Shtetit” i cili paraqitet me realizim 10.3% kundrejt planit prej 789 milionë lekë.</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Përsa i përket projekteve me financim të huaj, programi me realizimin më të mirë dhe me planin më të lartë është programi “Policia e Shtetit” i cili paraqitet me realizim 117% kundrejt planit prej 335 milionë lekë.</w:t>
      </w:r>
    </w:p>
    <w:p w:rsidR="00A42CBF" w:rsidRPr="00A42CBF" w:rsidRDefault="00A42CBF" w:rsidP="009647C4">
      <w:pPr>
        <w:pStyle w:val="ListParagraph"/>
        <w:ind w:left="360"/>
        <w:jc w:val="both"/>
        <w:rPr>
          <w:rFonts w:asciiTheme="minorHAnsi" w:eastAsiaTheme="minorHAnsi" w:hAnsiTheme="minorHAnsi"/>
          <w:sz w:val="8"/>
          <w:szCs w:val="8"/>
          <w:lang w:val="sq-AL"/>
        </w:rPr>
      </w:pP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Projektet kryesore të cilat kanë kontribuar në realizimin e investimeve </w:t>
      </w:r>
      <w:r w:rsidRPr="00A42CBF">
        <w:rPr>
          <w:rFonts w:asciiTheme="minorHAnsi" w:eastAsiaTheme="minorHAnsi" w:hAnsiTheme="minorHAnsi"/>
          <w:lang w:val="sq-AL"/>
        </w:rPr>
        <w:t xml:space="preserve">për 5mujorin </w:t>
      </w:r>
      <w:r>
        <w:rPr>
          <w:rFonts w:asciiTheme="minorHAnsi" w:eastAsiaTheme="minorHAnsi" w:hAnsiTheme="minorHAnsi"/>
          <w:lang w:val="sq-AL"/>
        </w:rPr>
        <w:t>2022, jan</w:t>
      </w:r>
      <w:r w:rsidR="009647C4">
        <w:rPr>
          <w:rFonts w:asciiTheme="minorHAnsi" w:eastAsiaTheme="minorHAnsi" w:hAnsiTheme="minorHAnsi"/>
          <w:lang w:val="sq-AL"/>
        </w:rPr>
        <w:t>ë</w:t>
      </w:r>
      <w:r w:rsidRPr="0070086A">
        <w:rPr>
          <w:rFonts w:asciiTheme="minorHAnsi" w:eastAsiaTheme="minorHAnsi" w:hAnsiTheme="minorHAnsi"/>
          <w:lang w:val="sq-AL"/>
        </w:rPr>
        <w:t>:</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Projekti “Rikonstruksion  i godines se  DVP Diber” me vlerë 45 milionë lekë;</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 xml:space="preserve">Projekti “Pagese TVSH-je, -Mbeshtetje e BE për menaxhimin efektiv të kufijve të gjelbër, kufijtë blu në Shqipëri - EU4 SAFE ALB” me vlerë 36 milionë lekë.  </w:t>
      </w:r>
    </w:p>
    <w:p w:rsidR="00A42CBF" w:rsidRPr="00A42CBF" w:rsidRDefault="00A42CBF" w:rsidP="009647C4">
      <w:pPr>
        <w:pStyle w:val="ListParagraph"/>
        <w:ind w:left="360"/>
        <w:jc w:val="both"/>
        <w:rPr>
          <w:rFonts w:asciiTheme="minorHAnsi" w:eastAsiaTheme="minorHAnsi" w:hAnsiTheme="minorHAnsi"/>
          <w:sz w:val="8"/>
          <w:szCs w:val="8"/>
          <w:lang w:val="sq-AL"/>
        </w:rPr>
      </w:pP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Përsa i përket projekteve me financim të huaj të cilat kanë kontribuar në realizimin e  investimeve </w:t>
      </w:r>
      <w:r w:rsidRPr="00A42CBF">
        <w:rPr>
          <w:rFonts w:asciiTheme="minorHAnsi" w:eastAsiaTheme="minorHAnsi" w:hAnsiTheme="minorHAnsi"/>
          <w:lang w:val="sq-AL"/>
        </w:rPr>
        <w:t>për 5mujorin</w:t>
      </w:r>
      <w:r>
        <w:rPr>
          <w:rFonts w:asciiTheme="minorHAnsi" w:eastAsiaTheme="minorHAnsi" w:hAnsiTheme="minorHAnsi"/>
          <w:lang w:val="sq-AL"/>
        </w:rPr>
        <w:t xml:space="preserve"> 2022, jan</w:t>
      </w:r>
      <w:r w:rsidR="009647C4">
        <w:rPr>
          <w:rFonts w:asciiTheme="minorHAnsi" w:eastAsiaTheme="minorHAnsi" w:hAnsiTheme="minorHAnsi"/>
          <w:lang w:val="sq-AL"/>
        </w:rPr>
        <w:t>ë</w:t>
      </w:r>
      <w:r w:rsidRPr="0070086A">
        <w:rPr>
          <w:rFonts w:asciiTheme="minorHAnsi" w:eastAsiaTheme="minorHAnsi" w:hAnsiTheme="minorHAnsi"/>
          <w:lang w:val="sq-AL"/>
        </w:rPr>
        <w:t>:</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Mbështetje e BE për menaxhimin efektiv të kufijve të gjelbër, kufijtë blu në Shqipëri - EU4 SAFE ALB me vlerë 341 milionë lekë.</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Programi Policimit ne Komunitet  faza e dyte (qeveria suedeze) me vlerë 25 milionë lekë;</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Ndërtim /Rikonstruksion i  godines  se PKK  Qafe -Boti  me vlerë 26 milionë lekë.</w:t>
      </w:r>
    </w:p>
    <w:p w:rsidR="00A42CBF" w:rsidRPr="00A42CBF" w:rsidRDefault="00A42CBF" w:rsidP="009647C4">
      <w:pPr>
        <w:pStyle w:val="ListParagraph"/>
        <w:ind w:left="360"/>
        <w:jc w:val="both"/>
        <w:rPr>
          <w:rFonts w:asciiTheme="minorHAnsi" w:eastAsiaTheme="minorHAnsi" w:hAnsiTheme="minorHAnsi"/>
          <w:sz w:val="8"/>
          <w:szCs w:val="8"/>
          <w:lang w:val="sq-AL"/>
        </w:rPr>
      </w:pP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Njëkohësisht për periudhën 5-mujore të vitit 2022 është mbyllur kontratat e investimit:</w:t>
      </w:r>
    </w:p>
    <w:p w:rsidR="00A42CBF" w:rsidRPr="0002338E" w:rsidRDefault="00A42CBF" w:rsidP="003F6B21">
      <w:pPr>
        <w:pStyle w:val="ListParagraph"/>
        <w:numPr>
          <w:ilvl w:val="0"/>
          <w:numId w:val="44"/>
        </w:numPr>
        <w:jc w:val="both"/>
        <w:rPr>
          <w:rFonts w:asciiTheme="minorHAnsi" w:eastAsia="MS Mincho" w:hAnsiTheme="minorHAnsi"/>
          <w:i/>
          <w:sz w:val="22"/>
          <w:lang w:val="sq-AL"/>
        </w:rPr>
      </w:pPr>
      <w:r w:rsidRPr="0002338E">
        <w:rPr>
          <w:rFonts w:asciiTheme="minorHAnsi" w:eastAsia="MS Mincho" w:hAnsiTheme="minorHAnsi"/>
          <w:i/>
          <w:sz w:val="22"/>
          <w:lang w:val="sq-AL"/>
        </w:rPr>
        <w:t>Projekti “Orendi e paisje zyre për Godinen e Re të SH.Ç.B.A” me vlere te plote projekti 39</w:t>
      </w:r>
      <w:r w:rsidR="0002338E">
        <w:rPr>
          <w:rFonts w:asciiTheme="minorHAnsi" w:eastAsia="MS Mincho" w:hAnsiTheme="minorHAnsi"/>
          <w:i/>
          <w:sz w:val="22"/>
          <w:lang w:val="sq-AL"/>
        </w:rPr>
        <w:t>mln</w:t>
      </w:r>
      <w:r w:rsidRPr="0002338E">
        <w:rPr>
          <w:rFonts w:asciiTheme="minorHAnsi" w:eastAsia="MS Mincho" w:hAnsiTheme="minorHAnsi"/>
          <w:i/>
          <w:sz w:val="22"/>
          <w:lang w:val="sq-AL"/>
        </w:rPr>
        <w:t xml:space="preserve"> lekë.</w:t>
      </w:r>
      <w:r w:rsidRPr="0002338E">
        <w:rPr>
          <w:rFonts w:asciiTheme="minorHAnsi" w:eastAsia="MS Mincho" w:hAnsiTheme="minorHAnsi"/>
          <w:i/>
          <w:sz w:val="22"/>
          <w:lang w:val="sq-AL"/>
        </w:rPr>
        <w:tab/>
      </w:r>
    </w:p>
    <w:p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lastRenderedPageBreak/>
        <w:t>Ministria e Mbrojtjes</w:t>
      </w:r>
    </w:p>
    <w:p w:rsidR="00435BF2" w:rsidRDefault="00435BF2"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 brendshëm</w:t>
      </w:r>
      <w:r>
        <w:rPr>
          <w:rFonts w:asciiTheme="minorHAnsi" w:eastAsiaTheme="minorHAnsi" w:hAnsiTheme="minorHAnsi"/>
          <w:lang w:val="sq-AL"/>
        </w:rPr>
        <w:t>, realizimi për 5</w:t>
      </w:r>
      <w:r w:rsidRPr="0070086A">
        <w:rPr>
          <w:rFonts w:asciiTheme="minorHAnsi" w:eastAsiaTheme="minorHAnsi" w:hAnsiTheme="minorHAnsi"/>
          <w:lang w:val="sq-AL"/>
        </w:rPr>
        <w:t xml:space="preserve">mujorin 2022 është </w:t>
      </w:r>
      <w:r>
        <w:rPr>
          <w:rFonts w:asciiTheme="minorHAnsi" w:eastAsiaTheme="minorHAnsi" w:hAnsiTheme="minorHAnsi"/>
          <w:lang w:val="sq-AL"/>
        </w:rPr>
        <w:t>6.8</w:t>
      </w:r>
      <w:r w:rsidR="00A42CBF" w:rsidRPr="0070086A">
        <w:rPr>
          <w:rFonts w:asciiTheme="minorHAnsi" w:eastAsiaTheme="minorHAnsi" w:hAnsiTheme="minorHAnsi"/>
          <w:lang w:val="sq-AL"/>
        </w:rPr>
        <w:t xml:space="preserve">% </w:t>
      </w:r>
      <w:r>
        <w:rPr>
          <w:rFonts w:asciiTheme="minorHAnsi" w:eastAsiaTheme="minorHAnsi" w:hAnsiTheme="minorHAnsi"/>
          <w:lang w:val="sq-AL"/>
        </w:rPr>
        <w:t>e</w:t>
      </w:r>
      <w:r w:rsidR="00A42CBF" w:rsidRPr="0070086A">
        <w:rPr>
          <w:rFonts w:asciiTheme="minorHAnsi" w:eastAsiaTheme="minorHAnsi" w:hAnsiTheme="minorHAnsi"/>
          <w:lang w:val="sq-AL"/>
        </w:rPr>
        <w:t xml:space="preserve"> buxhetit fillestar realizuar ne masën 568.5 milionë lekë dhe 7.8% </w:t>
      </w:r>
      <w:r>
        <w:rPr>
          <w:rFonts w:asciiTheme="minorHAnsi" w:eastAsiaTheme="minorHAnsi" w:hAnsiTheme="minorHAnsi"/>
          <w:lang w:val="sq-AL"/>
        </w:rPr>
        <w:t xml:space="preserve">e </w:t>
      </w:r>
      <w:r w:rsidR="00A42CBF" w:rsidRPr="0070086A">
        <w:rPr>
          <w:rFonts w:asciiTheme="minorHAnsi" w:eastAsiaTheme="minorHAnsi" w:hAnsiTheme="minorHAnsi"/>
          <w:lang w:val="sq-AL"/>
        </w:rPr>
        <w:t>planit të ndryshuar me AN nr.3</w:t>
      </w:r>
      <w:r>
        <w:rPr>
          <w:rFonts w:asciiTheme="minorHAnsi" w:eastAsiaTheme="minorHAnsi" w:hAnsiTheme="minorHAnsi"/>
          <w:lang w:val="sq-AL"/>
        </w:rPr>
        <w:t>/2022</w:t>
      </w:r>
      <w:r w:rsidR="00A42CBF" w:rsidRPr="0070086A">
        <w:rPr>
          <w:rFonts w:asciiTheme="minorHAnsi" w:eastAsiaTheme="minorHAnsi" w:hAnsiTheme="minorHAnsi"/>
          <w:lang w:val="sq-AL"/>
        </w:rPr>
        <w:t xml:space="preserve">. </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Nuk ka realizm për projektet me financim të huaj për 5mujorin 2022.</w:t>
      </w:r>
    </w:p>
    <w:p w:rsidR="00435BF2" w:rsidRPr="0070086A" w:rsidRDefault="00435BF2"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Kjo ministri nuk ka</w:t>
      </w:r>
      <w:r w:rsidRPr="00B85B6E">
        <w:rPr>
          <w:rFonts w:asciiTheme="minorHAnsi" w:eastAsiaTheme="minorHAnsi" w:hAnsiTheme="minorHAnsi"/>
          <w:lang w:val="sq-AL"/>
        </w:rPr>
        <w:t xml:space="preserve"> raportuar për problematika </w:t>
      </w:r>
      <w:r>
        <w:rPr>
          <w:rFonts w:asciiTheme="minorHAnsi" w:eastAsiaTheme="minorHAnsi" w:hAnsiTheme="minorHAnsi"/>
          <w:lang w:val="sq-AL"/>
        </w:rPr>
        <w:t>në realizimin e projekteve të i</w:t>
      </w:r>
      <w:r w:rsidRPr="0070086A">
        <w:rPr>
          <w:rFonts w:asciiTheme="minorHAnsi" w:eastAsiaTheme="minorHAnsi" w:hAnsiTheme="minorHAnsi"/>
          <w:lang w:val="sq-AL"/>
        </w:rPr>
        <w:t>n</w:t>
      </w:r>
      <w:r>
        <w:rPr>
          <w:rFonts w:asciiTheme="minorHAnsi" w:eastAsiaTheme="minorHAnsi" w:hAnsiTheme="minorHAnsi"/>
          <w:lang w:val="sq-AL"/>
        </w:rPr>
        <w:t>v</w:t>
      </w:r>
      <w:r w:rsidRPr="0070086A">
        <w:rPr>
          <w:rFonts w:asciiTheme="minorHAnsi" w:eastAsiaTheme="minorHAnsi" w:hAnsiTheme="minorHAnsi"/>
          <w:lang w:val="sq-AL"/>
        </w:rPr>
        <w:t>estimeve.</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Përsa i përket projekteve me financim të brendshëm,  programi  me realizimin më të lartë </w:t>
      </w:r>
      <w:r w:rsidR="00435BF2">
        <w:rPr>
          <w:rFonts w:asciiTheme="minorHAnsi" w:eastAsiaTheme="minorHAnsi" w:hAnsiTheme="minorHAnsi"/>
          <w:lang w:val="sq-AL"/>
        </w:rPr>
        <w:t>jan</w:t>
      </w:r>
      <w:r w:rsidR="009647C4">
        <w:rPr>
          <w:rFonts w:asciiTheme="minorHAnsi" w:eastAsiaTheme="minorHAnsi" w:hAnsiTheme="minorHAnsi"/>
          <w:lang w:val="sq-AL"/>
        </w:rPr>
        <w:t>ë</w:t>
      </w:r>
      <w:r w:rsidR="00435BF2">
        <w:rPr>
          <w:rFonts w:asciiTheme="minorHAnsi" w:eastAsiaTheme="minorHAnsi" w:hAnsiTheme="minorHAnsi"/>
          <w:lang w:val="sq-AL"/>
        </w:rPr>
        <w:t>:</w:t>
      </w:r>
      <w:r w:rsidRPr="0070086A">
        <w:rPr>
          <w:rFonts w:asciiTheme="minorHAnsi" w:eastAsiaTheme="minorHAnsi" w:hAnsiTheme="minorHAnsi"/>
          <w:lang w:val="sq-AL"/>
        </w:rPr>
        <w:t xml:space="preserve">  “Mbeshtetje per Shendetesine” i cili paraqitet me  realizim 26.4% kundrejt planit prej 150 milionë lekë, programi “Forca e Luftimit” me realizim 9.4% kundrejt planit prej 4,653 dhe programi “Mbështetja e Luftimit” me realizim 8.4% kundrejt planit prej 1,113 milionë lekë.</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Projektet kryesore të cilat kanë kontribuar në realizimin e  investimeve </w:t>
      </w:r>
      <w:r w:rsidRPr="00435BF2">
        <w:rPr>
          <w:rFonts w:asciiTheme="minorHAnsi" w:eastAsiaTheme="minorHAnsi" w:hAnsiTheme="minorHAnsi"/>
          <w:lang w:val="sq-AL"/>
        </w:rPr>
        <w:t xml:space="preserve">për 5mujorin </w:t>
      </w:r>
      <w:r w:rsidR="00435BF2">
        <w:rPr>
          <w:rFonts w:asciiTheme="minorHAnsi" w:eastAsiaTheme="minorHAnsi" w:hAnsiTheme="minorHAnsi"/>
          <w:lang w:val="sq-AL"/>
        </w:rPr>
        <w:t>2022 jan</w:t>
      </w:r>
      <w:r w:rsidR="009647C4">
        <w:rPr>
          <w:rFonts w:asciiTheme="minorHAnsi" w:eastAsiaTheme="minorHAnsi" w:hAnsiTheme="minorHAnsi"/>
          <w:lang w:val="sq-AL"/>
        </w:rPr>
        <w:t>ë</w:t>
      </w:r>
      <w:r w:rsidRPr="0070086A">
        <w:rPr>
          <w:rFonts w:asciiTheme="minorHAnsi" w:eastAsiaTheme="minorHAnsi" w:hAnsiTheme="minorHAnsi"/>
          <w:lang w:val="sq-AL"/>
        </w:rPr>
        <w:t>:</w:t>
      </w:r>
    </w:p>
    <w:p w:rsidR="00A42CBF" w:rsidRPr="009647C4" w:rsidRDefault="00A42CBF" w:rsidP="003F6B21">
      <w:pPr>
        <w:pStyle w:val="ListParagraph"/>
        <w:numPr>
          <w:ilvl w:val="0"/>
          <w:numId w:val="44"/>
        </w:numPr>
        <w:jc w:val="both"/>
        <w:rPr>
          <w:rFonts w:asciiTheme="minorHAnsi" w:eastAsia="MS Mincho" w:hAnsiTheme="minorHAnsi"/>
          <w:i/>
          <w:sz w:val="20"/>
          <w:lang w:val="sq-AL"/>
        </w:rPr>
      </w:pPr>
      <w:r w:rsidRPr="009647C4">
        <w:rPr>
          <w:rFonts w:asciiTheme="minorHAnsi" w:eastAsia="MS Mincho" w:hAnsiTheme="minorHAnsi"/>
          <w:i/>
          <w:sz w:val="20"/>
          <w:lang w:val="sq-AL"/>
        </w:rPr>
        <w:t>Armatim i lehtë municion dhe paisje e makineri per forcat e armatosura me vlerë 413 milionë lekë;</w:t>
      </w:r>
    </w:p>
    <w:p w:rsidR="00A42CBF" w:rsidRPr="009647C4" w:rsidRDefault="00A42CBF" w:rsidP="003F6B21">
      <w:pPr>
        <w:pStyle w:val="ListParagraph"/>
        <w:numPr>
          <w:ilvl w:val="0"/>
          <w:numId w:val="44"/>
        </w:numPr>
        <w:jc w:val="both"/>
        <w:rPr>
          <w:rFonts w:asciiTheme="minorHAnsi" w:eastAsia="MS Mincho" w:hAnsiTheme="minorHAnsi"/>
          <w:i/>
          <w:sz w:val="20"/>
          <w:lang w:val="sq-AL"/>
        </w:rPr>
      </w:pPr>
      <w:r w:rsidRPr="009647C4">
        <w:rPr>
          <w:rFonts w:asciiTheme="minorHAnsi" w:eastAsia="MS Mincho" w:hAnsiTheme="minorHAnsi"/>
          <w:i/>
          <w:sz w:val="20"/>
          <w:lang w:val="sq-AL"/>
        </w:rPr>
        <w:t>Ndërtimi i Muzeut te madh te Forcave te Armatosura me vlerë 58 milionë lekë;</w:t>
      </w:r>
    </w:p>
    <w:p w:rsidR="00A42CBF" w:rsidRPr="009647C4" w:rsidRDefault="00A42CBF" w:rsidP="003F6B21">
      <w:pPr>
        <w:pStyle w:val="ListParagraph"/>
        <w:numPr>
          <w:ilvl w:val="0"/>
          <w:numId w:val="44"/>
        </w:numPr>
        <w:jc w:val="both"/>
        <w:rPr>
          <w:rFonts w:asciiTheme="minorHAnsi" w:eastAsia="MS Mincho" w:hAnsiTheme="minorHAnsi"/>
          <w:i/>
          <w:sz w:val="20"/>
          <w:lang w:val="sq-AL"/>
        </w:rPr>
      </w:pPr>
      <w:r w:rsidRPr="009647C4">
        <w:rPr>
          <w:rFonts w:asciiTheme="minorHAnsi" w:eastAsia="MS Mincho" w:hAnsiTheme="minorHAnsi"/>
          <w:i/>
          <w:sz w:val="20"/>
          <w:lang w:val="sq-AL"/>
        </w:rPr>
        <w:t>Rikonstruksion Administrata  e SUT me vlerë 38 milionë lekë;</w:t>
      </w:r>
    </w:p>
    <w:p w:rsidR="00A42CBF" w:rsidRPr="009647C4" w:rsidRDefault="00A42CBF" w:rsidP="003F6B21">
      <w:pPr>
        <w:pStyle w:val="ListParagraph"/>
        <w:numPr>
          <w:ilvl w:val="0"/>
          <w:numId w:val="44"/>
        </w:numPr>
        <w:jc w:val="both"/>
        <w:rPr>
          <w:rFonts w:asciiTheme="minorHAnsi" w:eastAsia="MS Mincho" w:hAnsiTheme="minorHAnsi"/>
          <w:i/>
          <w:sz w:val="20"/>
          <w:lang w:val="sq-AL"/>
        </w:rPr>
      </w:pPr>
      <w:r w:rsidRPr="009647C4">
        <w:rPr>
          <w:rFonts w:asciiTheme="minorHAnsi" w:eastAsia="MS Mincho" w:hAnsiTheme="minorHAnsi"/>
          <w:i/>
          <w:sz w:val="20"/>
          <w:lang w:val="sq-AL"/>
        </w:rPr>
        <w:t>Rikonstruksion i depos nr.5 ne G-D Shkozet me vlerë 29 milionë lekë.</w:t>
      </w:r>
    </w:p>
    <w:p w:rsidR="00A42CBF" w:rsidRPr="00435BF2"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Njëkohësisht për periudhën 5mujore 2022 është mbyllur kontrata e investimit </w:t>
      </w:r>
      <w:r w:rsidR="00435BF2">
        <w:rPr>
          <w:rFonts w:asciiTheme="minorHAnsi" w:eastAsiaTheme="minorHAnsi" w:hAnsiTheme="minorHAnsi"/>
          <w:lang w:val="sq-AL"/>
        </w:rPr>
        <w:t xml:space="preserve">për projektin </w:t>
      </w:r>
      <w:r w:rsidRPr="00435BF2">
        <w:rPr>
          <w:rFonts w:asciiTheme="minorHAnsi" w:eastAsiaTheme="minorHAnsi" w:hAnsiTheme="minorHAnsi"/>
          <w:lang w:val="sq-AL"/>
        </w:rPr>
        <w:t>“Rikonstruksion i parkut te automjeteve,i pikes se karburantit dhe Rrethimi i jashtem dhe ndërtimi i sistemit të integruar të sigurisë me kamera,  (Pashaliman)” me vlere te plote 23,4 milionë lekë.</w:t>
      </w:r>
    </w:p>
    <w:p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Turizmit dhe Turizmit</w:t>
      </w:r>
    </w:p>
    <w:p w:rsidR="00A42CBF" w:rsidRPr="0070086A" w:rsidRDefault="0002338E"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 projektet me financim të brendshëm</w:t>
      </w:r>
      <w:r>
        <w:rPr>
          <w:rFonts w:asciiTheme="minorHAnsi" w:eastAsiaTheme="minorHAnsi" w:hAnsiTheme="minorHAnsi"/>
          <w:lang w:val="sq-AL"/>
        </w:rPr>
        <w:t>, realizimi për 5</w:t>
      </w:r>
      <w:r w:rsidRPr="0070086A">
        <w:rPr>
          <w:rFonts w:asciiTheme="minorHAnsi" w:eastAsiaTheme="minorHAnsi" w:hAnsiTheme="minorHAnsi"/>
          <w:lang w:val="sq-AL"/>
        </w:rPr>
        <w:t xml:space="preserve">mujorin 2022 është </w:t>
      </w:r>
      <w:r w:rsidR="00A42CBF" w:rsidRPr="0070086A">
        <w:rPr>
          <w:rFonts w:asciiTheme="minorHAnsi" w:eastAsiaTheme="minorHAnsi" w:hAnsiTheme="minorHAnsi"/>
          <w:lang w:val="sq-AL"/>
        </w:rPr>
        <w:t xml:space="preserve">44.4% </w:t>
      </w:r>
      <w:r>
        <w:rPr>
          <w:rFonts w:asciiTheme="minorHAnsi" w:eastAsiaTheme="minorHAnsi" w:hAnsiTheme="minorHAnsi"/>
          <w:lang w:val="sq-AL"/>
        </w:rPr>
        <w:t>e</w:t>
      </w:r>
      <w:r w:rsidR="00A42CBF" w:rsidRPr="0070086A">
        <w:rPr>
          <w:rFonts w:asciiTheme="minorHAnsi" w:eastAsiaTheme="minorHAnsi" w:hAnsiTheme="minorHAnsi"/>
          <w:lang w:val="sq-AL"/>
        </w:rPr>
        <w:t xml:space="preserve"> buxhetit fillestar realizuar ne masën 258 milionë lekë dhe 48.6% të planit të ndryshuar me AN nr.3</w:t>
      </w:r>
      <w:r>
        <w:rPr>
          <w:rFonts w:asciiTheme="minorHAnsi" w:eastAsiaTheme="minorHAnsi" w:hAnsiTheme="minorHAnsi"/>
          <w:lang w:val="sq-AL"/>
        </w:rPr>
        <w:t>/2022</w:t>
      </w:r>
      <w:r w:rsidR="00A42CBF" w:rsidRPr="0070086A">
        <w:rPr>
          <w:rFonts w:asciiTheme="minorHAnsi" w:eastAsiaTheme="minorHAnsi" w:hAnsiTheme="minorHAnsi"/>
          <w:lang w:val="sq-AL"/>
        </w:rPr>
        <w:t>.</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Për projektet me financim të huaj realizimi për 5mujorin 2022 është 26.4% </w:t>
      </w:r>
      <w:r w:rsidR="0002338E">
        <w:rPr>
          <w:rFonts w:asciiTheme="minorHAnsi" w:eastAsiaTheme="minorHAnsi" w:hAnsiTheme="minorHAnsi"/>
          <w:lang w:val="sq-AL"/>
        </w:rPr>
        <w:t>e</w:t>
      </w:r>
      <w:r w:rsidRPr="0070086A">
        <w:rPr>
          <w:rFonts w:asciiTheme="minorHAnsi" w:eastAsiaTheme="minorHAnsi" w:hAnsiTheme="minorHAnsi"/>
          <w:lang w:val="sq-AL"/>
        </w:rPr>
        <w:t xml:space="preserve"> buxhetit realizuar në masën 129 milionë lekë. </w:t>
      </w:r>
    </w:p>
    <w:p w:rsidR="00D167C2" w:rsidRPr="0070086A" w:rsidRDefault="00D167C2" w:rsidP="003F6B21">
      <w:pPr>
        <w:pStyle w:val="ListParagraph"/>
        <w:numPr>
          <w:ilvl w:val="0"/>
          <w:numId w:val="43"/>
        </w:numPr>
        <w:ind w:left="360"/>
        <w:jc w:val="both"/>
        <w:rPr>
          <w:rFonts w:asciiTheme="minorHAnsi" w:eastAsiaTheme="minorHAnsi" w:hAnsiTheme="minorHAnsi"/>
          <w:lang w:val="sq-AL"/>
        </w:rPr>
      </w:pPr>
      <w:r>
        <w:rPr>
          <w:rFonts w:asciiTheme="minorHAnsi" w:eastAsiaTheme="minorHAnsi" w:hAnsiTheme="minorHAnsi"/>
          <w:lang w:val="sq-AL"/>
        </w:rPr>
        <w:t>Kjo ministri nuk ka</w:t>
      </w:r>
      <w:r w:rsidRPr="00B85B6E">
        <w:rPr>
          <w:rFonts w:asciiTheme="minorHAnsi" w:eastAsiaTheme="minorHAnsi" w:hAnsiTheme="minorHAnsi"/>
          <w:lang w:val="sq-AL"/>
        </w:rPr>
        <w:t xml:space="preserve"> raportuar për problematika </w:t>
      </w:r>
      <w:r>
        <w:rPr>
          <w:rFonts w:asciiTheme="minorHAnsi" w:eastAsiaTheme="minorHAnsi" w:hAnsiTheme="minorHAnsi"/>
          <w:lang w:val="sq-AL"/>
        </w:rPr>
        <w:t>në realizimin e projekteve të i</w:t>
      </w:r>
      <w:r w:rsidRPr="0070086A">
        <w:rPr>
          <w:rFonts w:asciiTheme="minorHAnsi" w:eastAsiaTheme="minorHAnsi" w:hAnsiTheme="minorHAnsi"/>
          <w:lang w:val="sq-AL"/>
        </w:rPr>
        <w:t>n</w:t>
      </w:r>
      <w:r>
        <w:rPr>
          <w:rFonts w:asciiTheme="minorHAnsi" w:eastAsiaTheme="minorHAnsi" w:hAnsiTheme="minorHAnsi"/>
          <w:lang w:val="sq-AL"/>
        </w:rPr>
        <w:t>v</w:t>
      </w:r>
      <w:r w:rsidRPr="0070086A">
        <w:rPr>
          <w:rFonts w:asciiTheme="minorHAnsi" w:eastAsiaTheme="minorHAnsi" w:hAnsiTheme="minorHAnsi"/>
          <w:lang w:val="sq-AL"/>
        </w:rPr>
        <w:t>estimeve.</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Përsa i përket projekteve me financim të brendshëm,</w:t>
      </w:r>
      <w:r w:rsidR="00D167C2">
        <w:rPr>
          <w:rFonts w:asciiTheme="minorHAnsi" w:eastAsiaTheme="minorHAnsi" w:hAnsiTheme="minorHAnsi"/>
          <w:lang w:val="sq-AL"/>
        </w:rPr>
        <w:t xml:space="preserve"> programi </w:t>
      </w:r>
      <w:r w:rsidRPr="0070086A">
        <w:rPr>
          <w:rFonts w:asciiTheme="minorHAnsi" w:eastAsiaTheme="minorHAnsi" w:hAnsiTheme="minorHAnsi"/>
          <w:lang w:val="sq-AL"/>
        </w:rPr>
        <w:t xml:space="preserve">me realizimin më të lartë </w:t>
      </w:r>
      <w:r w:rsidR="009647C4">
        <w:rPr>
          <w:rFonts w:asciiTheme="minorHAnsi" w:eastAsiaTheme="minorHAnsi" w:hAnsiTheme="minorHAnsi"/>
          <w:lang w:val="sq-AL"/>
        </w:rPr>
        <w:t>ë</w:t>
      </w:r>
      <w:r w:rsidR="00D167C2">
        <w:rPr>
          <w:rFonts w:asciiTheme="minorHAnsi" w:eastAsiaTheme="minorHAnsi" w:hAnsiTheme="minorHAnsi"/>
          <w:lang w:val="sq-AL"/>
        </w:rPr>
        <w:t>sht</w:t>
      </w:r>
      <w:r w:rsidR="009647C4">
        <w:rPr>
          <w:rFonts w:asciiTheme="minorHAnsi" w:eastAsiaTheme="minorHAnsi" w:hAnsiTheme="minorHAnsi"/>
          <w:lang w:val="sq-AL"/>
        </w:rPr>
        <w:t>ë</w:t>
      </w:r>
      <w:r w:rsidRPr="0070086A">
        <w:rPr>
          <w:rFonts w:asciiTheme="minorHAnsi" w:eastAsiaTheme="minorHAnsi" w:hAnsiTheme="minorHAnsi"/>
          <w:lang w:val="sq-AL"/>
        </w:rPr>
        <w:t xml:space="preserve">  “Zhvillimi i Turizmit” i cili paraqitet me realizim 66.8% kundrejt planit prej 369 milionë lekë.</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Projektet kryesore të cilat kanë kontribuar në realizimin e  investimeve me financim të brendshëm </w:t>
      </w:r>
      <w:r w:rsidRPr="0002338E">
        <w:rPr>
          <w:rFonts w:asciiTheme="minorHAnsi" w:eastAsiaTheme="minorHAnsi" w:hAnsiTheme="minorHAnsi"/>
          <w:lang w:val="sq-AL"/>
        </w:rPr>
        <w:t xml:space="preserve">për 5mujorin </w:t>
      </w:r>
      <w:r w:rsidR="005A6CA7">
        <w:rPr>
          <w:rFonts w:asciiTheme="minorHAnsi" w:eastAsiaTheme="minorHAnsi" w:hAnsiTheme="minorHAnsi"/>
          <w:lang w:val="sq-AL"/>
        </w:rPr>
        <w:t>2022, jan</w:t>
      </w:r>
      <w:r w:rsidR="009647C4">
        <w:rPr>
          <w:rFonts w:asciiTheme="minorHAnsi" w:eastAsiaTheme="minorHAnsi" w:hAnsiTheme="minorHAnsi"/>
          <w:lang w:val="sq-AL"/>
        </w:rPr>
        <w:t>ë</w:t>
      </w:r>
      <w:r w:rsidRPr="0070086A">
        <w:rPr>
          <w:rFonts w:asciiTheme="minorHAnsi" w:eastAsiaTheme="minorHAnsi" w:hAnsiTheme="minorHAnsi"/>
          <w:lang w:val="sq-AL"/>
        </w:rPr>
        <w:t>:</w:t>
      </w:r>
    </w:p>
    <w:p w:rsidR="00A42CBF" w:rsidRPr="009647C4" w:rsidRDefault="00A42CBF" w:rsidP="003F6B21">
      <w:pPr>
        <w:pStyle w:val="ListParagraph"/>
        <w:numPr>
          <w:ilvl w:val="0"/>
          <w:numId w:val="44"/>
        </w:numPr>
        <w:jc w:val="both"/>
        <w:rPr>
          <w:rFonts w:asciiTheme="minorHAnsi" w:eastAsia="MS Mincho" w:hAnsiTheme="minorHAnsi"/>
          <w:i/>
          <w:sz w:val="22"/>
          <w:lang w:val="sq-AL"/>
        </w:rPr>
      </w:pPr>
      <w:r w:rsidRPr="009647C4">
        <w:rPr>
          <w:rFonts w:asciiTheme="minorHAnsi" w:eastAsia="MS Mincho" w:hAnsiTheme="minorHAnsi"/>
          <w:i/>
          <w:sz w:val="22"/>
          <w:lang w:val="sq-AL"/>
        </w:rPr>
        <w:t>Mbeshtetje Financiare Projekti BERZH në vlerën e 178 milionë lekë;</w:t>
      </w:r>
    </w:p>
    <w:p w:rsidR="00A42CBF" w:rsidRPr="009647C4" w:rsidRDefault="00A42CBF" w:rsidP="003F6B21">
      <w:pPr>
        <w:pStyle w:val="ListParagraph"/>
        <w:numPr>
          <w:ilvl w:val="0"/>
          <w:numId w:val="44"/>
        </w:numPr>
        <w:jc w:val="both"/>
        <w:rPr>
          <w:rFonts w:asciiTheme="minorHAnsi" w:eastAsia="MS Mincho" w:hAnsiTheme="minorHAnsi"/>
          <w:i/>
          <w:sz w:val="22"/>
          <w:lang w:val="sq-AL"/>
        </w:rPr>
      </w:pPr>
      <w:r w:rsidRPr="009647C4">
        <w:rPr>
          <w:rFonts w:asciiTheme="minorHAnsi" w:eastAsia="MS Mincho" w:hAnsiTheme="minorHAnsi"/>
          <w:i/>
          <w:sz w:val="22"/>
          <w:lang w:val="sq-AL"/>
        </w:rPr>
        <w:t>Permiresimi i infrastruktures dhe kthimi i Parkut Natyror "Syri i Kalter" ne destinacion eko-turistik në vlerën 45 milionë lekë.</w:t>
      </w:r>
    </w:p>
    <w:p w:rsidR="00A42CBF" w:rsidRPr="0070086A" w:rsidRDefault="00A42CBF" w:rsidP="003F6B21">
      <w:pPr>
        <w:pStyle w:val="ListParagraph"/>
        <w:numPr>
          <w:ilvl w:val="0"/>
          <w:numId w:val="43"/>
        </w:numPr>
        <w:ind w:left="360"/>
        <w:jc w:val="both"/>
        <w:rPr>
          <w:rFonts w:asciiTheme="minorHAnsi" w:eastAsiaTheme="minorHAnsi" w:hAnsiTheme="minorHAnsi"/>
          <w:lang w:val="sq-AL"/>
        </w:rPr>
      </w:pPr>
      <w:r w:rsidRPr="0070086A">
        <w:rPr>
          <w:rFonts w:asciiTheme="minorHAnsi" w:eastAsiaTheme="minorHAnsi" w:hAnsiTheme="minorHAnsi"/>
          <w:lang w:val="sq-AL"/>
        </w:rPr>
        <w:t xml:space="preserve">Projektet kryesore të cilat kanë kontribuar në realizimin e  investimeve me financim të huaj </w:t>
      </w:r>
      <w:r w:rsidRPr="005A6CA7">
        <w:rPr>
          <w:rFonts w:asciiTheme="minorHAnsi" w:eastAsiaTheme="minorHAnsi" w:hAnsiTheme="minorHAnsi"/>
          <w:lang w:val="sq-AL"/>
        </w:rPr>
        <w:t xml:space="preserve">për 5-mujorin </w:t>
      </w:r>
      <w:r w:rsidRPr="0070086A">
        <w:rPr>
          <w:rFonts w:asciiTheme="minorHAnsi" w:eastAsiaTheme="minorHAnsi" w:hAnsiTheme="minorHAnsi"/>
          <w:lang w:val="sq-AL"/>
        </w:rPr>
        <w:t>për Ministrinë e Turizmit dhe Turizmit paraqiten si vijon:</w:t>
      </w:r>
    </w:p>
    <w:p w:rsidR="00A42CBF" w:rsidRPr="009647C4" w:rsidRDefault="00A42CBF" w:rsidP="003F6B21">
      <w:pPr>
        <w:pStyle w:val="ListParagraph"/>
        <w:numPr>
          <w:ilvl w:val="0"/>
          <w:numId w:val="44"/>
        </w:numPr>
        <w:jc w:val="both"/>
        <w:rPr>
          <w:rFonts w:asciiTheme="minorHAnsi" w:eastAsia="MS Mincho" w:hAnsiTheme="minorHAnsi"/>
          <w:i/>
          <w:sz w:val="22"/>
          <w:lang w:val="sq-AL"/>
        </w:rPr>
      </w:pPr>
      <w:r w:rsidRPr="009647C4">
        <w:rPr>
          <w:rFonts w:asciiTheme="minorHAnsi" w:eastAsia="MS Mincho" w:hAnsiTheme="minorHAnsi"/>
          <w:i/>
          <w:sz w:val="22"/>
          <w:lang w:val="sq-AL"/>
        </w:rPr>
        <w:t>Menaxhimi i integruar i mbetjeve të ngurta dhe ekonomia ricikluese në respekt të mjedisit në vlerën 60 milionë lekë;</w:t>
      </w:r>
    </w:p>
    <w:p w:rsidR="00A42CBF" w:rsidRPr="009647C4" w:rsidRDefault="00A42CBF" w:rsidP="003F6B21">
      <w:pPr>
        <w:pStyle w:val="ListParagraph"/>
        <w:numPr>
          <w:ilvl w:val="0"/>
          <w:numId w:val="44"/>
        </w:numPr>
        <w:jc w:val="both"/>
        <w:rPr>
          <w:rFonts w:asciiTheme="minorHAnsi" w:eastAsia="MS Mincho" w:hAnsiTheme="minorHAnsi"/>
          <w:i/>
          <w:sz w:val="22"/>
          <w:lang w:val="sq-AL"/>
        </w:rPr>
      </w:pPr>
      <w:r w:rsidRPr="009647C4">
        <w:rPr>
          <w:rFonts w:asciiTheme="minorHAnsi" w:eastAsia="MS Mincho" w:hAnsiTheme="minorHAnsi"/>
          <w:i/>
          <w:sz w:val="22"/>
          <w:lang w:val="sq-AL"/>
        </w:rPr>
        <w:t>Rezervati nderkufitar i Prespes në vlerën 21 milionë lekë;</w:t>
      </w:r>
    </w:p>
    <w:p w:rsidR="00A42CBF" w:rsidRPr="009647C4" w:rsidRDefault="00A42CBF" w:rsidP="003F6B21">
      <w:pPr>
        <w:pStyle w:val="ListParagraph"/>
        <w:numPr>
          <w:ilvl w:val="0"/>
          <w:numId w:val="44"/>
        </w:numPr>
        <w:jc w:val="both"/>
        <w:rPr>
          <w:rFonts w:asciiTheme="minorHAnsi" w:eastAsia="MS Mincho" w:hAnsiTheme="minorHAnsi"/>
          <w:i/>
          <w:sz w:val="22"/>
          <w:lang w:val="sq-AL"/>
        </w:rPr>
      </w:pPr>
      <w:r w:rsidRPr="009647C4">
        <w:rPr>
          <w:rFonts w:asciiTheme="minorHAnsi" w:eastAsia="MS Mincho" w:hAnsiTheme="minorHAnsi"/>
          <w:i/>
          <w:sz w:val="22"/>
          <w:lang w:val="sq-AL"/>
        </w:rPr>
        <w:t>Pershtatja dhe ndryshimet klimaterike ne fushen e menaxhimit nderkufitar te riskut te permbytjeve ne Ballkanin per</w:t>
      </w:r>
      <w:r w:rsidR="00277056">
        <w:rPr>
          <w:rFonts w:asciiTheme="minorHAnsi" w:eastAsia="MS Mincho" w:hAnsiTheme="minorHAnsi"/>
          <w:i/>
          <w:sz w:val="22"/>
          <w:lang w:val="sq-AL"/>
        </w:rPr>
        <w:t>ë</w:t>
      </w:r>
      <w:r w:rsidRPr="009647C4">
        <w:rPr>
          <w:rFonts w:asciiTheme="minorHAnsi" w:eastAsia="MS Mincho" w:hAnsiTheme="minorHAnsi"/>
          <w:i/>
          <w:sz w:val="22"/>
          <w:lang w:val="sq-AL"/>
        </w:rPr>
        <w:t>ndimor në vlerën 19 milionë lekë.</w:t>
      </w:r>
    </w:p>
    <w:p w:rsidR="005A1363" w:rsidRPr="0065598A" w:rsidRDefault="005A1363" w:rsidP="009647C4">
      <w:pPr>
        <w:jc w:val="both"/>
        <w:rPr>
          <w:rFonts w:asciiTheme="minorHAnsi" w:hAnsiTheme="minorHAnsi"/>
          <w:color w:val="000000"/>
          <w:lang w:val="sq-AL"/>
        </w:rPr>
      </w:pPr>
    </w:p>
    <w:p w:rsidR="00E22258" w:rsidRDefault="00E22258" w:rsidP="009647C4">
      <w:pPr>
        <w:jc w:val="both"/>
        <w:rPr>
          <w:rFonts w:asciiTheme="minorHAnsi" w:hAnsiTheme="minorHAnsi"/>
          <w:color w:val="000000"/>
          <w:lang w:val="sq-AL"/>
        </w:rPr>
      </w:pPr>
    </w:p>
    <w:sectPr w:rsidR="00E22258" w:rsidSect="0093243B">
      <w:headerReference w:type="default" r:id="rId81"/>
      <w:headerReference w:type="first" r:id="rId82"/>
      <w:pgSz w:w="11907" w:h="16839" w:code="9"/>
      <w:pgMar w:top="1080" w:right="1107" w:bottom="630" w:left="117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1CFC" w:rsidRDefault="00141CFC" w:rsidP="00CD61BB">
      <w:r>
        <w:separator/>
      </w:r>
    </w:p>
  </w:endnote>
  <w:endnote w:type="continuationSeparator" w:id="0">
    <w:p w:rsidR="00141CFC" w:rsidRDefault="00141CFC"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aramond-Bold">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350431"/>
      <w:docPartObj>
        <w:docPartGallery w:val="Page Numbers (Bottom of Page)"/>
        <w:docPartUnique/>
      </w:docPartObj>
    </w:sdtPr>
    <w:sdtEndPr>
      <w:rPr>
        <w:noProof/>
      </w:rPr>
    </w:sdtEndPr>
    <w:sdtContent>
      <w:p w:rsidR="00E74AAC" w:rsidRDefault="00E74AAC">
        <w:pPr>
          <w:pStyle w:val="Footer"/>
          <w:jc w:val="right"/>
        </w:pPr>
        <w:r>
          <w:fldChar w:fldCharType="begin"/>
        </w:r>
        <w:r>
          <w:instrText xml:space="preserve"> PAGE   \* MERGEFORMAT </w:instrText>
        </w:r>
        <w:r>
          <w:fldChar w:fldCharType="separate"/>
        </w:r>
        <w:r w:rsidR="003B2B9B">
          <w:rPr>
            <w:noProof/>
          </w:rPr>
          <w:t>51</w:t>
        </w:r>
        <w:r>
          <w:rPr>
            <w:noProof/>
          </w:rPr>
          <w:fldChar w:fldCharType="end"/>
        </w:r>
      </w:p>
    </w:sdtContent>
  </w:sdt>
  <w:p w:rsidR="00E74AAC" w:rsidRDefault="00E74A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7109200"/>
      <w:docPartObj>
        <w:docPartGallery w:val="Page Numbers (Bottom of Page)"/>
        <w:docPartUnique/>
      </w:docPartObj>
    </w:sdtPr>
    <w:sdtEndPr>
      <w:rPr>
        <w:noProof/>
      </w:rPr>
    </w:sdtEndPr>
    <w:sdtContent>
      <w:p w:rsidR="00E74AAC" w:rsidRDefault="00E74AAC">
        <w:pPr>
          <w:pStyle w:val="Footer"/>
          <w:jc w:val="right"/>
        </w:pPr>
        <w:r>
          <w:fldChar w:fldCharType="begin"/>
        </w:r>
        <w:r>
          <w:instrText xml:space="preserve"> PAGE   \* MERGEFORMAT </w:instrText>
        </w:r>
        <w:r>
          <w:fldChar w:fldCharType="separate"/>
        </w:r>
        <w:r w:rsidR="003B2B9B">
          <w:rPr>
            <w:noProof/>
          </w:rPr>
          <w:t>1</w:t>
        </w:r>
        <w:r>
          <w:rPr>
            <w:noProof/>
          </w:rPr>
          <w:fldChar w:fldCharType="end"/>
        </w:r>
      </w:p>
    </w:sdtContent>
  </w:sdt>
  <w:p w:rsidR="00E74AAC" w:rsidRDefault="00E74A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1CFC" w:rsidRDefault="00141CFC" w:rsidP="00CD61BB">
      <w:r>
        <w:separator/>
      </w:r>
    </w:p>
  </w:footnote>
  <w:footnote w:type="continuationSeparator" w:id="0">
    <w:p w:rsidR="00141CFC" w:rsidRDefault="00141CFC" w:rsidP="00CD61BB">
      <w:r>
        <w:continuationSeparator/>
      </w:r>
    </w:p>
  </w:footnote>
  <w:footnote w:id="1">
    <w:p w:rsidR="00E74AAC" w:rsidRPr="00971C15" w:rsidRDefault="00E74AAC" w:rsidP="00317567">
      <w:pPr>
        <w:pStyle w:val="FootnoteText"/>
        <w:spacing w:after="0"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rsidR="00E74AAC" w:rsidRPr="00B664D1" w:rsidRDefault="00E74AAC" w:rsidP="00317567">
      <w:pPr>
        <w:pStyle w:val="FootnoteText"/>
        <w:spacing w:after="0" w:line="240" w:lineRule="auto"/>
      </w:pPr>
      <w:r w:rsidRPr="00B664D1">
        <w:rPr>
          <w:rStyle w:val="FootnoteReference"/>
        </w:rPr>
        <w:footnoteRef/>
      </w:r>
      <w:r w:rsidRPr="00B664D1">
        <w:t xml:space="preserve"> </w:t>
      </w:r>
      <w:r w:rsidRPr="00C33376">
        <w:rPr>
          <w:i/>
          <w:sz w:val="18"/>
        </w:rPr>
        <w:t>Vija tek niveli 100 përfaqëson mesataren afatgjatë</w:t>
      </w:r>
    </w:p>
  </w:footnote>
  <w:footnote w:id="3">
    <w:p w:rsidR="00E74AAC" w:rsidRPr="00325B8D" w:rsidRDefault="00E74AAC" w:rsidP="00513A75">
      <w:pPr>
        <w:pStyle w:val="FootnoteText"/>
        <w:ind w:left="720" w:hanging="720"/>
        <w:jc w:val="both"/>
        <w:rPr>
          <w:rFonts w:ascii="Times New Roman" w:hAnsi="Times New Roman"/>
          <w:i/>
          <w:lang w:val="en-US"/>
        </w:rPr>
      </w:pPr>
      <w:r w:rsidRPr="00325B8D">
        <w:rPr>
          <w:rStyle w:val="FootnoteReference"/>
          <w:rFonts w:ascii="Times New Roman" w:hAnsi="Times New Roman"/>
          <w:i/>
        </w:rPr>
        <w:footnoteRef/>
      </w:r>
      <w:r w:rsidRPr="00325B8D">
        <w:rPr>
          <w:rFonts w:ascii="Times New Roman" w:hAnsi="Times New Roman"/>
          <w:i/>
        </w:rPr>
        <w:t xml:space="preserve"> </w:t>
      </w:r>
      <w:r w:rsidRPr="00325B8D">
        <w:rPr>
          <w:rFonts w:ascii="Times New Roman" w:hAnsi="Times New Roman"/>
          <w:i/>
          <w:lang w:val="en-US"/>
        </w:rPr>
        <w:t>I referohet normës mesatare të ponderuar të titujve shtetërorë të emetuar vetëm në tregun primar.</w:t>
      </w:r>
    </w:p>
  </w:footnote>
  <w:footnote w:id="4">
    <w:p w:rsidR="00E74AAC" w:rsidRDefault="00E74AAC" w:rsidP="00F07CB3">
      <w:pPr>
        <w:pStyle w:val="FootnoteText"/>
        <w:spacing w:after="0" w:line="240" w:lineRule="auto"/>
        <w:rPr>
          <w:i/>
          <w:sz w:val="18"/>
        </w:rPr>
      </w:pPr>
      <w:r>
        <w:rPr>
          <w:rStyle w:val="FootnoteReference"/>
          <w:i/>
          <w:sz w:val="18"/>
        </w:rPr>
        <w:footnoteRef/>
      </w:r>
      <w:r>
        <w:rPr>
          <w:i/>
          <w:sz w:val="18"/>
        </w:rPr>
        <w:t xml:space="preserve"> Të dhënat financiare për OSHEE Group sh.a, për 3- mujorin 2022, janë paraprake (jo finale) të përcjella nga kompania.</w:t>
      </w:r>
    </w:p>
    <w:p w:rsidR="00E74AAC" w:rsidRDefault="00E74AAC" w:rsidP="00F07CB3">
      <w:pPr>
        <w:pStyle w:val="FootnoteText"/>
        <w:spacing w:after="0" w:line="240" w:lineRule="auto"/>
      </w:pPr>
    </w:p>
  </w:footnote>
  <w:footnote w:id="5">
    <w:p w:rsidR="00E74AAC" w:rsidRPr="00C1229F" w:rsidRDefault="00E74AAC" w:rsidP="0093018B">
      <w:pPr>
        <w:pStyle w:val="FootnoteText"/>
        <w:spacing w:after="0" w:line="240" w:lineRule="auto"/>
        <w:rPr>
          <w:i/>
          <w:sz w:val="18"/>
        </w:rPr>
      </w:pPr>
      <w:r>
        <w:rPr>
          <w:rStyle w:val="FootnoteReference"/>
        </w:rPr>
        <w:footnoteRef/>
      </w:r>
      <w:r>
        <w:t xml:space="preserve"> </w:t>
      </w:r>
      <w:r w:rsidRPr="00C1229F">
        <w:rPr>
          <w:i/>
          <w:sz w:val="18"/>
        </w:rPr>
        <w:t>Pa përfshirë detyrimet e prapambetura të Ujësjellës Kanalizime dhe Universiteteve</w:t>
      </w:r>
    </w:p>
    <w:p w:rsidR="00E74AAC" w:rsidRPr="0093018B" w:rsidRDefault="00E74AAC">
      <w:pPr>
        <w:pStyle w:val="FootnoteText"/>
        <w:rPr>
          <w:lang w:val="en-US"/>
        </w:rPr>
      </w:pPr>
    </w:p>
  </w:footnote>
  <w:footnote w:id="6">
    <w:p w:rsidR="00E74AAC" w:rsidRPr="00302A6A" w:rsidRDefault="00E74AAC" w:rsidP="00150012">
      <w:pPr>
        <w:pStyle w:val="FootnoteText"/>
        <w:spacing w:after="0" w:line="240" w:lineRule="auto"/>
        <w:ind w:left="90" w:hanging="90"/>
        <w:jc w:val="both"/>
        <w:rPr>
          <w:lang w:val="en-US"/>
        </w:rPr>
      </w:pPr>
      <w:r>
        <w:rPr>
          <w:rStyle w:val="FootnoteReference"/>
        </w:rPr>
        <w:footnoteRef/>
      </w:r>
      <w:r>
        <w:t xml:space="preserve"> </w:t>
      </w:r>
      <w:r w:rsidRPr="00302A6A">
        <w:rPr>
          <w:i/>
          <w:sz w:val="18"/>
        </w:rPr>
        <w:t>Analiza e zhvillimeve ekonomike në ketë seksion, bazohet në statistikat/informacionin më të fundit zyrtar të disponueshëm, në momentin e hartimit të këtij raporti</w:t>
      </w:r>
      <w:r w:rsidRPr="00302A6A">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E74AAC"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E74AAC" w:rsidRPr="008E7E7B" w:rsidRDefault="00E74AAC"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E74AAC" w:rsidRDefault="00E74AAC"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rsidR="00E74AAC" w:rsidRPr="008E7E7B" w:rsidRDefault="00E74AAC"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E74AAC" w:rsidRDefault="00E74AA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E74AAC"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E74AAC" w:rsidRPr="008E7E7B" w:rsidRDefault="00E74AAC"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E74AAC" w:rsidRDefault="00E74AAC"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rsidR="00E74AAC" w:rsidRPr="008E7E7B" w:rsidRDefault="00E74AAC"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E74AAC" w:rsidRDefault="00E74A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20BDA"/>
    <w:multiLevelType w:val="hybridMultilevel"/>
    <w:tmpl w:val="AF56EF74"/>
    <w:lvl w:ilvl="0" w:tplc="94B42054">
      <w:start w:val="1"/>
      <w:numFmt w:val="lowerLetter"/>
      <w:lvlText w:val="%1)"/>
      <w:lvlJc w:val="left"/>
      <w:pPr>
        <w:ind w:left="715" w:hanging="375"/>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 w15:restartNumberingAfterBreak="0">
    <w:nsid w:val="08194815"/>
    <w:multiLevelType w:val="hybridMultilevel"/>
    <w:tmpl w:val="97460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224BE4"/>
    <w:multiLevelType w:val="multilevel"/>
    <w:tmpl w:val="608EB5EC"/>
    <w:lvl w:ilvl="0">
      <w:start w:val="7"/>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2630F69"/>
    <w:multiLevelType w:val="multilevel"/>
    <w:tmpl w:val="C8B2C94E"/>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4F11363"/>
    <w:multiLevelType w:val="hybridMultilevel"/>
    <w:tmpl w:val="005ADEE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6D05AC7"/>
    <w:multiLevelType w:val="hybridMultilevel"/>
    <w:tmpl w:val="BFB2AB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7282028"/>
    <w:multiLevelType w:val="hybridMultilevel"/>
    <w:tmpl w:val="B3E4DF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245D15"/>
    <w:multiLevelType w:val="hybridMultilevel"/>
    <w:tmpl w:val="6DEEBF5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25439E"/>
    <w:multiLevelType w:val="hybridMultilevel"/>
    <w:tmpl w:val="9FB42B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DD6ADD"/>
    <w:multiLevelType w:val="hybridMultilevel"/>
    <w:tmpl w:val="E1064E6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A5B546D"/>
    <w:multiLevelType w:val="hybridMultilevel"/>
    <w:tmpl w:val="5BBCC4A2"/>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3" w15:restartNumberingAfterBreak="0">
    <w:nsid w:val="1CDB3470"/>
    <w:multiLevelType w:val="hybridMultilevel"/>
    <w:tmpl w:val="E6B06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225916"/>
    <w:multiLevelType w:val="multilevel"/>
    <w:tmpl w:val="0AD62428"/>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F397E93"/>
    <w:multiLevelType w:val="multilevel"/>
    <w:tmpl w:val="E20ECE4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1F3F76E2"/>
    <w:multiLevelType w:val="multilevel"/>
    <w:tmpl w:val="1F7C2912"/>
    <w:lvl w:ilvl="0">
      <w:start w:val="7"/>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0CF533E"/>
    <w:multiLevelType w:val="multilevel"/>
    <w:tmpl w:val="30523972"/>
    <w:lvl w:ilvl="0">
      <w:start w:val="7"/>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9EF72D1"/>
    <w:multiLevelType w:val="hybridMultilevel"/>
    <w:tmpl w:val="F34C37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2C0B6926"/>
    <w:multiLevelType w:val="multilevel"/>
    <w:tmpl w:val="5E38171A"/>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D1376D7"/>
    <w:multiLevelType w:val="hybridMultilevel"/>
    <w:tmpl w:val="535C8A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2F6734AB"/>
    <w:multiLevelType w:val="multilevel"/>
    <w:tmpl w:val="CCC4304A"/>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2FDC5781"/>
    <w:multiLevelType w:val="hybridMultilevel"/>
    <w:tmpl w:val="542C6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F91942"/>
    <w:multiLevelType w:val="hybridMultilevel"/>
    <w:tmpl w:val="59D84004"/>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4" w15:restartNumberingAfterBreak="0">
    <w:nsid w:val="33201C18"/>
    <w:multiLevelType w:val="hybridMultilevel"/>
    <w:tmpl w:val="EFFC37B8"/>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6647DF"/>
    <w:multiLevelType w:val="multilevel"/>
    <w:tmpl w:val="5A1EC080"/>
    <w:lvl w:ilvl="0">
      <w:start w:val="5"/>
      <w:numFmt w:val="upperRoman"/>
      <w:lvlText w:val="%1.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362D2A37"/>
    <w:multiLevelType w:val="hybridMultilevel"/>
    <w:tmpl w:val="7A5209D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38460694"/>
    <w:multiLevelType w:val="hybridMultilevel"/>
    <w:tmpl w:val="079AEDD4"/>
    <w:lvl w:ilvl="0" w:tplc="0409000D">
      <w:start w:val="1"/>
      <w:numFmt w:val="bullet"/>
      <w:lvlText w:val=""/>
      <w:lvlJc w:val="left"/>
      <w:pPr>
        <w:ind w:left="1170" w:hanging="360"/>
      </w:pPr>
      <w:rPr>
        <w:rFonts w:ascii="Wingdings" w:hAnsi="Wingdings"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28" w15:restartNumberingAfterBreak="0">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812475"/>
    <w:multiLevelType w:val="hybridMultilevel"/>
    <w:tmpl w:val="B34E5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CED783B"/>
    <w:multiLevelType w:val="hybridMultilevel"/>
    <w:tmpl w:val="79E25BF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3" w15:restartNumberingAfterBreak="0">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1637FD1"/>
    <w:multiLevelType w:val="multilevel"/>
    <w:tmpl w:val="D5EEC4CE"/>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5860298D"/>
    <w:multiLevelType w:val="hybridMultilevel"/>
    <w:tmpl w:val="5C50BE2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D06651"/>
    <w:multiLevelType w:val="hybridMultilevel"/>
    <w:tmpl w:val="F44A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8C16D8"/>
    <w:multiLevelType w:val="hybridMultilevel"/>
    <w:tmpl w:val="5154585A"/>
    <w:lvl w:ilvl="0" w:tplc="0B60D5D2">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B26070A"/>
    <w:multiLevelType w:val="multilevel"/>
    <w:tmpl w:val="BB401F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5C351FD1"/>
    <w:multiLevelType w:val="hybridMultilevel"/>
    <w:tmpl w:val="92AE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DA84D9B"/>
    <w:multiLevelType w:val="hybridMultilevel"/>
    <w:tmpl w:val="13A020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FCB4490"/>
    <w:multiLevelType w:val="multilevel"/>
    <w:tmpl w:val="BE98468A"/>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601B29CC"/>
    <w:multiLevelType w:val="hybridMultilevel"/>
    <w:tmpl w:val="4F4CAA3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5" w15:restartNumberingAfterBreak="0">
    <w:nsid w:val="62FF2DA3"/>
    <w:multiLevelType w:val="hybridMultilevel"/>
    <w:tmpl w:val="ED243E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4B12871"/>
    <w:multiLevelType w:val="hybridMultilevel"/>
    <w:tmpl w:val="AF56EF74"/>
    <w:lvl w:ilvl="0" w:tplc="94B42054">
      <w:start w:val="1"/>
      <w:numFmt w:val="lowerLetter"/>
      <w:lvlText w:val="%1)"/>
      <w:lvlJc w:val="left"/>
      <w:pPr>
        <w:ind w:left="715" w:hanging="375"/>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47" w15:restartNumberingAfterBreak="0">
    <w:nsid w:val="64C409F9"/>
    <w:multiLevelType w:val="multilevel"/>
    <w:tmpl w:val="D8142206"/>
    <w:lvl w:ilvl="0">
      <w:start w:val="5"/>
      <w:numFmt w:val="upperRoman"/>
      <w:lvlText w:val="%1.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E9F0651"/>
    <w:multiLevelType w:val="hybridMultilevel"/>
    <w:tmpl w:val="1104056A"/>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0037446"/>
    <w:multiLevelType w:val="hybridMultilevel"/>
    <w:tmpl w:val="DA544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4B21FED"/>
    <w:multiLevelType w:val="hybridMultilevel"/>
    <w:tmpl w:val="7E5E81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9283EB3"/>
    <w:multiLevelType w:val="hybridMultilevel"/>
    <w:tmpl w:val="913296B0"/>
    <w:lvl w:ilvl="0" w:tplc="0409000D">
      <w:start w:val="1"/>
      <w:numFmt w:val="bullet"/>
      <w:lvlText w:val=""/>
      <w:lvlJc w:val="left"/>
      <w:pPr>
        <w:ind w:left="682" w:hanging="360"/>
      </w:pPr>
      <w:rPr>
        <w:rFonts w:ascii="Wingdings" w:hAnsi="Wingdings" w:hint="default"/>
      </w:rPr>
    </w:lvl>
    <w:lvl w:ilvl="1" w:tplc="04090003">
      <w:start w:val="1"/>
      <w:numFmt w:val="bullet"/>
      <w:lvlText w:val="o"/>
      <w:lvlJc w:val="left"/>
      <w:pPr>
        <w:ind w:left="1402" w:hanging="360"/>
      </w:pPr>
      <w:rPr>
        <w:rFonts w:ascii="Courier New" w:hAnsi="Courier New" w:cs="Courier New" w:hint="default"/>
      </w:rPr>
    </w:lvl>
    <w:lvl w:ilvl="2" w:tplc="04090005">
      <w:start w:val="1"/>
      <w:numFmt w:val="bullet"/>
      <w:lvlText w:val=""/>
      <w:lvlJc w:val="left"/>
      <w:pPr>
        <w:ind w:left="2122" w:hanging="360"/>
      </w:pPr>
      <w:rPr>
        <w:rFonts w:ascii="Wingdings" w:hAnsi="Wingdings" w:hint="default"/>
      </w:rPr>
    </w:lvl>
    <w:lvl w:ilvl="3" w:tplc="04090001">
      <w:start w:val="1"/>
      <w:numFmt w:val="bullet"/>
      <w:lvlText w:val=""/>
      <w:lvlJc w:val="left"/>
      <w:pPr>
        <w:ind w:left="2842" w:hanging="360"/>
      </w:pPr>
      <w:rPr>
        <w:rFonts w:ascii="Symbol" w:hAnsi="Symbol" w:hint="default"/>
      </w:rPr>
    </w:lvl>
    <w:lvl w:ilvl="4" w:tplc="04090003">
      <w:start w:val="1"/>
      <w:numFmt w:val="bullet"/>
      <w:lvlText w:val="o"/>
      <w:lvlJc w:val="left"/>
      <w:pPr>
        <w:ind w:left="3562" w:hanging="360"/>
      </w:pPr>
      <w:rPr>
        <w:rFonts w:ascii="Courier New" w:hAnsi="Courier New" w:cs="Courier New" w:hint="default"/>
      </w:rPr>
    </w:lvl>
    <w:lvl w:ilvl="5" w:tplc="04090005">
      <w:start w:val="1"/>
      <w:numFmt w:val="bullet"/>
      <w:lvlText w:val=""/>
      <w:lvlJc w:val="left"/>
      <w:pPr>
        <w:ind w:left="4282" w:hanging="360"/>
      </w:pPr>
      <w:rPr>
        <w:rFonts w:ascii="Wingdings" w:hAnsi="Wingdings" w:hint="default"/>
      </w:rPr>
    </w:lvl>
    <w:lvl w:ilvl="6" w:tplc="04090001">
      <w:start w:val="1"/>
      <w:numFmt w:val="bullet"/>
      <w:lvlText w:val=""/>
      <w:lvlJc w:val="left"/>
      <w:pPr>
        <w:ind w:left="5002" w:hanging="360"/>
      </w:pPr>
      <w:rPr>
        <w:rFonts w:ascii="Symbol" w:hAnsi="Symbol" w:hint="default"/>
      </w:rPr>
    </w:lvl>
    <w:lvl w:ilvl="7" w:tplc="04090003">
      <w:start w:val="1"/>
      <w:numFmt w:val="bullet"/>
      <w:lvlText w:val="o"/>
      <w:lvlJc w:val="left"/>
      <w:pPr>
        <w:ind w:left="5722" w:hanging="360"/>
      </w:pPr>
      <w:rPr>
        <w:rFonts w:ascii="Courier New" w:hAnsi="Courier New" w:cs="Courier New" w:hint="default"/>
      </w:rPr>
    </w:lvl>
    <w:lvl w:ilvl="8" w:tplc="04090005">
      <w:start w:val="1"/>
      <w:numFmt w:val="bullet"/>
      <w:lvlText w:val=""/>
      <w:lvlJc w:val="left"/>
      <w:pPr>
        <w:ind w:left="6442" w:hanging="360"/>
      </w:pPr>
      <w:rPr>
        <w:rFonts w:ascii="Wingdings" w:hAnsi="Wingdings" w:hint="default"/>
      </w:rPr>
    </w:lvl>
  </w:abstractNum>
  <w:abstractNum w:abstractNumId="54" w15:restartNumberingAfterBreak="0">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7BBF3149"/>
    <w:multiLevelType w:val="hybridMultilevel"/>
    <w:tmpl w:val="D3EED23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6" w15:restartNumberingAfterBreak="0">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7E2055A1"/>
    <w:multiLevelType w:val="multilevel"/>
    <w:tmpl w:val="0D26E76A"/>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51"/>
  </w:num>
  <w:num w:numId="2">
    <w:abstractNumId w:val="11"/>
  </w:num>
  <w:num w:numId="3">
    <w:abstractNumId w:val="31"/>
  </w:num>
  <w:num w:numId="4">
    <w:abstractNumId w:val="30"/>
  </w:num>
  <w:num w:numId="5">
    <w:abstractNumId w:val="39"/>
  </w:num>
  <w:num w:numId="6">
    <w:abstractNumId w:val="37"/>
  </w:num>
  <w:num w:numId="7">
    <w:abstractNumId w:val="18"/>
  </w:num>
  <w:num w:numId="8">
    <w:abstractNumId w:val="5"/>
  </w:num>
  <w:num w:numId="9">
    <w:abstractNumId w:val="33"/>
  </w:num>
  <w:num w:numId="10">
    <w:abstractNumId w:val="56"/>
  </w:num>
  <w:num w:numId="11">
    <w:abstractNumId w:val="6"/>
  </w:num>
  <w:num w:numId="12">
    <w:abstractNumId w:val="54"/>
  </w:num>
  <w:num w:numId="13">
    <w:abstractNumId w:val="42"/>
  </w:num>
  <w:num w:numId="14">
    <w:abstractNumId w:val="22"/>
  </w:num>
  <w:num w:numId="15">
    <w:abstractNumId w:val="12"/>
  </w:num>
  <w:num w:numId="16">
    <w:abstractNumId w:val="23"/>
  </w:num>
  <w:num w:numId="17">
    <w:abstractNumId w:val="44"/>
  </w:num>
  <w:num w:numId="18">
    <w:abstractNumId w:val="52"/>
  </w:num>
  <w:num w:numId="19">
    <w:abstractNumId w:val="27"/>
  </w:num>
  <w:num w:numId="20">
    <w:abstractNumId w:val="7"/>
  </w:num>
  <w:num w:numId="21">
    <w:abstractNumId w:val="38"/>
  </w:num>
  <w:num w:numId="22">
    <w:abstractNumId w:val="1"/>
  </w:num>
  <w:num w:numId="23">
    <w:abstractNumId w:val="32"/>
  </w:num>
  <w:num w:numId="24">
    <w:abstractNumId w:val="13"/>
  </w:num>
  <w:num w:numId="25">
    <w:abstractNumId w:val="41"/>
  </w:num>
  <w:num w:numId="26">
    <w:abstractNumId w:val="28"/>
  </w:num>
  <w:num w:numId="27">
    <w:abstractNumId w:val="4"/>
  </w:num>
  <w:num w:numId="28">
    <w:abstractNumId w:val="40"/>
  </w:num>
  <w:num w:numId="29">
    <w:abstractNumId w:val="47"/>
  </w:num>
  <w:num w:numId="30">
    <w:abstractNumId w:val="14"/>
  </w:num>
  <w:num w:numId="31">
    <w:abstractNumId w:val="21"/>
  </w:num>
  <w:num w:numId="32">
    <w:abstractNumId w:val="3"/>
  </w:num>
  <w:num w:numId="33">
    <w:abstractNumId w:val="43"/>
  </w:num>
  <w:num w:numId="34">
    <w:abstractNumId w:val="57"/>
  </w:num>
  <w:num w:numId="35">
    <w:abstractNumId w:val="48"/>
  </w:num>
  <w:num w:numId="36">
    <w:abstractNumId w:val="46"/>
  </w:num>
  <w:num w:numId="37">
    <w:abstractNumId w:val="8"/>
  </w:num>
  <w:num w:numId="38">
    <w:abstractNumId w:val="35"/>
  </w:num>
  <w:num w:numId="39">
    <w:abstractNumId w:val="49"/>
  </w:num>
  <w:num w:numId="40">
    <w:abstractNumId w:val="10"/>
  </w:num>
  <w:num w:numId="41">
    <w:abstractNumId w:val="0"/>
  </w:num>
  <w:num w:numId="42">
    <w:abstractNumId w:val="53"/>
  </w:num>
  <w:num w:numId="43">
    <w:abstractNumId w:val="50"/>
  </w:num>
  <w:num w:numId="44">
    <w:abstractNumId w:val="24"/>
  </w:num>
  <w:num w:numId="45">
    <w:abstractNumId w:val="36"/>
  </w:num>
  <w:num w:numId="46">
    <w:abstractNumId w:val="29"/>
  </w:num>
  <w:num w:numId="47">
    <w:abstractNumId w:val="55"/>
  </w:num>
  <w:num w:numId="48">
    <w:abstractNumId w:val="34"/>
  </w:num>
  <w:num w:numId="49">
    <w:abstractNumId w:val="15"/>
  </w:num>
  <w:num w:numId="50">
    <w:abstractNumId w:val="26"/>
  </w:num>
  <w:num w:numId="51">
    <w:abstractNumId w:val="20"/>
  </w:num>
  <w:num w:numId="52">
    <w:abstractNumId w:val="45"/>
  </w:num>
  <w:num w:numId="53">
    <w:abstractNumId w:val="25"/>
  </w:num>
  <w:num w:numId="54">
    <w:abstractNumId w:val="19"/>
  </w:num>
  <w:num w:numId="55">
    <w:abstractNumId w:val="9"/>
  </w:num>
  <w:num w:numId="56">
    <w:abstractNumId w:val="16"/>
  </w:num>
  <w:num w:numId="57">
    <w:abstractNumId w:val="2"/>
  </w:num>
  <w:num w:numId="58">
    <w:abstractNumId w:val="1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E05"/>
    <w:rsid w:val="000009B4"/>
    <w:rsid w:val="00001086"/>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16ECD"/>
    <w:rsid w:val="0002003B"/>
    <w:rsid w:val="00020968"/>
    <w:rsid w:val="00020D0D"/>
    <w:rsid w:val="00021054"/>
    <w:rsid w:val="0002338E"/>
    <w:rsid w:val="00023EC7"/>
    <w:rsid w:val="00024F36"/>
    <w:rsid w:val="00026ECA"/>
    <w:rsid w:val="000278C7"/>
    <w:rsid w:val="00027D74"/>
    <w:rsid w:val="00030821"/>
    <w:rsid w:val="00030AB4"/>
    <w:rsid w:val="000313E1"/>
    <w:rsid w:val="00031696"/>
    <w:rsid w:val="000316EE"/>
    <w:rsid w:val="0003180D"/>
    <w:rsid w:val="00031893"/>
    <w:rsid w:val="000357A0"/>
    <w:rsid w:val="00035841"/>
    <w:rsid w:val="000358B5"/>
    <w:rsid w:val="00036D1F"/>
    <w:rsid w:val="00037512"/>
    <w:rsid w:val="00040FFF"/>
    <w:rsid w:val="0004148F"/>
    <w:rsid w:val="00041651"/>
    <w:rsid w:val="00041A92"/>
    <w:rsid w:val="000431C2"/>
    <w:rsid w:val="000433A3"/>
    <w:rsid w:val="000447C4"/>
    <w:rsid w:val="000463AC"/>
    <w:rsid w:val="00050790"/>
    <w:rsid w:val="00050FA7"/>
    <w:rsid w:val="00051122"/>
    <w:rsid w:val="00051316"/>
    <w:rsid w:val="00051A5E"/>
    <w:rsid w:val="00052BF2"/>
    <w:rsid w:val="00053402"/>
    <w:rsid w:val="00053BCC"/>
    <w:rsid w:val="00055212"/>
    <w:rsid w:val="000557E1"/>
    <w:rsid w:val="00056FAE"/>
    <w:rsid w:val="00060018"/>
    <w:rsid w:val="0006109B"/>
    <w:rsid w:val="00062B2F"/>
    <w:rsid w:val="000631F1"/>
    <w:rsid w:val="00064256"/>
    <w:rsid w:val="0006646C"/>
    <w:rsid w:val="00066E22"/>
    <w:rsid w:val="000675C9"/>
    <w:rsid w:val="00067A97"/>
    <w:rsid w:val="00067F05"/>
    <w:rsid w:val="00070183"/>
    <w:rsid w:val="00070A9E"/>
    <w:rsid w:val="0007318D"/>
    <w:rsid w:val="00074D63"/>
    <w:rsid w:val="00074EFC"/>
    <w:rsid w:val="00075214"/>
    <w:rsid w:val="00075221"/>
    <w:rsid w:val="00075EFB"/>
    <w:rsid w:val="00077ACE"/>
    <w:rsid w:val="00080C58"/>
    <w:rsid w:val="0008211E"/>
    <w:rsid w:val="00082792"/>
    <w:rsid w:val="0008405B"/>
    <w:rsid w:val="0008466E"/>
    <w:rsid w:val="00084AE6"/>
    <w:rsid w:val="0008561F"/>
    <w:rsid w:val="0008790E"/>
    <w:rsid w:val="0009015E"/>
    <w:rsid w:val="000906A2"/>
    <w:rsid w:val="000909B0"/>
    <w:rsid w:val="00091411"/>
    <w:rsid w:val="0009269D"/>
    <w:rsid w:val="00092976"/>
    <w:rsid w:val="00092EF5"/>
    <w:rsid w:val="000935B0"/>
    <w:rsid w:val="00093EC3"/>
    <w:rsid w:val="000946AA"/>
    <w:rsid w:val="00094C85"/>
    <w:rsid w:val="00096062"/>
    <w:rsid w:val="000960BA"/>
    <w:rsid w:val="000972C6"/>
    <w:rsid w:val="00097454"/>
    <w:rsid w:val="000A00F7"/>
    <w:rsid w:val="000A0F68"/>
    <w:rsid w:val="000A105F"/>
    <w:rsid w:val="000A1269"/>
    <w:rsid w:val="000A1A4D"/>
    <w:rsid w:val="000A1DED"/>
    <w:rsid w:val="000A2C2B"/>
    <w:rsid w:val="000A2E8B"/>
    <w:rsid w:val="000A3A65"/>
    <w:rsid w:val="000A47EC"/>
    <w:rsid w:val="000A4DB4"/>
    <w:rsid w:val="000A6BDF"/>
    <w:rsid w:val="000A79C2"/>
    <w:rsid w:val="000B14D4"/>
    <w:rsid w:val="000B2FE1"/>
    <w:rsid w:val="000B3625"/>
    <w:rsid w:val="000B4464"/>
    <w:rsid w:val="000B4D34"/>
    <w:rsid w:val="000B540E"/>
    <w:rsid w:val="000B5856"/>
    <w:rsid w:val="000B5A01"/>
    <w:rsid w:val="000B6C8B"/>
    <w:rsid w:val="000B73D2"/>
    <w:rsid w:val="000B77A5"/>
    <w:rsid w:val="000B7B21"/>
    <w:rsid w:val="000C0515"/>
    <w:rsid w:val="000C0D2E"/>
    <w:rsid w:val="000C2177"/>
    <w:rsid w:val="000C4EAF"/>
    <w:rsid w:val="000C4F22"/>
    <w:rsid w:val="000C59F7"/>
    <w:rsid w:val="000C7321"/>
    <w:rsid w:val="000D0537"/>
    <w:rsid w:val="000D0B82"/>
    <w:rsid w:val="000D0FAE"/>
    <w:rsid w:val="000D1054"/>
    <w:rsid w:val="000D1394"/>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3FC"/>
    <w:rsid w:val="000E7521"/>
    <w:rsid w:val="000E765C"/>
    <w:rsid w:val="000F051F"/>
    <w:rsid w:val="000F1197"/>
    <w:rsid w:val="000F25F3"/>
    <w:rsid w:val="000F2E94"/>
    <w:rsid w:val="000F2F61"/>
    <w:rsid w:val="000F4824"/>
    <w:rsid w:val="000F4D1C"/>
    <w:rsid w:val="000F4E5E"/>
    <w:rsid w:val="000F540A"/>
    <w:rsid w:val="000F606D"/>
    <w:rsid w:val="000F7B0C"/>
    <w:rsid w:val="000F7EE0"/>
    <w:rsid w:val="001004A6"/>
    <w:rsid w:val="001011D2"/>
    <w:rsid w:val="00102AA3"/>
    <w:rsid w:val="00102D6A"/>
    <w:rsid w:val="00104441"/>
    <w:rsid w:val="00105412"/>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9C4"/>
    <w:rsid w:val="00126C04"/>
    <w:rsid w:val="0012733D"/>
    <w:rsid w:val="001273EB"/>
    <w:rsid w:val="00127B95"/>
    <w:rsid w:val="0013043F"/>
    <w:rsid w:val="00130559"/>
    <w:rsid w:val="00131067"/>
    <w:rsid w:val="00132007"/>
    <w:rsid w:val="00132274"/>
    <w:rsid w:val="001325A5"/>
    <w:rsid w:val="00132760"/>
    <w:rsid w:val="00133661"/>
    <w:rsid w:val="001348C2"/>
    <w:rsid w:val="00134BE3"/>
    <w:rsid w:val="00134C45"/>
    <w:rsid w:val="00136F64"/>
    <w:rsid w:val="00137DBA"/>
    <w:rsid w:val="0014189B"/>
    <w:rsid w:val="00141CFC"/>
    <w:rsid w:val="0014251C"/>
    <w:rsid w:val="00142974"/>
    <w:rsid w:val="00143F84"/>
    <w:rsid w:val="001445E4"/>
    <w:rsid w:val="0014483A"/>
    <w:rsid w:val="00145A6E"/>
    <w:rsid w:val="00145CF2"/>
    <w:rsid w:val="001460AD"/>
    <w:rsid w:val="00146D79"/>
    <w:rsid w:val="001470C2"/>
    <w:rsid w:val="001472EC"/>
    <w:rsid w:val="00150012"/>
    <w:rsid w:val="00150059"/>
    <w:rsid w:val="00150A21"/>
    <w:rsid w:val="00150CE9"/>
    <w:rsid w:val="00152EE7"/>
    <w:rsid w:val="00152F8F"/>
    <w:rsid w:val="001549DF"/>
    <w:rsid w:val="00155195"/>
    <w:rsid w:val="001554F0"/>
    <w:rsid w:val="0015558C"/>
    <w:rsid w:val="001559DA"/>
    <w:rsid w:val="00157B21"/>
    <w:rsid w:val="00161E02"/>
    <w:rsid w:val="00161F13"/>
    <w:rsid w:val="00162F9F"/>
    <w:rsid w:val="00163C3B"/>
    <w:rsid w:val="001649C0"/>
    <w:rsid w:val="0016643F"/>
    <w:rsid w:val="001664DF"/>
    <w:rsid w:val="0016694D"/>
    <w:rsid w:val="00166D8B"/>
    <w:rsid w:val="001700B3"/>
    <w:rsid w:val="0017076B"/>
    <w:rsid w:val="0017172F"/>
    <w:rsid w:val="00171750"/>
    <w:rsid w:val="001720EB"/>
    <w:rsid w:val="00172EF6"/>
    <w:rsid w:val="00172F07"/>
    <w:rsid w:val="00174442"/>
    <w:rsid w:val="0017449A"/>
    <w:rsid w:val="0017690C"/>
    <w:rsid w:val="00176D77"/>
    <w:rsid w:val="00176D8B"/>
    <w:rsid w:val="0017759D"/>
    <w:rsid w:val="00177EE9"/>
    <w:rsid w:val="00180408"/>
    <w:rsid w:val="00180FE4"/>
    <w:rsid w:val="00181163"/>
    <w:rsid w:val="001813D0"/>
    <w:rsid w:val="00182421"/>
    <w:rsid w:val="001829D2"/>
    <w:rsid w:val="001838EB"/>
    <w:rsid w:val="00184522"/>
    <w:rsid w:val="001850DE"/>
    <w:rsid w:val="00186C16"/>
    <w:rsid w:val="00186CC4"/>
    <w:rsid w:val="00186F3E"/>
    <w:rsid w:val="00187722"/>
    <w:rsid w:val="001907DA"/>
    <w:rsid w:val="00190FF4"/>
    <w:rsid w:val="00192E38"/>
    <w:rsid w:val="00193047"/>
    <w:rsid w:val="00193214"/>
    <w:rsid w:val="00193217"/>
    <w:rsid w:val="00193698"/>
    <w:rsid w:val="00193AE5"/>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20EB"/>
    <w:rsid w:val="001B35D0"/>
    <w:rsid w:val="001B3B3B"/>
    <w:rsid w:val="001B5B2F"/>
    <w:rsid w:val="001B65FA"/>
    <w:rsid w:val="001C1838"/>
    <w:rsid w:val="001C2667"/>
    <w:rsid w:val="001C27C1"/>
    <w:rsid w:val="001C2A41"/>
    <w:rsid w:val="001C2F44"/>
    <w:rsid w:val="001C3D4D"/>
    <w:rsid w:val="001C43B3"/>
    <w:rsid w:val="001C4818"/>
    <w:rsid w:val="001C4FB0"/>
    <w:rsid w:val="001C4FB4"/>
    <w:rsid w:val="001C7383"/>
    <w:rsid w:val="001C7B59"/>
    <w:rsid w:val="001D44AF"/>
    <w:rsid w:val="001D4F19"/>
    <w:rsid w:val="001D5347"/>
    <w:rsid w:val="001D7392"/>
    <w:rsid w:val="001E0CE8"/>
    <w:rsid w:val="001E18DB"/>
    <w:rsid w:val="001E1912"/>
    <w:rsid w:val="001E2B2F"/>
    <w:rsid w:val="001E2BD8"/>
    <w:rsid w:val="001E4604"/>
    <w:rsid w:val="001E49E7"/>
    <w:rsid w:val="001E6A9B"/>
    <w:rsid w:val="001E701E"/>
    <w:rsid w:val="001E7643"/>
    <w:rsid w:val="001E7F35"/>
    <w:rsid w:val="001F058C"/>
    <w:rsid w:val="001F0604"/>
    <w:rsid w:val="001F063F"/>
    <w:rsid w:val="001F0FC4"/>
    <w:rsid w:val="001F113C"/>
    <w:rsid w:val="001F1309"/>
    <w:rsid w:val="001F142F"/>
    <w:rsid w:val="001F2ADF"/>
    <w:rsid w:val="001F324B"/>
    <w:rsid w:val="001F417D"/>
    <w:rsid w:val="001F67C5"/>
    <w:rsid w:val="001F6F5E"/>
    <w:rsid w:val="001F6F95"/>
    <w:rsid w:val="001F6FDF"/>
    <w:rsid w:val="00201FE1"/>
    <w:rsid w:val="00202F56"/>
    <w:rsid w:val="00203D04"/>
    <w:rsid w:val="00204B73"/>
    <w:rsid w:val="00204F1C"/>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9C"/>
    <w:rsid w:val="00217FEB"/>
    <w:rsid w:val="002209C4"/>
    <w:rsid w:val="00222429"/>
    <w:rsid w:val="00223C96"/>
    <w:rsid w:val="00224542"/>
    <w:rsid w:val="00224B01"/>
    <w:rsid w:val="002255E1"/>
    <w:rsid w:val="002257B4"/>
    <w:rsid w:val="00225E29"/>
    <w:rsid w:val="00226CC1"/>
    <w:rsid w:val="00227084"/>
    <w:rsid w:val="002278F9"/>
    <w:rsid w:val="0023082A"/>
    <w:rsid w:val="00231E75"/>
    <w:rsid w:val="002323A5"/>
    <w:rsid w:val="002326C7"/>
    <w:rsid w:val="00233485"/>
    <w:rsid w:val="002334F6"/>
    <w:rsid w:val="00233B27"/>
    <w:rsid w:val="00234757"/>
    <w:rsid w:val="00236654"/>
    <w:rsid w:val="002370D8"/>
    <w:rsid w:val="00237145"/>
    <w:rsid w:val="0023717E"/>
    <w:rsid w:val="002402F8"/>
    <w:rsid w:val="002406D0"/>
    <w:rsid w:val="0024079D"/>
    <w:rsid w:val="00240864"/>
    <w:rsid w:val="00240ABA"/>
    <w:rsid w:val="00240ABC"/>
    <w:rsid w:val="00240E5B"/>
    <w:rsid w:val="00241855"/>
    <w:rsid w:val="00241CE3"/>
    <w:rsid w:val="002423E9"/>
    <w:rsid w:val="002441A5"/>
    <w:rsid w:val="002448DB"/>
    <w:rsid w:val="00244B72"/>
    <w:rsid w:val="00244CEF"/>
    <w:rsid w:val="00245055"/>
    <w:rsid w:val="00245495"/>
    <w:rsid w:val="002454B1"/>
    <w:rsid w:val="00245B8B"/>
    <w:rsid w:val="002460BC"/>
    <w:rsid w:val="002469C1"/>
    <w:rsid w:val="00247209"/>
    <w:rsid w:val="00247778"/>
    <w:rsid w:val="002478D3"/>
    <w:rsid w:val="002503FC"/>
    <w:rsid w:val="00251493"/>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2852"/>
    <w:rsid w:val="00263A0A"/>
    <w:rsid w:val="00264A8E"/>
    <w:rsid w:val="00264E3B"/>
    <w:rsid w:val="002651EF"/>
    <w:rsid w:val="00265A7D"/>
    <w:rsid w:val="00265F48"/>
    <w:rsid w:val="00266524"/>
    <w:rsid w:val="00266905"/>
    <w:rsid w:val="00267105"/>
    <w:rsid w:val="0027011A"/>
    <w:rsid w:val="0027240C"/>
    <w:rsid w:val="00272C50"/>
    <w:rsid w:val="00273119"/>
    <w:rsid w:val="002740E3"/>
    <w:rsid w:val="00275310"/>
    <w:rsid w:val="00275E5D"/>
    <w:rsid w:val="00276003"/>
    <w:rsid w:val="002762A9"/>
    <w:rsid w:val="00276794"/>
    <w:rsid w:val="0027683A"/>
    <w:rsid w:val="00277056"/>
    <w:rsid w:val="00277F20"/>
    <w:rsid w:val="00282629"/>
    <w:rsid w:val="00284F57"/>
    <w:rsid w:val="00286D23"/>
    <w:rsid w:val="00286DCC"/>
    <w:rsid w:val="0028760E"/>
    <w:rsid w:val="00291768"/>
    <w:rsid w:val="00291EF6"/>
    <w:rsid w:val="0029315A"/>
    <w:rsid w:val="00297E24"/>
    <w:rsid w:val="002A0C3D"/>
    <w:rsid w:val="002A11B7"/>
    <w:rsid w:val="002A1407"/>
    <w:rsid w:val="002A2247"/>
    <w:rsid w:val="002A228A"/>
    <w:rsid w:val="002A299F"/>
    <w:rsid w:val="002A328E"/>
    <w:rsid w:val="002A38F0"/>
    <w:rsid w:val="002A460C"/>
    <w:rsid w:val="002A461D"/>
    <w:rsid w:val="002A60C3"/>
    <w:rsid w:val="002A6548"/>
    <w:rsid w:val="002A734A"/>
    <w:rsid w:val="002B0043"/>
    <w:rsid w:val="002B0076"/>
    <w:rsid w:val="002B1D29"/>
    <w:rsid w:val="002B2044"/>
    <w:rsid w:val="002B2276"/>
    <w:rsid w:val="002B2B79"/>
    <w:rsid w:val="002B3717"/>
    <w:rsid w:val="002B3AB5"/>
    <w:rsid w:val="002B51BE"/>
    <w:rsid w:val="002B58A8"/>
    <w:rsid w:val="002C04BF"/>
    <w:rsid w:val="002C0E6D"/>
    <w:rsid w:val="002C13CF"/>
    <w:rsid w:val="002C1E64"/>
    <w:rsid w:val="002C1E6C"/>
    <w:rsid w:val="002C2324"/>
    <w:rsid w:val="002C2FBF"/>
    <w:rsid w:val="002C3CA1"/>
    <w:rsid w:val="002C40CB"/>
    <w:rsid w:val="002C4E7B"/>
    <w:rsid w:val="002C5A42"/>
    <w:rsid w:val="002C6745"/>
    <w:rsid w:val="002C681F"/>
    <w:rsid w:val="002D0C56"/>
    <w:rsid w:val="002D2B0D"/>
    <w:rsid w:val="002D2D2D"/>
    <w:rsid w:val="002D38C7"/>
    <w:rsid w:val="002D4B15"/>
    <w:rsid w:val="002D4C35"/>
    <w:rsid w:val="002D5945"/>
    <w:rsid w:val="002D6FC9"/>
    <w:rsid w:val="002D762C"/>
    <w:rsid w:val="002E06CE"/>
    <w:rsid w:val="002E0B92"/>
    <w:rsid w:val="002E2871"/>
    <w:rsid w:val="002E3BD8"/>
    <w:rsid w:val="002E3D93"/>
    <w:rsid w:val="002E4957"/>
    <w:rsid w:val="002E4B00"/>
    <w:rsid w:val="002E5970"/>
    <w:rsid w:val="002E5A19"/>
    <w:rsid w:val="002E5B8A"/>
    <w:rsid w:val="002E66C3"/>
    <w:rsid w:val="002E7615"/>
    <w:rsid w:val="002E7DE0"/>
    <w:rsid w:val="002F0689"/>
    <w:rsid w:val="002F14DE"/>
    <w:rsid w:val="002F43DA"/>
    <w:rsid w:val="002F4D7C"/>
    <w:rsid w:val="002F5102"/>
    <w:rsid w:val="002F5328"/>
    <w:rsid w:val="002F5474"/>
    <w:rsid w:val="002F57AC"/>
    <w:rsid w:val="002F619B"/>
    <w:rsid w:val="002F6850"/>
    <w:rsid w:val="002F77DE"/>
    <w:rsid w:val="00301175"/>
    <w:rsid w:val="00301253"/>
    <w:rsid w:val="00301600"/>
    <w:rsid w:val="00302A6A"/>
    <w:rsid w:val="00302B52"/>
    <w:rsid w:val="003038BE"/>
    <w:rsid w:val="00303DF2"/>
    <w:rsid w:val="0030407F"/>
    <w:rsid w:val="00306255"/>
    <w:rsid w:val="0030746D"/>
    <w:rsid w:val="00307625"/>
    <w:rsid w:val="0030765D"/>
    <w:rsid w:val="00307698"/>
    <w:rsid w:val="0030779F"/>
    <w:rsid w:val="00312527"/>
    <w:rsid w:val="003134EA"/>
    <w:rsid w:val="003136B7"/>
    <w:rsid w:val="00313B39"/>
    <w:rsid w:val="00314D71"/>
    <w:rsid w:val="00315385"/>
    <w:rsid w:val="003174DD"/>
    <w:rsid w:val="00317567"/>
    <w:rsid w:val="00317891"/>
    <w:rsid w:val="00317905"/>
    <w:rsid w:val="00317E44"/>
    <w:rsid w:val="0032510B"/>
    <w:rsid w:val="00325B8D"/>
    <w:rsid w:val="00326976"/>
    <w:rsid w:val="00326E44"/>
    <w:rsid w:val="00327513"/>
    <w:rsid w:val="00327624"/>
    <w:rsid w:val="00327729"/>
    <w:rsid w:val="003301FA"/>
    <w:rsid w:val="0033045F"/>
    <w:rsid w:val="00330B1D"/>
    <w:rsid w:val="00330EE7"/>
    <w:rsid w:val="00330F78"/>
    <w:rsid w:val="003329FF"/>
    <w:rsid w:val="00332B68"/>
    <w:rsid w:val="00332E0A"/>
    <w:rsid w:val="003332A3"/>
    <w:rsid w:val="0033525B"/>
    <w:rsid w:val="003356F7"/>
    <w:rsid w:val="00335DD0"/>
    <w:rsid w:val="00336589"/>
    <w:rsid w:val="00336753"/>
    <w:rsid w:val="00337792"/>
    <w:rsid w:val="00337F9A"/>
    <w:rsid w:val="00340944"/>
    <w:rsid w:val="00340A19"/>
    <w:rsid w:val="00340D6B"/>
    <w:rsid w:val="00340DDE"/>
    <w:rsid w:val="00341655"/>
    <w:rsid w:val="00341DF7"/>
    <w:rsid w:val="00341E88"/>
    <w:rsid w:val="003428D1"/>
    <w:rsid w:val="00342953"/>
    <w:rsid w:val="00342E35"/>
    <w:rsid w:val="00343167"/>
    <w:rsid w:val="00343879"/>
    <w:rsid w:val="00343B94"/>
    <w:rsid w:val="0034411F"/>
    <w:rsid w:val="00344512"/>
    <w:rsid w:val="00344C59"/>
    <w:rsid w:val="003450A2"/>
    <w:rsid w:val="00345A78"/>
    <w:rsid w:val="00346229"/>
    <w:rsid w:val="0034657E"/>
    <w:rsid w:val="003468EB"/>
    <w:rsid w:val="00346DCC"/>
    <w:rsid w:val="00347DAF"/>
    <w:rsid w:val="0035044A"/>
    <w:rsid w:val="00350497"/>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407"/>
    <w:rsid w:val="00365D90"/>
    <w:rsid w:val="00365DAA"/>
    <w:rsid w:val="003661FA"/>
    <w:rsid w:val="00366E24"/>
    <w:rsid w:val="003671F1"/>
    <w:rsid w:val="0036747C"/>
    <w:rsid w:val="00370C58"/>
    <w:rsid w:val="00371249"/>
    <w:rsid w:val="003718F9"/>
    <w:rsid w:val="00372A3F"/>
    <w:rsid w:val="00372B08"/>
    <w:rsid w:val="00373494"/>
    <w:rsid w:val="00375B6A"/>
    <w:rsid w:val="00376338"/>
    <w:rsid w:val="00376BEC"/>
    <w:rsid w:val="00381CAE"/>
    <w:rsid w:val="00382398"/>
    <w:rsid w:val="00383CB4"/>
    <w:rsid w:val="00384ABC"/>
    <w:rsid w:val="00386111"/>
    <w:rsid w:val="003862DD"/>
    <w:rsid w:val="003864E7"/>
    <w:rsid w:val="00386547"/>
    <w:rsid w:val="0038676C"/>
    <w:rsid w:val="00387104"/>
    <w:rsid w:val="00387F54"/>
    <w:rsid w:val="00391209"/>
    <w:rsid w:val="00392AE6"/>
    <w:rsid w:val="00392D7F"/>
    <w:rsid w:val="00393560"/>
    <w:rsid w:val="003947F2"/>
    <w:rsid w:val="0039490A"/>
    <w:rsid w:val="00394CF9"/>
    <w:rsid w:val="003950C6"/>
    <w:rsid w:val="0039681B"/>
    <w:rsid w:val="00397C3F"/>
    <w:rsid w:val="00397DA3"/>
    <w:rsid w:val="003A02D6"/>
    <w:rsid w:val="003A0994"/>
    <w:rsid w:val="003A1589"/>
    <w:rsid w:val="003A294A"/>
    <w:rsid w:val="003A5D62"/>
    <w:rsid w:val="003A645F"/>
    <w:rsid w:val="003A67D5"/>
    <w:rsid w:val="003A68A0"/>
    <w:rsid w:val="003A719F"/>
    <w:rsid w:val="003A7637"/>
    <w:rsid w:val="003A797D"/>
    <w:rsid w:val="003B08AB"/>
    <w:rsid w:val="003B1519"/>
    <w:rsid w:val="003B165E"/>
    <w:rsid w:val="003B21B2"/>
    <w:rsid w:val="003B2B9B"/>
    <w:rsid w:val="003B52C0"/>
    <w:rsid w:val="003B67ED"/>
    <w:rsid w:val="003B7659"/>
    <w:rsid w:val="003B7685"/>
    <w:rsid w:val="003B7A5E"/>
    <w:rsid w:val="003B7A8E"/>
    <w:rsid w:val="003B7EAE"/>
    <w:rsid w:val="003C125C"/>
    <w:rsid w:val="003C15C5"/>
    <w:rsid w:val="003C20CF"/>
    <w:rsid w:val="003C2CAD"/>
    <w:rsid w:val="003C42B7"/>
    <w:rsid w:val="003C5935"/>
    <w:rsid w:val="003C5C96"/>
    <w:rsid w:val="003C5F40"/>
    <w:rsid w:val="003C5FC9"/>
    <w:rsid w:val="003C6B6E"/>
    <w:rsid w:val="003D0213"/>
    <w:rsid w:val="003D047F"/>
    <w:rsid w:val="003D071E"/>
    <w:rsid w:val="003D082B"/>
    <w:rsid w:val="003D0989"/>
    <w:rsid w:val="003D0A60"/>
    <w:rsid w:val="003D0C18"/>
    <w:rsid w:val="003D184D"/>
    <w:rsid w:val="003D24A4"/>
    <w:rsid w:val="003D27B0"/>
    <w:rsid w:val="003D2E53"/>
    <w:rsid w:val="003D2F4D"/>
    <w:rsid w:val="003D3D34"/>
    <w:rsid w:val="003D3D3B"/>
    <w:rsid w:val="003D3F53"/>
    <w:rsid w:val="003D43A4"/>
    <w:rsid w:val="003D5130"/>
    <w:rsid w:val="003D557E"/>
    <w:rsid w:val="003D5A86"/>
    <w:rsid w:val="003D72D8"/>
    <w:rsid w:val="003D7725"/>
    <w:rsid w:val="003D7996"/>
    <w:rsid w:val="003E03A1"/>
    <w:rsid w:val="003E03E4"/>
    <w:rsid w:val="003E069C"/>
    <w:rsid w:val="003E3135"/>
    <w:rsid w:val="003E4318"/>
    <w:rsid w:val="003E49E5"/>
    <w:rsid w:val="003E529E"/>
    <w:rsid w:val="003E568F"/>
    <w:rsid w:val="003E5AE7"/>
    <w:rsid w:val="003E6982"/>
    <w:rsid w:val="003E783A"/>
    <w:rsid w:val="003E788A"/>
    <w:rsid w:val="003F09C1"/>
    <w:rsid w:val="003F1220"/>
    <w:rsid w:val="003F2272"/>
    <w:rsid w:val="003F2FDB"/>
    <w:rsid w:val="003F38E8"/>
    <w:rsid w:val="003F4DA7"/>
    <w:rsid w:val="003F50B1"/>
    <w:rsid w:val="003F668C"/>
    <w:rsid w:val="003F6B21"/>
    <w:rsid w:val="003F6B7C"/>
    <w:rsid w:val="004008C0"/>
    <w:rsid w:val="00400BF5"/>
    <w:rsid w:val="004010D2"/>
    <w:rsid w:val="0040176D"/>
    <w:rsid w:val="0040263A"/>
    <w:rsid w:val="00402E3B"/>
    <w:rsid w:val="0040348D"/>
    <w:rsid w:val="004049A9"/>
    <w:rsid w:val="0040685E"/>
    <w:rsid w:val="00406C97"/>
    <w:rsid w:val="004104AC"/>
    <w:rsid w:val="00412105"/>
    <w:rsid w:val="00412B4B"/>
    <w:rsid w:val="00413F7E"/>
    <w:rsid w:val="00414624"/>
    <w:rsid w:val="00414702"/>
    <w:rsid w:val="004158FA"/>
    <w:rsid w:val="0041642C"/>
    <w:rsid w:val="00417DCB"/>
    <w:rsid w:val="00420C89"/>
    <w:rsid w:val="00421A03"/>
    <w:rsid w:val="0042203E"/>
    <w:rsid w:val="00422501"/>
    <w:rsid w:val="004241A1"/>
    <w:rsid w:val="004243F1"/>
    <w:rsid w:val="004246D4"/>
    <w:rsid w:val="00425D0E"/>
    <w:rsid w:val="00426228"/>
    <w:rsid w:val="0042698C"/>
    <w:rsid w:val="00426C9E"/>
    <w:rsid w:val="0042726F"/>
    <w:rsid w:val="0042741F"/>
    <w:rsid w:val="00430AC8"/>
    <w:rsid w:val="00432288"/>
    <w:rsid w:val="004326B0"/>
    <w:rsid w:val="00433397"/>
    <w:rsid w:val="004335A3"/>
    <w:rsid w:val="004349AE"/>
    <w:rsid w:val="0043587B"/>
    <w:rsid w:val="00435BF2"/>
    <w:rsid w:val="00436982"/>
    <w:rsid w:val="00436B33"/>
    <w:rsid w:val="00436E61"/>
    <w:rsid w:val="00436FFA"/>
    <w:rsid w:val="00437C04"/>
    <w:rsid w:val="004405A7"/>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2B0A"/>
    <w:rsid w:val="00453CE5"/>
    <w:rsid w:val="004546A1"/>
    <w:rsid w:val="00454868"/>
    <w:rsid w:val="004552E5"/>
    <w:rsid w:val="00455ECB"/>
    <w:rsid w:val="004563A6"/>
    <w:rsid w:val="00456A13"/>
    <w:rsid w:val="00456A1A"/>
    <w:rsid w:val="0045766D"/>
    <w:rsid w:val="0046055E"/>
    <w:rsid w:val="00460DDA"/>
    <w:rsid w:val="00461120"/>
    <w:rsid w:val="00462131"/>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10C9"/>
    <w:rsid w:val="00471172"/>
    <w:rsid w:val="004718DA"/>
    <w:rsid w:val="004719C1"/>
    <w:rsid w:val="00472294"/>
    <w:rsid w:val="00474539"/>
    <w:rsid w:val="004748A7"/>
    <w:rsid w:val="0047559A"/>
    <w:rsid w:val="00476597"/>
    <w:rsid w:val="00477292"/>
    <w:rsid w:val="004773DD"/>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9D2"/>
    <w:rsid w:val="004965B0"/>
    <w:rsid w:val="004974C9"/>
    <w:rsid w:val="004A010E"/>
    <w:rsid w:val="004A0FE4"/>
    <w:rsid w:val="004A1BCD"/>
    <w:rsid w:val="004A2522"/>
    <w:rsid w:val="004A254F"/>
    <w:rsid w:val="004A3259"/>
    <w:rsid w:val="004A492C"/>
    <w:rsid w:val="004A5D25"/>
    <w:rsid w:val="004A7490"/>
    <w:rsid w:val="004B03D5"/>
    <w:rsid w:val="004B0534"/>
    <w:rsid w:val="004B2482"/>
    <w:rsid w:val="004B403B"/>
    <w:rsid w:val="004B4AD0"/>
    <w:rsid w:val="004B58CA"/>
    <w:rsid w:val="004B6441"/>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3F7"/>
    <w:rsid w:val="004E67E5"/>
    <w:rsid w:val="004E7C1E"/>
    <w:rsid w:val="004F04D3"/>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636"/>
    <w:rsid w:val="0050393B"/>
    <w:rsid w:val="00503E2F"/>
    <w:rsid w:val="005040AD"/>
    <w:rsid w:val="00504FB2"/>
    <w:rsid w:val="005057C8"/>
    <w:rsid w:val="00505A68"/>
    <w:rsid w:val="00506CBA"/>
    <w:rsid w:val="00506FCD"/>
    <w:rsid w:val="00511809"/>
    <w:rsid w:val="005121C0"/>
    <w:rsid w:val="0051220F"/>
    <w:rsid w:val="00512323"/>
    <w:rsid w:val="0051249B"/>
    <w:rsid w:val="00513A75"/>
    <w:rsid w:val="00513D66"/>
    <w:rsid w:val="00514246"/>
    <w:rsid w:val="00514DA0"/>
    <w:rsid w:val="00515024"/>
    <w:rsid w:val="005156E6"/>
    <w:rsid w:val="00516407"/>
    <w:rsid w:val="00516451"/>
    <w:rsid w:val="00516618"/>
    <w:rsid w:val="00517D8B"/>
    <w:rsid w:val="00521154"/>
    <w:rsid w:val="0052258A"/>
    <w:rsid w:val="00522977"/>
    <w:rsid w:val="0052318E"/>
    <w:rsid w:val="0052359A"/>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4DAF"/>
    <w:rsid w:val="00545CF4"/>
    <w:rsid w:val="00545DE5"/>
    <w:rsid w:val="005463E4"/>
    <w:rsid w:val="00546E20"/>
    <w:rsid w:val="0054759A"/>
    <w:rsid w:val="00550C61"/>
    <w:rsid w:val="0055157D"/>
    <w:rsid w:val="005520FD"/>
    <w:rsid w:val="005556D3"/>
    <w:rsid w:val="0055638F"/>
    <w:rsid w:val="005564F1"/>
    <w:rsid w:val="0055673C"/>
    <w:rsid w:val="00560789"/>
    <w:rsid w:val="005607ED"/>
    <w:rsid w:val="005612CA"/>
    <w:rsid w:val="00561C3B"/>
    <w:rsid w:val="00562447"/>
    <w:rsid w:val="005625A1"/>
    <w:rsid w:val="00562780"/>
    <w:rsid w:val="00562E3F"/>
    <w:rsid w:val="00563387"/>
    <w:rsid w:val="0056470D"/>
    <w:rsid w:val="00564887"/>
    <w:rsid w:val="005651CB"/>
    <w:rsid w:val="00565BEB"/>
    <w:rsid w:val="00565D2C"/>
    <w:rsid w:val="0056643D"/>
    <w:rsid w:val="00566B75"/>
    <w:rsid w:val="00566BBB"/>
    <w:rsid w:val="00566D66"/>
    <w:rsid w:val="005670F3"/>
    <w:rsid w:val="0056790E"/>
    <w:rsid w:val="005740A4"/>
    <w:rsid w:val="00574B2E"/>
    <w:rsid w:val="00575CA1"/>
    <w:rsid w:val="00576106"/>
    <w:rsid w:val="0057792F"/>
    <w:rsid w:val="00580297"/>
    <w:rsid w:val="00580324"/>
    <w:rsid w:val="00580916"/>
    <w:rsid w:val="005811FD"/>
    <w:rsid w:val="00581FCB"/>
    <w:rsid w:val="00582D23"/>
    <w:rsid w:val="005836FC"/>
    <w:rsid w:val="00584C75"/>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D9A"/>
    <w:rsid w:val="005A43B2"/>
    <w:rsid w:val="005A4B21"/>
    <w:rsid w:val="005A5B4E"/>
    <w:rsid w:val="005A62E1"/>
    <w:rsid w:val="005A646A"/>
    <w:rsid w:val="005A68EB"/>
    <w:rsid w:val="005A6913"/>
    <w:rsid w:val="005A6CA7"/>
    <w:rsid w:val="005A7472"/>
    <w:rsid w:val="005A754A"/>
    <w:rsid w:val="005A76AD"/>
    <w:rsid w:val="005B0675"/>
    <w:rsid w:val="005B06C5"/>
    <w:rsid w:val="005B0837"/>
    <w:rsid w:val="005B0F20"/>
    <w:rsid w:val="005B15BE"/>
    <w:rsid w:val="005B1AB0"/>
    <w:rsid w:val="005B1B0D"/>
    <w:rsid w:val="005B36C1"/>
    <w:rsid w:val="005B629E"/>
    <w:rsid w:val="005B7D10"/>
    <w:rsid w:val="005C12BA"/>
    <w:rsid w:val="005C140F"/>
    <w:rsid w:val="005C2D29"/>
    <w:rsid w:val="005C33DE"/>
    <w:rsid w:val="005C3F1C"/>
    <w:rsid w:val="005C45FB"/>
    <w:rsid w:val="005C52D1"/>
    <w:rsid w:val="005C53FD"/>
    <w:rsid w:val="005C723F"/>
    <w:rsid w:val="005C7667"/>
    <w:rsid w:val="005C7F92"/>
    <w:rsid w:val="005D04F4"/>
    <w:rsid w:val="005D0EFC"/>
    <w:rsid w:val="005D12E4"/>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1541"/>
    <w:rsid w:val="005F2324"/>
    <w:rsid w:val="005F249C"/>
    <w:rsid w:val="005F5097"/>
    <w:rsid w:val="005F63A7"/>
    <w:rsid w:val="005F6C67"/>
    <w:rsid w:val="005F6E35"/>
    <w:rsid w:val="005F704A"/>
    <w:rsid w:val="005F7591"/>
    <w:rsid w:val="005F7844"/>
    <w:rsid w:val="00600552"/>
    <w:rsid w:val="00600789"/>
    <w:rsid w:val="00601D83"/>
    <w:rsid w:val="00601EFC"/>
    <w:rsid w:val="00603450"/>
    <w:rsid w:val="00603E68"/>
    <w:rsid w:val="006055DD"/>
    <w:rsid w:val="00605C22"/>
    <w:rsid w:val="006062AB"/>
    <w:rsid w:val="006067E7"/>
    <w:rsid w:val="00606B78"/>
    <w:rsid w:val="00606C9E"/>
    <w:rsid w:val="00606D4E"/>
    <w:rsid w:val="00606EA6"/>
    <w:rsid w:val="00606F60"/>
    <w:rsid w:val="006107B5"/>
    <w:rsid w:val="00610DC5"/>
    <w:rsid w:val="00610F07"/>
    <w:rsid w:val="0061319C"/>
    <w:rsid w:val="0061326B"/>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4FF9"/>
    <w:rsid w:val="00625180"/>
    <w:rsid w:val="006266F7"/>
    <w:rsid w:val="0062671F"/>
    <w:rsid w:val="00626746"/>
    <w:rsid w:val="00626A33"/>
    <w:rsid w:val="006308E8"/>
    <w:rsid w:val="00630D88"/>
    <w:rsid w:val="00630F48"/>
    <w:rsid w:val="00632245"/>
    <w:rsid w:val="00632747"/>
    <w:rsid w:val="006327FE"/>
    <w:rsid w:val="006352E6"/>
    <w:rsid w:val="00637131"/>
    <w:rsid w:val="00637410"/>
    <w:rsid w:val="0063765A"/>
    <w:rsid w:val="00637FB4"/>
    <w:rsid w:val="00640082"/>
    <w:rsid w:val="00640ED3"/>
    <w:rsid w:val="0064168E"/>
    <w:rsid w:val="00641F3F"/>
    <w:rsid w:val="00643654"/>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426"/>
    <w:rsid w:val="00666780"/>
    <w:rsid w:val="00666B9F"/>
    <w:rsid w:val="00667097"/>
    <w:rsid w:val="00667871"/>
    <w:rsid w:val="0066798D"/>
    <w:rsid w:val="00670AC6"/>
    <w:rsid w:val="006719B5"/>
    <w:rsid w:val="006724F6"/>
    <w:rsid w:val="006730F4"/>
    <w:rsid w:val="00673227"/>
    <w:rsid w:val="006739B0"/>
    <w:rsid w:val="00673BAA"/>
    <w:rsid w:val="00674DBA"/>
    <w:rsid w:val="00675845"/>
    <w:rsid w:val="0067621B"/>
    <w:rsid w:val="006801D3"/>
    <w:rsid w:val="0068071B"/>
    <w:rsid w:val="00680859"/>
    <w:rsid w:val="00680E93"/>
    <w:rsid w:val="00681006"/>
    <w:rsid w:val="0068128A"/>
    <w:rsid w:val="00681D88"/>
    <w:rsid w:val="0068255C"/>
    <w:rsid w:val="00685193"/>
    <w:rsid w:val="00685257"/>
    <w:rsid w:val="0069085E"/>
    <w:rsid w:val="006922F4"/>
    <w:rsid w:val="0069249A"/>
    <w:rsid w:val="006925BA"/>
    <w:rsid w:val="00692679"/>
    <w:rsid w:val="00692A53"/>
    <w:rsid w:val="00693958"/>
    <w:rsid w:val="00693A38"/>
    <w:rsid w:val="00697120"/>
    <w:rsid w:val="006A09D1"/>
    <w:rsid w:val="006A1E00"/>
    <w:rsid w:val="006A206A"/>
    <w:rsid w:val="006A26E4"/>
    <w:rsid w:val="006A36B6"/>
    <w:rsid w:val="006A45A0"/>
    <w:rsid w:val="006A5571"/>
    <w:rsid w:val="006A58F8"/>
    <w:rsid w:val="006A6936"/>
    <w:rsid w:val="006A740D"/>
    <w:rsid w:val="006B1405"/>
    <w:rsid w:val="006B1E99"/>
    <w:rsid w:val="006B2026"/>
    <w:rsid w:val="006B2319"/>
    <w:rsid w:val="006B29A1"/>
    <w:rsid w:val="006B2FB2"/>
    <w:rsid w:val="006B4B62"/>
    <w:rsid w:val="006B6CA4"/>
    <w:rsid w:val="006B73BA"/>
    <w:rsid w:val="006B75A4"/>
    <w:rsid w:val="006C0FBA"/>
    <w:rsid w:val="006C1598"/>
    <w:rsid w:val="006C245D"/>
    <w:rsid w:val="006C2765"/>
    <w:rsid w:val="006C3ADA"/>
    <w:rsid w:val="006C5681"/>
    <w:rsid w:val="006C6319"/>
    <w:rsid w:val="006C655E"/>
    <w:rsid w:val="006C66BA"/>
    <w:rsid w:val="006C739C"/>
    <w:rsid w:val="006C73CF"/>
    <w:rsid w:val="006C77A2"/>
    <w:rsid w:val="006C7949"/>
    <w:rsid w:val="006D045B"/>
    <w:rsid w:val="006D26CB"/>
    <w:rsid w:val="006D3836"/>
    <w:rsid w:val="006D3879"/>
    <w:rsid w:val="006D5036"/>
    <w:rsid w:val="006D5808"/>
    <w:rsid w:val="006D603B"/>
    <w:rsid w:val="006D6632"/>
    <w:rsid w:val="006D6701"/>
    <w:rsid w:val="006D7EC7"/>
    <w:rsid w:val="006E00CC"/>
    <w:rsid w:val="006E072D"/>
    <w:rsid w:val="006E0B03"/>
    <w:rsid w:val="006E1377"/>
    <w:rsid w:val="006E1AD9"/>
    <w:rsid w:val="006E1BE5"/>
    <w:rsid w:val="006E34EA"/>
    <w:rsid w:val="006E4755"/>
    <w:rsid w:val="006E5DD5"/>
    <w:rsid w:val="006E68A7"/>
    <w:rsid w:val="006E6994"/>
    <w:rsid w:val="006F14C5"/>
    <w:rsid w:val="006F15D6"/>
    <w:rsid w:val="006F17F2"/>
    <w:rsid w:val="006F19B3"/>
    <w:rsid w:val="006F25E7"/>
    <w:rsid w:val="006F3FDF"/>
    <w:rsid w:val="006F4B16"/>
    <w:rsid w:val="006F52BB"/>
    <w:rsid w:val="006F5F7D"/>
    <w:rsid w:val="006F60FF"/>
    <w:rsid w:val="006F6305"/>
    <w:rsid w:val="006F6ED4"/>
    <w:rsid w:val="006F6EF6"/>
    <w:rsid w:val="006F7BAA"/>
    <w:rsid w:val="006F7CD6"/>
    <w:rsid w:val="007000D1"/>
    <w:rsid w:val="007009D2"/>
    <w:rsid w:val="0070116C"/>
    <w:rsid w:val="007012FE"/>
    <w:rsid w:val="0070187E"/>
    <w:rsid w:val="00701954"/>
    <w:rsid w:val="00701CFE"/>
    <w:rsid w:val="007030D4"/>
    <w:rsid w:val="00703199"/>
    <w:rsid w:val="00706101"/>
    <w:rsid w:val="0070722E"/>
    <w:rsid w:val="0070737F"/>
    <w:rsid w:val="00707EAF"/>
    <w:rsid w:val="00710BEA"/>
    <w:rsid w:val="00710F5F"/>
    <w:rsid w:val="007117C6"/>
    <w:rsid w:val="00711AD9"/>
    <w:rsid w:val="007120EB"/>
    <w:rsid w:val="007123F5"/>
    <w:rsid w:val="0071340F"/>
    <w:rsid w:val="0071361F"/>
    <w:rsid w:val="007138C5"/>
    <w:rsid w:val="00715308"/>
    <w:rsid w:val="007157A0"/>
    <w:rsid w:val="0071751F"/>
    <w:rsid w:val="00717846"/>
    <w:rsid w:val="00721579"/>
    <w:rsid w:val="00721AC3"/>
    <w:rsid w:val="00721DE4"/>
    <w:rsid w:val="00721EE7"/>
    <w:rsid w:val="00721F1A"/>
    <w:rsid w:val="007233A8"/>
    <w:rsid w:val="007246EF"/>
    <w:rsid w:val="0072482E"/>
    <w:rsid w:val="00724B4D"/>
    <w:rsid w:val="00724C94"/>
    <w:rsid w:val="00730B1E"/>
    <w:rsid w:val="00730CDC"/>
    <w:rsid w:val="007318FD"/>
    <w:rsid w:val="007319D2"/>
    <w:rsid w:val="00731DD8"/>
    <w:rsid w:val="0073653A"/>
    <w:rsid w:val="007367F1"/>
    <w:rsid w:val="00736B74"/>
    <w:rsid w:val="007412F6"/>
    <w:rsid w:val="00741A23"/>
    <w:rsid w:val="00742C7E"/>
    <w:rsid w:val="007433B0"/>
    <w:rsid w:val="007434A1"/>
    <w:rsid w:val="007450DD"/>
    <w:rsid w:val="00745987"/>
    <w:rsid w:val="00746EB0"/>
    <w:rsid w:val="0074740A"/>
    <w:rsid w:val="00747ECC"/>
    <w:rsid w:val="007504CF"/>
    <w:rsid w:val="00751D54"/>
    <w:rsid w:val="00751E91"/>
    <w:rsid w:val="007532D4"/>
    <w:rsid w:val="00754348"/>
    <w:rsid w:val="007544A1"/>
    <w:rsid w:val="007548EF"/>
    <w:rsid w:val="00754A53"/>
    <w:rsid w:val="0075670E"/>
    <w:rsid w:val="00756EAE"/>
    <w:rsid w:val="00760063"/>
    <w:rsid w:val="00761AE5"/>
    <w:rsid w:val="00761F41"/>
    <w:rsid w:val="00762081"/>
    <w:rsid w:val="0076218D"/>
    <w:rsid w:val="0076231C"/>
    <w:rsid w:val="00762694"/>
    <w:rsid w:val="00762C72"/>
    <w:rsid w:val="00764371"/>
    <w:rsid w:val="00765238"/>
    <w:rsid w:val="00765663"/>
    <w:rsid w:val="00765CA3"/>
    <w:rsid w:val="00765D92"/>
    <w:rsid w:val="0076649E"/>
    <w:rsid w:val="007664A4"/>
    <w:rsid w:val="007674ED"/>
    <w:rsid w:val="0076795D"/>
    <w:rsid w:val="00771510"/>
    <w:rsid w:val="00772159"/>
    <w:rsid w:val="007721CE"/>
    <w:rsid w:val="007736F2"/>
    <w:rsid w:val="00773AE8"/>
    <w:rsid w:val="00774337"/>
    <w:rsid w:val="00774444"/>
    <w:rsid w:val="00774D86"/>
    <w:rsid w:val="00774FBE"/>
    <w:rsid w:val="00775016"/>
    <w:rsid w:val="007758CF"/>
    <w:rsid w:val="00777169"/>
    <w:rsid w:val="007775D4"/>
    <w:rsid w:val="00777963"/>
    <w:rsid w:val="007839F4"/>
    <w:rsid w:val="007841E5"/>
    <w:rsid w:val="0078470D"/>
    <w:rsid w:val="0078591D"/>
    <w:rsid w:val="00785D34"/>
    <w:rsid w:val="00786A15"/>
    <w:rsid w:val="00786F06"/>
    <w:rsid w:val="00787992"/>
    <w:rsid w:val="00787AE8"/>
    <w:rsid w:val="007904FF"/>
    <w:rsid w:val="00790647"/>
    <w:rsid w:val="00791761"/>
    <w:rsid w:val="007922DE"/>
    <w:rsid w:val="0079251A"/>
    <w:rsid w:val="00794876"/>
    <w:rsid w:val="00795EA6"/>
    <w:rsid w:val="00796E6A"/>
    <w:rsid w:val="00797352"/>
    <w:rsid w:val="00797787"/>
    <w:rsid w:val="00797C25"/>
    <w:rsid w:val="007A09E2"/>
    <w:rsid w:val="007A1A5D"/>
    <w:rsid w:val="007A244A"/>
    <w:rsid w:val="007A31D6"/>
    <w:rsid w:val="007A685C"/>
    <w:rsid w:val="007A7931"/>
    <w:rsid w:val="007B136A"/>
    <w:rsid w:val="007B21A7"/>
    <w:rsid w:val="007B2637"/>
    <w:rsid w:val="007B38FB"/>
    <w:rsid w:val="007B3B58"/>
    <w:rsid w:val="007B3CBB"/>
    <w:rsid w:val="007B4ADF"/>
    <w:rsid w:val="007B562A"/>
    <w:rsid w:val="007B61F5"/>
    <w:rsid w:val="007B72A8"/>
    <w:rsid w:val="007C02CF"/>
    <w:rsid w:val="007C3E85"/>
    <w:rsid w:val="007C4703"/>
    <w:rsid w:val="007C4932"/>
    <w:rsid w:val="007C6039"/>
    <w:rsid w:val="007C6700"/>
    <w:rsid w:val="007C69A7"/>
    <w:rsid w:val="007C7CEB"/>
    <w:rsid w:val="007D0E89"/>
    <w:rsid w:val="007D1EEF"/>
    <w:rsid w:val="007D2816"/>
    <w:rsid w:val="007D30E4"/>
    <w:rsid w:val="007D35A4"/>
    <w:rsid w:val="007D3DDE"/>
    <w:rsid w:val="007D3FAB"/>
    <w:rsid w:val="007D403A"/>
    <w:rsid w:val="007D4135"/>
    <w:rsid w:val="007D430D"/>
    <w:rsid w:val="007D4804"/>
    <w:rsid w:val="007D5528"/>
    <w:rsid w:val="007D5608"/>
    <w:rsid w:val="007D6211"/>
    <w:rsid w:val="007D62DB"/>
    <w:rsid w:val="007D6B1A"/>
    <w:rsid w:val="007D6E7E"/>
    <w:rsid w:val="007D7BF9"/>
    <w:rsid w:val="007E05FC"/>
    <w:rsid w:val="007E0FDB"/>
    <w:rsid w:val="007E138B"/>
    <w:rsid w:val="007E145D"/>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810"/>
    <w:rsid w:val="007F0B61"/>
    <w:rsid w:val="007F224E"/>
    <w:rsid w:val="007F2A1F"/>
    <w:rsid w:val="007F32B7"/>
    <w:rsid w:val="007F3ADC"/>
    <w:rsid w:val="007F3B36"/>
    <w:rsid w:val="007F3B83"/>
    <w:rsid w:val="007F3D7C"/>
    <w:rsid w:val="007F60E0"/>
    <w:rsid w:val="007F6444"/>
    <w:rsid w:val="007F6F2D"/>
    <w:rsid w:val="008021D4"/>
    <w:rsid w:val="00802585"/>
    <w:rsid w:val="008025A2"/>
    <w:rsid w:val="00804B54"/>
    <w:rsid w:val="008051D6"/>
    <w:rsid w:val="0080562A"/>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0BFE"/>
    <w:rsid w:val="0082234A"/>
    <w:rsid w:val="00824978"/>
    <w:rsid w:val="00825733"/>
    <w:rsid w:val="0082616E"/>
    <w:rsid w:val="00826923"/>
    <w:rsid w:val="00830150"/>
    <w:rsid w:val="0083048A"/>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340E"/>
    <w:rsid w:val="00844ACC"/>
    <w:rsid w:val="00845666"/>
    <w:rsid w:val="00847AC8"/>
    <w:rsid w:val="00847FA6"/>
    <w:rsid w:val="00850082"/>
    <w:rsid w:val="008507F6"/>
    <w:rsid w:val="008510A0"/>
    <w:rsid w:val="00851709"/>
    <w:rsid w:val="0085454B"/>
    <w:rsid w:val="00855B7D"/>
    <w:rsid w:val="00856996"/>
    <w:rsid w:val="00856D42"/>
    <w:rsid w:val="008611A9"/>
    <w:rsid w:val="008620F0"/>
    <w:rsid w:val="00862D36"/>
    <w:rsid w:val="008630B1"/>
    <w:rsid w:val="00863C4C"/>
    <w:rsid w:val="00863C9B"/>
    <w:rsid w:val="008644E9"/>
    <w:rsid w:val="00864A9D"/>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999"/>
    <w:rsid w:val="00886397"/>
    <w:rsid w:val="00886D9A"/>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7A7"/>
    <w:rsid w:val="008A299E"/>
    <w:rsid w:val="008A2D28"/>
    <w:rsid w:val="008A3227"/>
    <w:rsid w:val="008A4192"/>
    <w:rsid w:val="008A5ECC"/>
    <w:rsid w:val="008A63C7"/>
    <w:rsid w:val="008A66E2"/>
    <w:rsid w:val="008A6A15"/>
    <w:rsid w:val="008A6C24"/>
    <w:rsid w:val="008A6ED1"/>
    <w:rsid w:val="008A7464"/>
    <w:rsid w:val="008A750D"/>
    <w:rsid w:val="008A7707"/>
    <w:rsid w:val="008A7B43"/>
    <w:rsid w:val="008B16F3"/>
    <w:rsid w:val="008B29C3"/>
    <w:rsid w:val="008B4293"/>
    <w:rsid w:val="008B4469"/>
    <w:rsid w:val="008B453D"/>
    <w:rsid w:val="008B46D3"/>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446"/>
    <w:rsid w:val="008E422C"/>
    <w:rsid w:val="008E4619"/>
    <w:rsid w:val="008E5551"/>
    <w:rsid w:val="008E5BF0"/>
    <w:rsid w:val="008E5DF4"/>
    <w:rsid w:val="008E65B3"/>
    <w:rsid w:val="008E6D6F"/>
    <w:rsid w:val="008E765B"/>
    <w:rsid w:val="008F01CE"/>
    <w:rsid w:val="008F0207"/>
    <w:rsid w:val="008F03BC"/>
    <w:rsid w:val="008F18F7"/>
    <w:rsid w:val="008F207A"/>
    <w:rsid w:val="008F2E86"/>
    <w:rsid w:val="008F3223"/>
    <w:rsid w:val="008F38EF"/>
    <w:rsid w:val="008F63B4"/>
    <w:rsid w:val="00900B3D"/>
    <w:rsid w:val="00901AB1"/>
    <w:rsid w:val="00901B93"/>
    <w:rsid w:val="009021AC"/>
    <w:rsid w:val="00902F4E"/>
    <w:rsid w:val="00903C18"/>
    <w:rsid w:val="009051B3"/>
    <w:rsid w:val="0090601E"/>
    <w:rsid w:val="00906FEE"/>
    <w:rsid w:val="00910DF7"/>
    <w:rsid w:val="00911677"/>
    <w:rsid w:val="009119E7"/>
    <w:rsid w:val="009134E9"/>
    <w:rsid w:val="00913979"/>
    <w:rsid w:val="00914118"/>
    <w:rsid w:val="0091448F"/>
    <w:rsid w:val="00916196"/>
    <w:rsid w:val="00916C0E"/>
    <w:rsid w:val="00917259"/>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18B"/>
    <w:rsid w:val="0093052F"/>
    <w:rsid w:val="00930722"/>
    <w:rsid w:val="00930EB8"/>
    <w:rsid w:val="009312FA"/>
    <w:rsid w:val="00931851"/>
    <w:rsid w:val="00931B98"/>
    <w:rsid w:val="00931F3E"/>
    <w:rsid w:val="0093243B"/>
    <w:rsid w:val="00932560"/>
    <w:rsid w:val="00932C1C"/>
    <w:rsid w:val="00933394"/>
    <w:rsid w:val="00933D99"/>
    <w:rsid w:val="00935F98"/>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259"/>
    <w:rsid w:val="009453AA"/>
    <w:rsid w:val="0094558D"/>
    <w:rsid w:val="009461B1"/>
    <w:rsid w:val="00946661"/>
    <w:rsid w:val="00947085"/>
    <w:rsid w:val="00947435"/>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492"/>
    <w:rsid w:val="009647C4"/>
    <w:rsid w:val="00966810"/>
    <w:rsid w:val="0096689C"/>
    <w:rsid w:val="00970940"/>
    <w:rsid w:val="00971093"/>
    <w:rsid w:val="00971B26"/>
    <w:rsid w:val="00971C1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C6E"/>
    <w:rsid w:val="009853E5"/>
    <w:rsid w:val="00986124"/>
    <w:rsid w:val="009864B4"/>
    <w:rsid w:val="00986CAA"/>
    <w:rsid w:val="00986D71"/>
    <w:rsid w:val="00986E85"/>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65A9"/>
    <w:rsid w:val="009A66E7"/>
    <w:rsid w:val="009A6F16"/>
    <w:rsid w:val="009A711F"/>
    <w:rsid w:val="009A715B"/>
    <w:rsid w:val="009A76CA"/>
    <w:rsid w:val="009A792F"/>
    <w:rsid w:val="009B253E"/>
    <w:rsid w:val="009B471B"/>
    <w:rsid w:val="009B496C"/>
    <w:rsid w:val="009B4B50"/>
    <w:rsid w:val="009B547A"/>
    <w:rsid w:val="009B561B"/>
    <w:rsid w:val="009B62DC"/>
    <w:rsid w:val="009B63E3"/>
    <w:rsid w:val="009B6CFE"/>
    <w:rsid w:val="009B7302"/>
    <w:rsid w:val="009B7CA2"/>
    <w:rsid w:val="009C1E92"/>
    <w:rsid w:val="009C2312"/>
    <w:rsid w:val="009C2BB6"/>
    <w:rsid w:val="009C2E45"/>
    <w:rsid w:val="009C30A8"/>
    <w:rsid w:val="009C437E"/>
    <w:rsid w:val="009D1864"/>
    <w:rsid w:val="009D1C88"/>
    <w:rsid w:val="009D2FC2"/>
    <w:rsid w:val="009D3421"/>
    <w:rsid w:val="009D53EE"/>
    <w:rsid w:val="009D5D32"/>
    <w:rsid w:val="009D626A"/>
    <w:rsid w:val="009D6D6F"/>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3037"/>
    <w:rsid w:val="00A0319B"/>
    <w:rsid w:val="00A03291"/>
    <w:rsid w:val="00A067C6"/>
    <w:rsid w:val="00A0687D"/>
    <w:rsid w:val="00A06C7D"/>
    <w:rsid w:val="00A06D78"/>
    <w:rsid w:val="00A0762A"/>
    <w:rsid w:val="00A07F7E"/>
    <w:rsid w:val="00A10922"/>
    <w:rsid w:val="00A10C97"/>
    <w:rsid w:val="00A11476"/>
    <w:rsid w:val="00A11898"/>
    <w:rsid w:val="00A132D0"/>
    <w:rsid w:val="00A1366C"/>
    <w:rsid w:val="00A13D1B"/>
    <w:rsid w:val="00A14825"/>
    <w:rsid w:val="00A14E61"/>
    <w:rsid w:val="00A15D7E"/>
    <w:rsid w:val="00A161CC"/>
    <w:rsid w:val="00A16534"/>
    <w:rsid w:val="00A1655B"/>
    <w:rsid w:val="00A16AA8"/>
    <w:rsid w:val="00A17731"/>
    <w:rsid w:val="00A20671"/>
    <w:rsid w:val="00A20982"/>
    <w:rsid w:val="00A209F7"/>
    <w:rsid w:val="00A21157"/>
    <w:rsid w:val="00A2124B"/>
    <w:rsid w:val="00A21F90"/>
    <w:rsid w:val="00A234C4"/>
    <w:rsid w:val="00A237D9"/>
    <w:rsid w:val="00A238D9"/>
    <w:rsid w:val="00A25454"/>
    <w:rsid w:val="00A255FB"/>
    <w:rsid w:val="00A25C76"/>
    <w:rsid w:val="00A26062"/>
    <w:rsid w:val="00A27156"/>
    <w:rsid w:val="00A27B2B"/>
    <w:rsid w:val="00A308D0"/>
    <w:rsid w:val="00A32748"/>
    <w:rsid w:val="00A33662"/>
    <w:rsid w:val="00A33962"/>
    <w:rsid w:val="00A33C71"/>
    <w:rsid w:val="00A3512B"/>
    <w:rsid w:val="00A35301"/>
    <w:rsid w:val="00A35864"/>
    <w:rsid w:val="00A35EC5"/>
    <w:rsid w:val="00A35FE6"/>
    <w:rsid w:val="00A36950"/>
    <w:rsid w:val="00A40986"/>
    <w:rsid w:val="00A40EC7"/>
    <w:rsid w:val="00A4135D"/>
    <w:rsid w:val="00A41E26"/>
    <w:rsid w:val="00A42656"/>
    <w:rsid w:val="00A42657"/>
    <w:rsid w:val="00A426D6"/>
    <w:rsid w:val="00A42C9F"/>
    <w:rsid w:val="00A42CBF"/>
    <w:rsid w:val="00A433D9"/>
    <w:rsid w:val="00A4451F"/>
    <w:rsid w:val="00A44D27"/>
    <w:rsid w:val="00A45E69"/>
    <w:rsid w:val="00A45F80"/>
    <w:rsid w:val="00A4658F"/>
    <w:rsid w:val="00A51A14"/>
    <w:rsid w:val="00A5376B"/>
    <w:rsid w:val="00A54307"/>
    <w:rsid w:val="00A55825"/>
    <w:rsid w:val="00A56AA7"/>
    <w:rsid w:val="00A604C7"/>
    <w:rsid w:val="00A607B8"/>
    <w:rsid w:val="00A60897"/>
    <w:rsid w:val="00A60CC8"/>
    <w:rsid w:val="00A6158C"/>
    <w:rsid w:val="00A61AD8"/>
    <w:rsid w:val="00A62C4F"/>
    <w:rsid w:val="00A63F6F"/>
    <w:rsid w:val="00A6415C"/>
    <w:rsid w:val="00A64311"/>
    <w:rsid w:val="00A64474"/>
    <w:rsid w:val="00A651B2"/>
    <w:rsid w:val="00A666F4"/>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2096"/>
    <w:rsid w:val="00A93433"/>
    <w:rsid w:val="00A940B0"/>
    <w:rsid w:val="00A9478D"/>
    <w:rsid w:val="00A962B7"/>
    <w:rsid w:val="00A96904"/>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A7F10"/>
    <w:rsid w:val="00AB0FEC"/>
    <w:rsid w:val="00AB16C5"/>
    <w:rsid w:val="00AB1DCB"/>
    <w:rsid w:val="00AB20E3"/>
    <w:rsid w:val="00AB2DCA"/>
    <w:rsid w:val="00AB387A"/>
    <w:rsid w:val="00AB44D3"/>
    <w:rsid w:val="00AB4E09"/>
    <w:rsid w:val="00AB5188"/>
    <w:rsid w:val="00AB52BD"/>
    <w:rsid w:val="00AB6874"/>
    <w:rsid w:val="00AB6DE3"/>
    <w:rsid w:val="00AC0151"/>
    <w:rsid w:val="00AC0C8D"/>
    <w:rsid w:val="00AC11E9"/>
    <w:rsid w:val="00AC1CA0"/>
    <w:rsid w:val="00AC402A"/>
    <w:rsid w:val="00AC6E87"/>
    <w:rsid w:val="00AC7E18"/>
    <w:rsid w:val="00AD0C8D"/>
    <w:rsid w:val="00AD162D"/>
    <w:rsid w:val="00AD1E57"/>
    <w:rsid w:val="00AD1FE9"/>
    <w:rsid w:val="00AD388B"/>
    <w:rsid w:val="00AD3B61"/>
    <w:rsid w:val="00AD3EEC"/>
    <w:rsid w:val="00AD3FCB"/>
    <w:rsid w:val="00AD3FCD"/>
    <w:rsid w:val="00AD4301"/>
    <w:rsid w:val="00AD4899"/>
    <w:rsid w:val="00AD4A5C"/>
    <w:rsid w:val="00AD4B93"/>
    <w:rsid w:val="00AD5700"/>
    <w:rsid w:val="00AD5CED"/>
    <w:rsid w:val="00AD5D1E"/>
    <w:rsid w:val="00AD66E2"/>
    <w:rsid w:val="00AE04F9"/>
    <w:rsid w:val="00AE06CF"/>
    <w:rsid w:val="00AE09A7"/>
    <w:rsid w:val="00AE19DC"/>
    <w:rsid w:val="00AE1D18"/>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4709"/>
    <w:rsid w:val="00AF49E0"/>
    <w:rsid w:val="00AF516D"/>
    <w:rsid w:val="00AF54C4"/>
    <w:rsid w:val="00AF5502"/>
    <w:rsid w:val="00AF55B6"/>
    <w:rsid w:val="00AF578C"/>
    <w:rsid w:val="00AF5D77"/>
    <w:rsid w:val="00AF704E"/>
    <w:rsid w:val="00B0157D"/>
    <w:rsid w:val="00B0186A"/>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F05"/>
    <w:rsid w:val="00B14557"/>
    <w:rsid w:val="00B14D08"/>
    <w:rsid w:val="00B1518A"/>
    <w:rsid w:val="00B15D8B"/>
    <w:rsid w:val="00B16557"/>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223B"/>
    <w:rsid w:val="00B43A1B"/>
    <w:rsid w:val="00B43D40"/>
    <w:rsid w:val="00B4575B"/>
    <w:rsid w:val="00B4583C"/>
    <w:rsid w:val="00B4693B"/>
    <w:rsid w:val="00B507D7"/>
    <w:rsid w:val="00B5116B"/>
    <w:rsid w:val="00B54B34"/>
    <w:rsid w:val="00B54F13"/>
    <w:rsid w:val="00B55813"/>
    <w:rsid w:val="00B55E63"/>
    <w:rsid w:val="00B55E77"/>
    <w:rsid w:val="00B55FF2"/>
    <w:rsid w:val="00B57C1A"/>
    <w:rsid w:val="00B57FE7"/>
    <w:rsid w:val="00B602C6"/>
    <w:rsid w:val="00B604AA"/>
    <w:rsid w:val="00B604AC"/>
    <w:rsid w:val="00B6070F"/>
    <w:rsid w:val="00B60C08"/>
    <w:rsid w:val="00B616CC"/>
    <w:rsid w:val="00B61A54"/>
    <w:rsid w:val="00B63DC7"/>
    <w:rsid w:val="00B66218"/>
    <w:rsid w:val="00B66977"/>
    <w:rsid w:val="00B67C08"/>
    <w:rsid w:val="00B67C0E"/>
    <w:rsid w:val="00B67CB3"/>
    <w:rsid w:val="00B70042"/>
    <w:rsid w:val="00B701C9"/>
    <w:rsid w:val="00B703A6"/>
    <w:rsid w:val="00B715ED"/>
    <w:rsid w:val="00B72FA0"/>
    <w:rsid w:val="00B73BFC"/>
    <w:rsid w:val="00B73C04"/>
    <w:rsid w:val="00B74CB3"/>
    <w:rsid w:val="00B7555C"/>
    <w:rsid w:val="00B76518"/>
    <w:rsid w:val="00B770CC"/>
    <w:rsid w:val="00B77708"/>
    <w:rsid w:val="00B80064"/>
    <w:rsid w:val="00B80708"/>
    <w:rsid w:val="00B81867"/>
    <w:rsid w:val="00B83CED"/>
    <w:rsid w:val="00B83FA6"/>
    <w:rsid w:val="00B8422F"/>
    <w:rsid w:val="00B842C4"/>
    <w:rsid w:val="00B85292"/>
    <w:rsid w:val="00B85434"/>
    <w:rsid w:val="00B85B6E"/>
    <w:rsid w:val="00B8655D"/>
    <w:rsid w:val="00B86837"/>
    <w:rsid w:val="00B868C6"/>
    <w:rsid w:val="00B87B54"/>
    <w:rsid w:val="00B87F38"/>
    <w:rsid w:val="00B910E3"/>
    <w:rsid w:val="00B91350"/>
    <w:rsid w:val="00B92550"/>
    <w:rsid w:val="00B926B8"/>
    <w:rsid w:val="00B929DB"/>
    <w:rsid w:val="00B936E9"/>
    <w:rsid w:val="00B950BA"/>
    <w:rsid w:val="00B95178"/>
    <w:rsid w:val="00B954DA"/>
    <w:rsid w:val="00B95810"/>
    <w:rsid w:val="00B9596F"/>
    <w:rsid w:val="00B96CB1"/>
    <w:rsid w:val="00BA02A7"/>
    <w:rsid w:val="00BA041C"/>
    <w:rsid w:val="00BA2C1B"/>
    <w:rsid w:val="00BA2C90"/>
    <w:rsid w:val="00BA4090"/>
    <w:rsid w:val="00BA4ED4"/>
    <w:rsid w:val="00BA5358"/>
    <w:rsid w:val="00BA64E5"/>
    <w:rsid w:val="00BA6752"/>
    <w:rsid w:val="00BA6C6D"/>
    <w:rsid w:val="00BA6F6C"/>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97"/>
    <w:rsid w:val="00BC19B9"/>
    <w:rsid w:val="00BC1FCB"/>
    <w:rsid w:val="00BC2C68"/>
    <w:rsid w:val="00BC3541"/>
    <w:rsid w:val="00BC3E8A"/>
    <w:rsid w:val="00BC47F8"/>
    <w:rsid w:val="00BC53B6"/>
    <w:rsid w:val="00BC6B7C"/>
    <w:rsid w:val="00BD00C8"/>
    <w:rsid w:val="00BD058C"/>
    <w:rsid w:val="00BD070D"/>
    <w:rsid w:val="00BD36AE"/>
    <w:rsid w:val="00BD36ED"/>
    <w:rsid w:val="00BD3C50"/>
    <w:rsid w:val="00BD3D49"/>
    <w:rsid w:val="00BD417F"/>
    <w:rsid w:val="00BD4779"/>
    <w:rsid w:val="00BD4EC0"/>
    <w:rsid w:val="00BD567E"/>
    <w:rsid w:val="00BD6445"/>
    <w:rsid w:val="00BD688C"/>
    <w:rsid w:val="00BD69A0"/>
    <w:rsid w:val="00BD71A3"/>
    <w:rsid w:val="00BD74CF"/>
    <w:rsid w:val="00BD7B2B"/>
    <w:rsid w:val="00BD7F36"/>
    <w:rsid w:val="00BE00CC"/>
    <w:rsid w:val="00BE0F04"/>
    <w:rsid w:val="00BE1ED0"/>
    <w:rsid w:val="00BE21E2"/>
    <w:rsid w:val="00BE2CF7"/>
    <w:rsid w:val="00BE3413"/>
    <w:rsid w:val="00BE341C"/>
    <w:rsid w:val="00BE34E5"/>
    <w:rsid w:val="00BE36BB"/>
    <w:rsid w:val="00BE5EB2"/>
    <w:rsid w:val="00BE627C"/>
    <w:rsid w:val="00BE6741"/>
    <w:rsid w:val="00BE6A52"/>
    <w:rsid w:val="00BE7434"/>
    <w:rsid w:val="00BF12EE"/>
    <w:rsid w:val="00BF3686"/>
    <w:rsid w:val="00BF39F3"/>
    <w:rsid w:val="00BF5960"/>
    <w:rsid w:val="00BF59B4"/>
    <w:rsid w:val="00BF7148"/>
    <w:rsid w:val="00BF7B22"/>
    <w:rsid w:val="00BF7B77"/>
    <w:rsid w:val="00C002D9"/>
    <w:rsid w:val="00C02954"/>
    <w:rsid w:val="00C0295B"/>
    <w:rsid w:val="00C02DD9"/>
    <w:rsid w:val="00C03964"/>
    <w:rsid w:val="00C06A39"/>
    <w:rsid w:val="00C06F47"/>
    <w:rsid w:val="00C07141"/>
    <w:rsid w:val="00C075CB"/>
    <w:rsid w:val="00C07FD5"/>
    <w:rsid w:val="00C1035E"/>
    <w:rsid w:val="00C107A2"/>
    <w:rsid w:val="00C114B0"/>
    <w:rsid w:val="00C12129"/>
    <w:rsid w:val="00C1229F"/>
    <w:rsid w:val="00C12590"/>
    <w:rsid w:val="00C12BF3"/>
    <w:rsid w:val="00C12D8A"/>
    <w:rsid w:val="00C12E2D"/>
    <w:rsid w:val="00C13AA7"/>
    <w:rsid w:val="00C13F97"/>
    <w:rsid w:val="00C1434D"/>
    <w:rsid w:val="00C1464B"/>
    <w:rsid w:val="00C14B24"/>
    <w:rsid w:val="00C154C8"/>
    <w:rsid w:val="00C15E4A"/>
    <w:rsid w:val="00C160A6"/>
    <w:rsid w:val="00C1688F"/>
    <w:rsid w:val="00C16CE3"/>
    <w:rsid w:val="00C16E21"/>
    <w:rsid w:val="00C23C7E"/>
    <w:rsid w:val="00C23F6D"/>
    <w:rsid w:val="00C24265"/>
    <w:rsid w:val="00C24298"/>
    <w:rsid w:val="00C24D04"/>
    <w:rsid w:val="00C27213"/>
    <w:rsid w:val="00C2741B"/>
    <w:rsid w:val="00C3041B"/>
    <w:rsid w:val="00C30B58"/>
    <w:rsid w:val="00C30D96"/>
    <w:rsid w:val="00C31544"/>
    <w:rsid w:val="00C328FF"/>
    <w:rsid w:val="00C342E2"/>
    <w:rsid w:val="00C34452"/>
    <w:rsid w:val="00C34A07"/>
    <w:rsid w:val="00C3564C"/>
    <w:rsid w:val="00C36310"/>
    <w:rsid w:val="00C365B9"/>
    <w:rsid w:val="00C371C2"/>
    <w:rsid w:val="00C376F9"/>
    <w:rsid w:val="00C3796A"/>
    <w:rsid w:val="00C400AF"/>
    <w:rsid w:val="00C40922"/>
    <w:rsid w:val="00C410AA"/>
    <w:rsid w:val="00C411B3"/>
    <w:rsid w:val="00C41879"/>
    <w:rsid w:val="00C419FA"/>
    <w:rsid w:val="00C41D88"/>
    <w:rsid w:val="00C42136"/>
    <w:rsid w:val="00C443FD"/>
    <w:rsid w:val="00C44FC8"/>
    <w:rsid w:val="00C45283"/>
    <w:rsid w:val="00C45390"/>
    <w:rsid w:val="00C4551D"/>
    <w:rsid w:val="00C457A1"/>
    <w:rsid w:val="00C458FF"/>
    <w:rsid w:val="00C47FB7"/>
    <w:rsid w:val="00C50BE1"/>
    <w:rsid w:val="00C514B9"/>
    <w:rsid w:val="00C51B03"/>
    <w:rsid w:val="00C520AD"/>
    <w:rsid w:val="00C52D2B"/>
    <w:rsid w:val="00C5365D"/>
    <w:rsid w:val="00C53A27"/>
    <w:rsid w:val="00C546B2"/>
    <w:rsid w:val="00C55200"/>
    <w:rsid w:val="00C61EA8"/>
    <w:rsid w:val="00C61EAC"/>
    <w:rsid w:val="00C626F8"/>
    <w:rsid w:val="00C6327C"/>
    <w:rsid w:val="00C64A11"/>
    <w:rsid w:val="00C653DB"/>
    <w:rsid w:val="00C65B3F"/>
    <w:rsid w:val="00C65B50"/>
    <w:rsid w:val="00C666E5"/>
    <w:rsid w:val="00C66A73"/>
    <w:rsid w:val="00C66B18"/>
    <w:rsid w:val="00C66DA0"/>
    <w:rsid w:val="00C67E11"/>
    <w:rsid w:val="00C708D3"/>
    <w:rsid w:val="00C70943"/>
    <w:rsid w:val="00C70977"/>
    <w:rsid w:val="00C726DF"/>
    <w:rsid w:val="00C72DF8"/>
    <w:rsid w:val="00C743B0"/>
    <w:rsid w:val="00C74CE2"/>
    <w:rsid w:val="00C74FE0"/>
    <w:rsid w:val="00C7566B"/>
    <w:rsid w:val="00C75D59"/>
    <w:rsid w:val="00C75FE1"/>
    <w:rsid w:val="00C778D1"/>
    <w:rsid w:val="00C80F81"/>
    <w:rsid w:val="00C81111"/>
    <w:rsid w:val="00C819FF"/>
    <w:rsid w:val="00C81BF8"/>
    <w:rsid w:val="00C82070"/>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6B6"/>
    <w:rsid w:val="00CA0EBB"/>
    <w:rsid w:val="00CA154A"/>
    <w:rsid w:val="00CA2345"/>
    <w:rsid w:val="00CA24E5"/>
    <w:rsid w:val="00CA3188"/>
    <w:rsid w:val="00CA3E35"/>
    <w:rsid w:val="00CA45C7"/>
    <w:rsid w:val="00CA470E"/>
    <w:rsid w:val="00CA4883"/>
    <w:rsid w:val="00CA4D55"/>
    <w:rsid w:val="00CA5051"/>
    <w:rsid w:val="00CA52D5"/>
    <w:rsid w:val="00CA560C"/>
    <w:rsid w:val="00CA6598"/>
    <w:rsid w:val="00CA6705"/>
    <w:rsid w:val="00CA6A33"/>
    <w:rsid w:val="00CA740E"/>
    <w:rsid w:val="00CA7AAA"/>
    <w:rsid w:val="00CB058E"/>
    <w:rsid w:val="00CB05CF"/>
    <w:rsid w:val="00CB1190"/>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7155"/>
    <w:rsid w:val="00CD06A3"/>
    <w:rsid w:val="00CD2295"/>
    <w:rsid w:val="00CD337B"/>
    <w:rsid w:val="00CD367E"/>
    <w:rsid w:val="00CD3B4E"/>
    <w:rsid w:val="00CD3BAD"/>
    <w:rsid w:val="00CD3E32"/>
    <w:rsid w:val="00CD4708"/>
    <w:rsid w:val="00CD4F58"/>
    <w:rsid w:val="00CD5ACC"/>
    <w:rsid w:val="00CD60E0"/>
    <w:rsid w:val="00CD61BB"/>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393"/>
    <w:rsid w:val="00D02D18"/>
    <w:rsid w:val="00D0437F"/>
    <w:rsid w:val="00D0466B"/>
    <w:rsid w:val="00D05B62"/>
    <w:rsid w:val="00D05E09"/>
    <w:rsid w:val="00D0622E"/>
    <w:rsid w:val="00D06FA5"/>
    <w:rsid w:val="00D100B9"/>
    <w:rsid w:val="00D10C6D"/>
    <w:rsid w:val="00D12BA8"/>
    <w:rsid w:val="00D15B81"/>
    <w:rsid w:val="00D167C2"/>
    <w:rsid w:val="00D16876"/>
    <w:rsid w:val="00D16E4B"/>
    <w:rsid w:val="00D17FD3"/>
    <w:rsid w:val="00D20D25"/>
    <w:rsid w:val="00D2161A"/>
    <w:rsid w:val="00D2166D"/>
    <w:rsid w:val="00D217D3"/>
    <w:rsid w:val="00D23F5E"/>
    <w:rsid w:val="00D25385"/>
    <w:rsid w:val="00D25D65"/>
    <w:rsid w:val="00D26EDE"/>
    <w:rsid w:val="00D32394"/>
    <w:rsid w:val="00D327BA"/>
    <w:rsid w:val="00D332AC"/>
    <w:rsid w:val="00D3557A"/>
    <w:rsid w:val="00D3576A"/>
    <w:rsid w:val="00D359B0"/>
    <w:rsid w:val="00D3619E"/>
    <w:rsid w:val="00D3629D"/>
    <w:rsid w:val="00D36378"/>
    <w:rsid w:val="00D36A00"/>
    <w:rsid w:val="00D3708F"/>
    <w:rsid w:val="00D405F2"/>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37D2"/>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D6D"/>
    <w:rsid w:val="00D808F4"/>
    <w:rsid w:val="00D81114"/>
    <w:rsid w:val="00D8280D"/>
    <w:rsid w:val="00D83385"/>
    <w:rsid w:val="00D84F9F"/>
    <w:rsid w:val="00D85320"/>
    <w:rsid w:val="00D859A5"/>
    <w:rsid w:val="00D86716"/>
    <w:rsid w:val="00D9038B"/>
    <w:rsid w:val="00D90476"/>
    <w:rsid w:val="00D90EA6"/>
    <w:rsid w:val="00D90FA1"/>
    <w:rsid w:val="00D92335"/>
    <w:rsid w:val="00D9320F"/>
    <w:rsid w:val="00D95947"/>
    <w:rsid w:val="00D95CBA"/>
    <w:rsid w:val="00D960B7"/>
    <w:rsid w:val="00D96E5B"/>
    <w:rsid w:val="00D978A4"/>
    <w:rsid w:val="00D97956"/>
    <w:rsid w:val="00DA03D6"/>
    <w:rsid w:val="00DA04AF"/>
    <w:rsid w:val="00DA0A56"/>
    <w:rsid w:val="00DA42C4"/>
    <w:rsid w:val="00DA42D5"/>
    <w:rsid w:val="00DA46AC"/>
    <w:rsid w:val="00DA6051"/>
    <w:rsid w:val="00DA77E8"/>
    <w:rsid w:val="00DA7B3B"/>
    <w:rsid w:val="00DB0E02"/>
    <w:rsid w:val="00DB0FF9"/>
    <w:rsid w:val="00DB1190"/>
    <w:rsid w:val="00DB141C"/>
    <w:rsid w:val="00DB1E67"/>
    <w:rsid w:val="00DB28AB"/>
    <w:rsid w:val="00DB2AAF"/>
    <w:rsid w:val="00DB2F98"/>
    <w:rsid w:val="00DB39B7"/>
    <w:rsid w:val="00DB3ABD"/>
    <w:rsid w:val="00DB3F5C"/>
    <w:rsid w:val="00DB4505"/>
    <w:rsid w:val="00DB4522"/>
    <w:rsid w:val="00DB59C4"/>
    <w:rsid w:val="00DB5AB7"/>
    <w:rsid w:val="00DB5C58"/>
    <w:rsid w:val="00DB5DDB"/>
    <w:rsid w:val="00DB684D"/>
    <w:rsid w:val="00DC015C"/>
    <w:rsid w:val="00DC0A5C"/>
    <w:rsid w:val="00DC361F"/>
    <w:rsid w:val="00DC36FD"/>
    <w:rsid w:val="00DC3821"/>
    <w:rsid w:val="00DC3C17"/>
    <w:rsid w:val="00DC3CA6"/>
    <w:rsid w:val="00DC4139"/>
    <w:rsid w:val="00DC4644"/>
    <w:rsid w:val="00DC4891"/>
    <w:rsid w:val="00DC5DD6"/>
    <w:rsid w:val="00DC5E4A"/>
    <w:rsid w:val="00DC65A4"/>
    <w:rsid w:val="00DC69B5"/>
    <w:rsid w:val="00DC6AB5"/>
    <w:rsid w:val="00DC7403"/>
    <w:rsid w:val="00DD0D25"/>
    <w:rsid w:val="00DD1580"/>
    <w:rsid w:val="00DD1CE1"/>
    <w:rsid w:val="00DD3156"/>
    <w:rsid w:val="00DD62E3"/>
    <w:rsid w:val="00DD66E7"/>
    <w:rsid w:val="00DD6AB2"/>
    <w:rsid w:val="00DD7D3E"/>
    <w:rsid w:val="00DE06E3"/>
    <w:rsid w:val="00DE2307"/>
    <w:rsid w:val="00DE2365"/>
    <w:rsid w:val="00DE30D1"/>
    <w:rsid w:val="00DE4338"/>
    <w:rsid w:val="00DE54E7"/>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C83"/>
    <w:rsid w:val="00E01335"/>
    <w:rsid w:val="00E0196D"/>
    <w:rsid w:val="00E02DC5"/>
    <w:rsid w:val="00E0348D"/>
    <w:rsid w:val="00E0380D"/>
    <w:rsid w:val="00E04AC3"/>
    <w:rsid w:val="00E04E12"/>
    <w:rsid w:val="00E05051"/>
    <w:rsid w:val="00E054C0"/>
    <w:rsid w:val="00E05726"/>
    <w:rsid w:val="00E05ADB"/>
    <w:rsid w:val="00E0682A"/>
    <w:rsid w:val="00E0717E"/>
    <w:rsid w:val="00E079B7"/>
    <w:rsid w:val="00E10258"/>
    <w:rsid w:val="00E10752"/>
    <w:rsid w:val="00E1084C"/>
    <w:rsid w:val="00E10C62"/>
    <w:rsid w:val="00E12795"/>
    <w:rsid w:val="00E12D9E"/>
    <w:rsid w:val="00E12EB4"/>
    <w:rsid w:val="00E14853"/>
    <w:rsid w:val="00E14F0D"/>
    <w:rsid w:val="00E15567"/>
    <w:rsid w:val="00E15AD0"/>
    <w:rsid w:val="00E20207"/>
    <w:rsid w:val="00E214AE"/>
    <w:rsid w:val="00E215F2"/>
    <w:rsid w:val="00E22258"/>
    <w:rsid w:val="00E22CE2"/>
    <w:rsid w:val="00E239E4"/>
    <w:rsid w:val="00E23D84"/>
    <w:rsid w:val="00E24537"/>
    <w:rsid w:val="00E255D7"/>
    <w:rsid w:val="00E25C73"/>
    <w:rsid w:val="00E2618C"/>
    <w:rsid w:val="00E27968"/>
    <w:rsid w:val="00E327F7"/>
    <w:rsid w:val="00E32ADB"/>
    <w:rsid w:val="00E332D2"/>
    <w:rsid w:val="00E33F68"/>
    <w:rsid w:val="00E344D0"/>
    <w:rsid w:val="00E34706"/>
    <w:rsid w:val="00E352C0"/>
    <w:rsid w:val="00E35751"/>
    <w:rsid w:val="00E35C9F"/>
    <w:rsid w:val="00E35F1C"/>
    <w:rsid w:val="00E40045"/>
    <w:rsid w:val="00E405F9"/>
    <w:rsid w:val="00E411E0"/>
    <w:rsid w:val="00E417CE"/>
    <w:rsid w:val="00E417E5"/>
    <w:rsid w:val="00E43A30"/>
    <w:rsid w:val="00E43A6C"/>
    <w:rsid w:val="00E44A68"/>
    <w:rsid w:val="00E45388"/>
    <w:rsid w:val="00E46202"/>
    <w:rsid w:val="00E46BBC"/>
    <w:rsid w:val="00E46D07"/>
    <w:rsid w:val="00E46EBB"/>
    <w:rsid w:val="00E472B3"/>
    <w:rsid w:val="00E479AE"/>
    <w:rsid w:val="00E504CD"/>
    <w:rsid w:val="00E507EB"/>
    <w:rsid w:val="00E50B7A"/>
    <w:rsid w:val="00E51F03"/>
    <w:rsid w:val="00E525CE"/>
    <w:rsid w:val="00E53E4F"/>
    <w:rsid w:val="00E54EB5"/>
    <w:rsid w:val="00E554B7"/>
    <w:rsid w:val="00E55EF3"/>
    <w:rsid w:val="00E56215"/>
    <w:rsid w:val="00E568EB"/>
    <w:rsid w:val="00E56E5B"/>
    <w:rsid w:val="00E5712C"/>
    <w:rsid w:val="00E573DA"/>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4AAC"/>
    <w:rsid w:val="00E75D71"/>
    <w:rsid w:val="00E763C9"/>
    <w:rsid w:val="00E76649"/>
    <w:rsid w:val="00E76E6E"/>
    <w:rsid w:val="00E77918"/>
    <w:rsid w:val="00E77C52"/>
    <w:rsid w:val="00E80A52"/>
    <w:rsid w:val="00E80C37"/>
    <w:rsid w:val="00E812EF"/>
    <w:rsid w:val="00E814ED"/>
    <w:rsid w:val="00E81CA3"/>
    <w:rsid w:val="00E8480E"/>
    <w:rsid w:val="00E87B91"/>
    <w:rsid w:val="00E87C10"/>
    <w:rsid w:val="00E90C4A"/>
    <w:rsid w:val="00E9155E"/>
    <w:rsid w:val="00E922F3"/>
    <w:rsid w:val="00E923F7"/>
    <w:rsid w:val="00E92C25"/>
    <w:rsid w:val="00E92E97"/>
    <w:rsid w:val="00E94C0B"/>
    <w:rsid w:val="00E94F2B"/>
    <w:rsid w:val="00E95B5B"/>
    <w:rsid w:val="00E96764"/>
    <w:rsid w:val="00E97038"/>
    <w:rsid w:val="00E97053"/>
    <w:rsid w:val="00E978F0"/>
    <w:rsid w:val="00E97958"/>
    <w:rsid w:val="00E97A48"/>
    <w:rsid w:val="00E97DCB"/>
    <w:rsid w:val="00EA14F0"/>
    <w:rsid w:val="00EA1672"/>
    <w:rsid w:val="00EA1D2A"/>
    <w:rsid w:val="00EA2B84"/>
    <w:rsid w:val="00EA2E05"/>
    <w:rsid w:val="00EA34B9"/>
    <w:rsid w:val="00EA395F"/>
    <w:rsid w:val="00EA3EDD"/>
    <w:rsid w:val="00EA406C"/>
    <w:rsid w:val="00EA4D0E"/>
    <w:rsid w:val="00EA59AD"/>
    <w:rsid w:val="00EA658F"/>
    <w:rsid w:val="00EA726E"/>
    <w:rsid w:val="00EB0002"/>
    <w:rsid w:val="00EB0587"/>
    <w:rsid w:val="00EB05AA"/>
    <w:rsid w:val="00EB201A"/>
    <w:rsid w:val="00EB280B"/>
    <w:rsid w:val="00EB2B3E"/>
    <w:rsid w:val="00EB3166"/>
    <w:rsid w:val="00EB367C"/>
    <w:rsid w:val="00EB3E13"/>
    <w:rsid w:val="00EB3EBD"/>
    <w:rsid w:val="00EB6117"/>
    <w:rsid w:val="00EB6DA1"/>
    <w:rsid w:val="00EB7BF7"/>
    <w:rsid w:val="00EC085E"/>
    <w:rsid w:val="00EC14FB"/>
    <w:rsid w:val="00EC2D99"/>
    <w:rsid w:val="00EC3A39"/>
    <w:rsid w:val="00EC407D"/>
    <w:rsid w:val="00EC4A78"/>
    <w:rsid w:val="00EC4C7F"/>
    <w:rsid w:val="00EC5E58"/>
    <w:rsid w:val="00EC66EA"/>
    <w:rsid w:val="00EC6DDA"/>
    <w:rsid w:val="00EC7D1A"/>
    <w:rsid w:val="00ED0309"/>
    <w:rsid w:val="00ED27F1"/>
    <w:rsid w:val="00ED2C0C"/>
    <w:rsid w:val="00ED2D3D"/>
    <w:rsid w:val="00ED4641"/>
    <w:rsid w:val="00ED4CF4"/>
    <w:rsid w:val="00ED4DBC"/>
    <w:rsid w:val="00ED50AC"/>
    <w:rsid w:val="00ED6013"/>
    <w:rsid w:val="00ED686E"/>
    <w:rsid w:val="00ED6E89"/>
    <w:rsid w:val="00ED7B47"/>
    <w:rsid w:val="00EE1970"/>
    <w:rsid w:val="00EE1B08"/>
    <w:rsid w:val="00EE2069"/>
    <w:rsid w:val="00EE5138"/>
    <w:rsid w:val="00EE5D79"/>
    <w:rsid w:val="00EE6404"/>
    <w:rsid w:val="00EE6D93"/>
    <w:rsid w:val="00EF00AC"/>
    <w:rsid w:val="00EF0954"/>
    <w:rsid w:val="00EF0F32"/>
    <w:rsid w:val="00EF1561"/>
    <w:rsid w:val="00EF2C4D"/>
    <w:rsid w:val="00EF3B73"/>
    <w:rsid w:val="00EF3DE8"/>
    <w:rsid w:val="00EF44BC"/>
    <w:rsid w:val="00EF4B34"/>
    <w:rsid w:val="00EF4B4D"/>
    <w:rsid w:val="00EF4F0D"/>
    <w:rsid w:val="00EF5147"/>
    <w:rsid w:val="00EF54DC"/>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B3"/>
    <w:rsid w:val="00F07CFC"/>
    <w:rsid w:val="00F101A8"/>
    <w:rsid w:val="00F10AE1"/>
    <w:rsid w:val="00F11FDC"/>
    <w:rsid w:val="00F12701"/>
    <w:rsid w:val="00F140E4"/>
    <w:rsid w:val="00F141F7"/>
    <w:rsid w:val="00F15D8B"/>
    <w:rsid w:val="00F176B7"/>
    <w:rsid w:val="00F20A53"/>
    <w:rsid w:val="00F20E64"/>
    <w:rsid w:val="00F21423"/>
    <w:rsid w:val="00F230E2"/>
    <w:rsid w:val="00F23DF1"/>
    <w:rsid w:val="00F25293"/>
    <w:rsid w:val="00F256DB"/>
    <w:rsid w:val="00F268DF"/>
    <w:rsid w:val="00F272FE"/>
    <w:rsid w:val="00F30139"/>
    <w:rsid w:val="00F30431"/>
    <w:rsid w:val="00F313BC"/>
    <w:rsid w:val="00F325AA"/>
    <w:rsid w:val="00F32864"/>
    <w:rsid w:val="00F32C74"/>
    <w:rsid w:val="00F33205"/>
    <w:rsid w:val="00F33F7E"/>
    <w:rsid w:val="00F34ACF"/>
    <w:rsid w:val="00F35181"/>
    <w:rsid w:val="00F351FE"/>
    <w:rsid w:val="00F36535"/>
    <w:rsid w:val="00F36E8C"/>
    <w:rsid w:val="00F3701B"/>
    <w:rsid w:val="00F37918"/>
    <w:rsid w:val="00F379A6"/>
    <w:rsid w:val="00F37EC8"/>
    <w:rsid w:val="00F40B33"/>
    <w:rsid w:val="00F41127"/>
    <w:rsid w:val="00F42996"/>
    <w:rsid w:val="00F42A84"/>
    <w:rsid w:val="00F43CE7"/>
    <w:rsid w:val="00F45037"/>
    <w:rsid w:val="00F46C9C"/>
    <w:rsid w:val="00F50F18"/>
    <w:rsid w:val="00F513AA"/>
    <w:rsid w:val="00F51D1B"/>
    <w:rsid w:val="00F52005"/>
    <w:rsid w:val="00F5253C"/>
    <w:rsid w:val="00F52824"/>
    <w:rsid w:val="00F52BF1"/>
    <w:rsid w:val="00F54468"/>
    <w:rsid w:val="00F5471B"/>
    <w:rsid w:val="00F55B92"/>
    <w:rsid w:val="00F56B10"/>
    <w:rsid w:val="00F57B28"/>
    <w:rsid w:val="00F60DF2"/>
    <w:rsid w:val="00F629C4"/>
    <w:rsid w:val="00F62BEF"/>
    <w:rsid w:val="00F62F99"/>
    <w:rsid w:val="00F63C35"/>
    <w:rsid w:val="00F63C7B"/>
    <w:rsid w:val="00F643F5"/>
    <w:rsid w:val="00F64868"/>
    <w:rsid w:val="00F64B23"/>
    <w:rsid w:val="00F66498"/>
    <w:rsid w:val="00F665E8"/>
    <w:rsid w:val="00F66E8A"/>
    <w:rsid w:val="00F66EB3"/>
    <w:rsid w:val="00F67B4E"/>
    <w:rsid w:val="00F70B04"/>
    <w:rsid w:val="00F70E24"/>
    <w:rsid w:val="00F70EAA"/>
    <w:rsid w:val="00F720EE"/>
    <w:rsid w:val="00F72E51"/>
    <w:rsid w:val="00F73BC3"/>
    <w:rsid w:val="00F7499E"/>
    <w:rsid w:val="00F75D11"/>
    <w:rsid w:val="00F770CF"/>
    <w:rsid w:val="00F80A28"/>
    <w:rsid w:val="00F810AD"/>
    <w:rsid w:val="00F82918"/>
    <w:rsid w:val="00F82FE7"/>
    <w:rsid w:val="00F83A9B"/>
    <w:rsid w:val="00F83ED6"/>
    <w:rsid w:val="00F84F60"/>
    <w:rsid w:val="00F85389"/>
    <w:rsid w:val="00F90334"/>
    <w:rsid w:val="00F9095D"/>
    <w:rsid w:val="00F918ED"/>
    <w:rsid w:val="00F928F0"/>
    <w:rsid w:val="00F93D06"/>
    <w:rsid w:val="00F9617B"/>
    <w:rsid w:val="00F96281"/>
    <w:rsid w:val="00F96AD8"/>
    <w:rsid w:val="00F978F5"/>
    <w:rsid w:val="00FA0302"/>
    <w:rsid w:val="00FA0AEA"/>
    <w:rsid w:val="00FA2630"/>
    <w:rsid w:val="00FA2FFA"/>
    <w:rsid w:val="00FA41DB"/>
    <w:rsid w:val="00FA4974"/>
    <w:rsid w:val="00FA4B51"/>
    <w:rsid w:val="00FA6E70"/>
    <w:rsid w:val="00FA7107"/>
    <w:rsid w:val="00FB02B6"/>
    <w:rsid w:val="00FB059F"/>
    <w:rsid w:val="00FB083E"/>
    <w:rsid w:val="00FB14CF"/>
    <w:rsid w:val="00FB4888"/>
    <w:rsid w:val="00FB4DB9"/>
    <w:rsid w:val="00FB5353"/>
    <w:rsid w:val="00FB69D4"/>
    <w:rsid w:val="00FB705E"/>
    <w:rsid w:val="00FB7161"/>
    <w:rsid w:val="00FB742E"/>
    <w:rsid w:val="00FC01D0"/>
    <w:rsid w:val="00FC06F6"/>
    <w:rsid w:val="00FC1177"/>
    <w:rsid w:val="00FC154E"/>
    <w:rsid w:val="00FC19C8"/>
    <w:rsid w:val="00FC23AC"/>
    <w:rsid w:val="00FC337D"/>
    <w:rsid w:val="00FC35B1"/>
    <w:rsid w:val="00FC35D3"/>
    <w:rsid w:val="00FC3C5D"/>
    <w:rsid w:val="00FC3C87"/>
    <w:rsid w:val="00FC4F80"/>
    <w:rsid w:val="00FC51D0"/>
    <w:rsid w:val="00FC564A"/>
    <w:rsid w:val="00FC6855"/>
    <w:rsid w:val="00FC6A7C"/>
    <w:rsid w:val="00FC6E77"/>
    <w:rsid w:val="00FC7007"/>
    <w:rsid w:val="00FC76FF"/>
    <w:rsid w:val="00FD050F"/>
    <w:rsid w:val="00FD06C0"/>
    <w:rsid w:val="00FD0DF8"/>
    <w:rsid w:val="00FD1898"/>
    <w:rsid w:val="00FD280C"/>
    <w:rsid w:val="00FD3343"/>
    <w:rsid w:val="00FD3DF0"/>
    <w:rsid w:val="00FD45C9"/>
    <w:rsid w:val="00FD4D84"/>
    <w:rsid w:val="00FD6006"/>
    <w:rsid w:val="00FD668F"/>
    <w:rsid w:val="00FD7719"/>
    <w:rsid w:val="00FD7B3F"/>
    <w:rsid w:val="00FE1AD7"/>
    <w:rsid w:val="00FE3719"/>
    <w:rsid w:val="00FE64E9"/>
    <w:rsid w:val="00FE70F8"/>
    <w:rsid w:val="00FE7976"/>
    <w:rsid w:val="00FE7C32"/>
    <w:rsid w:val="00FF00CF"/>
    <w:rsid w:val="00FF0336"/>
    <w:rsid w:val="00FF056B"/>
    <w:rsid w:val="00FF1FE6"/>
    <w:rsid w:val="00FF48DF"/>
    <w:rsid w:val="00FF4AD5"/>
    <w:rsid w:val="00FF4B9F"/>
    <w:rsid w:val="00FF4F46"/>
    <w:rsid w:val="00FF65C9"/>
    <w:rsid w:val="00FF6BC9"/>
    <w:rsid w:val="00FF6C7C"/>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qFormat/>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R"/>
    <w:link w:val="BVIfnrCarCarCarCarChar"/>
    <w:uiPriority w:val="99"/>
    <w:unhideWhenUsed/>
    <w:qFormat/>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59"/>
    <w:rsid w:val="00B03E7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aliases w:val="Grafiku"/>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eastAsia="MS Mincho" w:hAnsi="Cambria"/>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eastAsia="MS Mincho" w:hAnsi="Cambria"/>
      <w:sz w:val="24"/>
      <w:szCs w:val="24"/>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eastAsia="MS Mincho" w:hAnsi="Cambria"/>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eastAsia="MS Mincho" w:hAnsi="Cambria"/>
      <w:sz w:val="24"/>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eastAsia="MS Mincho" w:hAnsi="Cambria"/>
      <w:sz w:val="24"/>
      <w:szCs w:val="24"/>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rPr>
      <w:rFonts w:eastAsia="MS Mincho"/>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rFonts w:eastAsia="MS Mincho"/>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eastAsia="MS Mincho"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1">
    <w:name w:val="List Table 3 - Accent 521"/>
    <w:basedOn w:val="TableNormal"/>
    <w:uiPriority w:val="48"/>
    <w:rsid w:val="006308E8"/>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51">
    <w:name w:val="List Table 3 - Accent 5251"/>
    <w:basedOn w:val="TableNormal"/>
    <w:uiPriority w:val="48"/>
    <w:rsid w:val="00346DCC"/>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1">
    <w:name w:val="List Table 3 - Accent 5261"/>
    <w:basedOn w:val="TableNormal"/>
    <w:uiPriority w:val="48"/>
    <w:rsid w:val="00C82070"/>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1">
    <w:name w:val="Table Grid Light1121"/>
    <w:basedOn w:val="TableNormal"/>
    <w:uiPriority w:val="40"/>
    <w:rsid w:val="00FF1FE6"/>
    <w:rPr>
      <w:rFonts w:ascii="Cambria" w:eastAsia="Calibri"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7">
    <w:name w:val="List Table 3 - Accent 527"/>
    <w:basedOn w:val="TableNormal"/>
    <w:uiPriority w:val="48"/>
    <w:rsid w:val="00FC35D3"/>
    <w:rPr>
      <w:rFonts w:ascii="Cambria" w:eastAsia="MS Mincho"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2">
    <w:name w:val="Table Grid2"/>
    <w:basedOn w:val="TableNormal"/>
    <w:uiPriority w:val="59"/>
    <w:rsid w:val="00BF5960"/>
    <w:rPr>
      <w:rFonts w:ascii="Cambria" w:eastAsia="MS Mincho"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basedOn w:val="Normal"/>
    <w:link w:val="FootnoteReference"/>
    <w:uiPriority w:val="99"/>
    <w:rsid w:val="00F07CB3"/>
    <w:pPr>
      <w:spacing w:after="160" w:line="240" w:lineRule="exact"/>
      <w:jc w:val="both"/>
    </w:pPr>
    <w:rPr>
      <w:rFonts w:eastAsiaTheme="minorHAnsi"/>
      <w:sz w:val="20"/>
      <w:szCs w:val="20"/>
      <w:vertAlign w:val="superscript"/>
    </w:rPr>
  </w:style>
  <w:style w:type="table" w:customStyle="1" w:styleId="GridTable4-Accent112">
    <w:name w:val="Grid Table 4 - Accent 112"/>
    <w:basedOn w:val="TableNormal"/>
    <w:uiPriority w:val="49"/>
    <w:rsid w:val="00F07CB3"/>
    <w:rPr>
      <w:rFonts w:ascii="Cambria" w:eastAsia="MS Mincho" w:hAnsi="Cambria"/>
      <w:sz w:val="24"/>
      <w:szCs w:val="24"/>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character" w:customStyle="1" w:styleId="fontstyle01">
    <w:name w:val="fontstyle01"/>
    <w:basedOn w:val="DefaultParagraphFont"/>
    <w:rsid w:val="0093018B"/>
    <w:rPr>
      <w:rFonts w:ascii="Garamond-Bold" w:hAnsi="Garamond-Bold" w:hint="default"/>
      <w:b/>
      <w:bCs/>
      <w:i w:val="0"/>
      <w:iCs w:val="0"/>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chart" Target="charts/chart11.xml"/><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chart" Target="charts/chart33.xml"/><Relationship Id="rId68" Type="http://schemas.openxmlformats.org/officeDocument/2006/relationships/image" Target="media/image23.emf"/><Relationship Id="rId84" Type="http://schemas.openxmlformats.org/officeDocument/2006/relationships/theme" Target="theme/theme1.xml"/><Relationship Id="rId16" Type="http://schemas.openxmlformats.org/officeDocument/2006/relationships/chart" Target="charts/chart6.xml"/><Relationship Id="rId11" Type="http://schemas.openxmlformats.org/officeDocument/2006/relationships/chart" Target="charts/chart1.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chart" Target="charts/chart24.xml"/><Relationship Id="rId58" Type="http://schemas.openxmlformats.org/officeDocument/2006/relationships/chart" Target="charts/chart29.xml"/><Relationship Id="rId74" Type="http://schemas.openxmlformats.org/officeDocument/2006/relationships/image" Target="media/image29.emf"/><Relationship Id="rId79"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image" Target="media/image21.png"/><Relationship Id="rId82" Type="http://schemas.openxmlformats.org/officeDocument/2006/relationships/header" Target="header2.xm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chart" Target="charts/chart15.xml"/><Relationship Id="rId48" Type="http://schemas.openxmlformats.org/officeDocument/2006/relationships/image" Target="media/image20.png"/><Relationship Id="rId56" Type="http://schemas.openxmlformats.org/officeDocument/2006/relationships/chart" Target="charts/chart27.xml"/><Relationship Id="rId64" Type="http://schemas.openxmlformats.org/officeDocument/2006/relationships/chart" Target="charts/chart34.xml"/><Relationship Id="rId69" Type="http://schemas.openxmlformats.org/officeDocument/2006/relationships/image" Target="media/image24.png"/><Relationship Id="rId77" Type="http://schemas.openxmlformats.org/officeDocument/2006/relationships/image" Target="media/image32.emf"/><Relationship Id="rId8" Type="http://schemas.openxmlformats.org/officeDocument/2006/relationships/image" Target="media/image1.png"/><Relationship Id="rId51" Type="http://schemas.openxmlformats.org/officeDocument/2006/relationships/chart" Target="charts/chart22.xml"/><Relationship Id="rId72" Type="http://schemas.openxmlformats.org/officeDocument/2006/relationships/image" Target="media/image27.emf"/><Relationship Id="rId80"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chart" Target="charts/chart18.xml"/><Relationship Id="rId59" Type="http://schemas.openxmlformats.org/officeDocument/2006/relationships/chart" Target="charts/chart30.xml"/><Relationship Id="rId67" Type="http://schemas.openxmlformats.org/officeDocument/2006/relationships/image" Target="media/image22.emf"/><Relationship Id="rId20" Type="http://schemas.openxmlformats.org/officeDocument/2006/relationships/chart" Target="charts/chart10.xml"/><Relationship Id="rId41" Type="http://schemas.openxmlformats.org/officeDocument/2006/relationships/chart" Target="charts/chart13.xml"/><Relationship Id="rId54" Type="http://schemas.openxmlformats.org/officeDocument/2006/relationships/chart" Target="charts/chart25.xml"/><Relationship Id="rId62" Type="http://schemas.openxmlformats.org/officeDocument/2006/relationships/chart" Target="charts/chart32.xml"/><Relationship Id="rId70" Type="http://schemas.openxmlformats.org/officeDocument/2006/relationships/image" Target="media/image25.emf"/><Relationship Id="rId75" Type="http://schemas.openxmlformats.org/officeDocument/2006/relationships/image" Target="media/image30.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2.emf"/><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chart" Target="charts/chart20.xml"/><Relationship Id="rId57" Type="http://schemas.openxmlformats.org/officeDocument/2006/relationships/chart" Target="charts/chart28.xml"/><Relationship Id="rId10" Type="http://schemas.openxmlformats.org/officeDocument/2006/relationships/footer" Target="footer2.xml"/><Relationship Id="rId31" Type="http://schemas.openxmlformats.org/officeDocument/2006/relationships/image" Target="media/image10.png"/><Relationship Id="rId44" Type="http://schemas.openxmlformats.org/officeDocument/2006/relationships/chart" Target="charts/chart16.xml"/><Relationship Id="rId52" Type="http://schemas.openxmlformats.org/officeDocument/2006/relationships/chart" Target="charts/chart23.xml"/><Relationship Id="rId60" Type="http://schemas.openxmlformats.org/officeDocument/2006/relationships/chart" Target="charts/chart31.xml"/><Relationship Id="rId65" Type="http://schemas.openxmlformats.org/officeDocument/2006/relationships/chart" Target="charts/chart35.xml"/><Relationship Id="rId73" Type="http://schemas.openxmlformats.org/officeDocument/2006/relationships/image" Target="media/image28.emf"/><Relationship Id="rId78" Type="http://schemas.openxmlformats.org/officeDocument/2006/relationships/image" Target="media/image33.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image" Target="media/image31.emf"/><Relationship Id="rId7" Type="http://schemas.openxmlformats.org/officeDocument/2006/relationships/endnotes" Target="endnotes.xml"/><Relationship Id="rId71" Type="http://schemas.openxmlformats.org/officeDocument/2006/relationships/image" Target="media/image26.emf"/><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emf"/><Relationship Id="rId40" Type="http://schemas.openxmlformats.org/officeDocument/2006/relationships/image" Target="media/image19.png"/><Relationship Id="rId45" Type="http://schemas.openxmlformats.org/officeDocument/2006/relationships/chart" Target="charts/chart17.xml"/><Relationship Id="rId66" Type="http://schemas.openxmlformats.org/officeDocument/2006/relationships/chart" Target="charts/chart36.xml"/></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rdita.xhyheri.GOV\Desktop\2022\rap%20mes%20vitit%205m\Analiza%205%20mujore%20rap%20mes%20vitit%20buxhet%20vendor%202022.xlsx"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rdita.xhyheri.GOV\Desktop\2022\rap%20mes%20vitit%205m\Analiza%205%20mujore%20rap%20mes%20vitit%20buxhet%20vendor%202022.xlsx" TargetMode="External"/><Relationship Id="rId2" Type="http://schemas.microsoft.com/office/2011/relationships/chartColorStyle" Target="colors3.xml"/><Relationship Id="rId1" Type="http://schemas.microsoft.com/office/2011/relationships/chartStyle" Target="style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rdita.xhyheri.GOV\Desktop\2022\rap%20mes%20vitit%205m\Analiza%205%20mujore%20rap%20mes%20vitit%20buxhet%20vendor%202022.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rdita.xhyheri.GOV\Desktop\2022\rap%20mes%20vitit%205m\Analiza%205%20mujore%20rap%20mes%20vitit%20buxhet%20vendor%202022.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rdita.xhyheri.GOV\Desktop\2022\rap%20mes%20vitit%205m\Analiza%205%20mujore%20rap%20mes%20vitit%20buxhet%20vendor%202022.xlsx" TargetMode="External"/><Relationship Id="rId1" Type="http://schemas.openxmlformats.org/officeDocument/2006/relationships/themeOverride" Target="../theme/themeOverride14.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ardita.xhyheri.GOV\Desktop\2022\rap%20mes%20vitit%205m\Analiza%205%20mujore%20rap%20mes%20vitit%20buxhet%20vendor%202022.xlsx" TargetMode="External"/><Relationship Id="rId1" Type="http://schemas.openxmlformats.org/officeDocument/2006/relationships/themeOverride" Target="../theme/themeOverride15.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rdita.xhyheri.GOV\Desktop\2022\rap%20mes%20vitit%205m\Analiza%205%20mujore%20rap%20mes%20vitit%20buxhet%20vendor%202022.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2.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3.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sidiola.basho\Desktop\Analiza%20e%203mujorit%202022\Draft%20Grafiket%20per%20analizen%20SAMB%202022-2024%20Qershor%202022.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erla.kadiu\Desktop\Analiza%20per%20KEF\Viti%202022%20Analiza\Grafiket%20per%20analizen%20vitit%203m%202022.xlsx" TargetMode="External"/><Relationship Id="rId2" Type="http://schemas.microsoft.com/office/2011/relationships/chartColorStyle" Target="colors14.xml"/><Relationship Id="rId1" Type="http://schemas.microsoft.com/office/2011/relationships/chartStyle" Target="style14.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9.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7.xml"/></Relationships>
</file>

<file path=word/charts/_rels/chart3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6.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1817221268563E-2"/>
          <c:y val="0.11408815903197926"/>
          <c:w val="0.90889144740846251"/>
          <c:h val="0.7266261509878249"/>
        </c:manualLayout>
      </c:layout>
      <c:barChart>
        <c:barDir val="col"/>
        <c:grouping val="stacked"/>
        <c:varyColors val="0"/>
        <c:ser>
          <c:idx val="0"/>
          <c:order val="0"/>
          <c:tx>
            <c:strRef>
              <c:f>'[Chart in Microsoft Word]Tatimet+Doganat'!$B$3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D40-4115-84D5-4203B18CDC27}"/>
              </c:ext>
            </c:extLst>
          </c:dPt>
          <c:dPt>
            <c:idx val="10"/>
            <c:invertIfNegative val="0"/>
            <c:bubble3D val="0"/>
            <c:spPr>
              <a:solidFill>
                <a:schemeClr val="accent4">
                  <a:lumMod val="75000"/>
                </a:schemeClr>
              </a:solidFill>
              <a:ln>
                <a:noFill/>
              </a:ln>
              <a:effectLst/>
            </c:spPr>
            <c:extLst>
              <c:ext xmlns:c16="http://schemas.microsoft.com/office/drawing/2014/chart" uri="{C3380CC4-5D6E-409C-BE32-E72D297353CC}">
                <c16:uniqueId val="{00000003-ED40-4115-84D5-4203B18CDC27}"/>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ED40-4115-84D5-4203B18CDC27}"/>
              </c:ext>
            </c:extLst>
          </c:dPt>
          <c:dLbls>
            <c:dLbl>
              <c:idx val="0"/>
              <c:layout>
                <c:manualLayout>
                  <c:x val="2.0768431983385254E-3"/>
                  <c:y val="-0.23969950184798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40-4115-84D5-4203B18CDC27}"/>
                </c:ext>
              </c:extLst>
            </c:dLbl>
            <c:dLbl>
              <c:idx val="1"/>
              <c:delete val="1"/>
              <c:extLst>
                <c:ext xmlns:c15="http://schemas.microsoft.com/office/drawing/2012/chart" uri="{CE6537A1-D6FC-4f65-9D91-7224C49458BB}"/>
                <c:ext xmlns:c16="http://schemas.microsoft.com/office/drawing/2014/chart" uri="{C3380CC4-5D6E-409C-BE32-E72D297353CC}">
                  <c16:uniqueId val="{00000007-BAA5-477C-813D-47B92B15C442}"/>
                </c:ext>
              </c:extLst>
            </c:dLbl>
            <c:dLbl>
              <c:idx val="2"/>
              <c:delete val="1"/>
              <c:extLst>
                <c:ext xmlns:c15="http://schemas.microsoft.com/office/drawing/2012/chart" uri="{CE6537A1-D6FC-4f65-9D91-7224C49458BB}"/>
                <c:ext xmlns:c16="http://schemas.microsoft.com/office/drawing/2014/chart" uri="{C3380CC4-5D6E-409C-BE32-E72D297353CC}">
                  <c16:uniqueId val="{00000008-BAA5-477C-813D-47B92B15C442}"/>
                </c:ext>
              </c:extLst>
            </c:dLbl>
            <c:dLbl>
              <c:idx val="3"/>
              <c:delete val="1"/>
              <c:extLst>
                <c:ext xmlns:c15="http://schemas.microsoft.com/office/drawing/2012/chart" uri="{CE6537A1-D6FC-4f65-9D91-7224C49458BB}"/>
                <c:ext xmlns:c16="http://schemas.microsoft.com/office/drawing/2014/chart" uri="{C3380CC4-5D6E-409C-BE32-E72D297353CC}">
                  <c16:uniqueId val="{00000009-BAA5-477C-813D-47B92B15C442}"/>
                </c:ext>
              </c:extLst>
            </c:dLbl>
            <c:dLbl>
              <c:idx val="4"/>
              <c:delete val="1"/>
              <c:extLst>
                <c:ext xmlns:c15="http://schemas.microsoft.com/office/drawing/2012/chart" uri="{CE6537A1-D6FC-4f65-9D91-7224C49458BB}"/>
                <c:ext xmlns:c16="http://schemas.microsoft.com/office/drawing/2014/chart" uri="{C3380CC4-5D6E-409C-BE32-E72D297353CC}">
                  <c16:uniqueId val="{0000000A-BAA5-477C-813D-47B92B15C442}"/>
                </c:ext>
              </c:extLst>
            </c:dLbl>
            <c:dLbl>
              <c:idx val="5"/>
              <c:delete val="1"/>
              <c:extLst>
                <c:ext xmlns:c15="http://schemas.microsoft.com/office/drawing/2012/chart" uri="{CE6537A1-D6FC-4f65-9D91-7224C49458BB}"/>
                <c:ext xmlns:c16="http://schemas.microsoft.com/office/drawing/2014/chart" uri="{C3380CC4-5D6E-409C-BE32-E72D297353CC}">
                  <c16:uniqueId val="{0000000B-BAA5-477C-813D-47B92B15C442}"/>
                </c:ext>
              </c:extLst>
            </c:dLbl>
            <c:dLbl>
              <c:idx val="6"/>
              <c:delete val="1"/>
              <c:extLst>
                <c:ext xmlns:c15="http://schemas.microsoft.com/office/drawing/2012/chart" uri="{CE6537A1-D6FC-4f65-9D91-7224C49458BB}"/>
                <c:ext xmlns:c16="http://schemas.microsoft.com/office/drawing/2014/chart" uri="{C3380CC4-5D6E-409C-BE32-E72D297353CC}">
                  <c16:uniqueId val="{0000000C-BAA5-477C-813D-47B92B15C442}"/>
                </c:ext>
              </c:extLst>
            </c:dLbl>
            <c:dLbl>
              <c:idx val="7"/>
              <c:delete val="1"/>
              <c:extLst>
                <c:ext xmlns:c15="http://schemas.microsoft.com/office/drawing/2012/chart" uri="{CE6537A1-D6FC-4f65-9D91-7224C49458BB}"/>
                <c:ext xmlns:c16="http://schemas.microsoft.com/office/drawing/2014/chart" uri="{C3380CC4-5D6E-409C-BE32-E72D297353CC}">
                  <c16:uniqueId val="{0000000D-BAA5-477C-813D-47B92B15C442}"/>
                </c:ext>
              </c:extLst>
            </c:dLbl>
            <c:dLbl>
              <c:idx val="8"/>
              <c:delete val="1"/>
              <c:extLst>
                <c:ext xmlns:c15="http://schemas.microsoft.com/office/drawing/2012/chart" uri="{CE6537A1-D6FC-4f65-9D91-7224C49458BB}"/>
                <c:ext xmlns:c16="http://schemas.microsoft.com/office/drawing/2014/chart" uri="{C3380CC4-5D6E-409C-BE32-E72D297353CC}">
                  <c16:uniqueId val="{0000000E-BAA5-477C-813D-47B92B15C442}"/>
                </c:ext>
              </c:extLst>
            </c:dLbl>
            <c:dLbl>
              <c:idx val="9"/>
              <c:delete val="1"/>
              <c:extLst>
                <c:ext xmlns:c15="http://schemas.microsoft.com/office/drawing/2012/chart" uri="{CE6537A1-D6FC-4f65-9D91-7224C49458BB}"/>
                <c:ext xmlns:c16="http://schemas.microsoft.com/office/drawing/2014/chart" uri="{C3380CC4-5D6E-409C-BE32-E72D297353CC}">
                  <c16:uniqueId val="{0000000F-BAA5-477C-813D-47B92B15C442}"/>
                </c:ext>
              </c:extLst>
            </c:dLbl>
            <c:dLbl>
              <c:idx val="10"/>
              <c:layout>
                <c:manualLayout>
                  <c:x val="-1.1224360582074727E-16"/>
                  <c:y val="-0.36168307967770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40-4115-84D5-4203B18CDC27}"/>
                </c:ext>
              </c:extLst>
            </c:dLbl>
            <c:dLbl>
              <c:idx val="11"/>
              <c:layout>
                <c:manualLayout>
                  <c:x val="1.5306123063879766E-3"/>
                  <c:y val="-0.32229185317815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40-4115-84D5-4203B18CDC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Word]Tatimet+Doganat'!$B$4:$B$15</c:f>
              <c:numCache>
                <c:formatCode>_(* #,##0_);_(* \(#,##0\);_(* "-"??_);_(@_)</c:formatCode>
                <c:ptCount val="12"/>
                <c:pt idx="0">
                  <c:v>166624</c:v>
                </c:pt>
                <c:pt idx="1">
                  <c:v>180137</c:v>
                </c:pt>
                <c:pt idx="2">
                  <c:v>187331</c:v>
                </c:pt>
                <c:pt idx="3">
                  <c:v>192962</c:v>
                </c:pt>
                <c:pt idx="4">
                  <c:v>194145</c:v>
                </c:pt>
                <c:pt idx="5">
                  <c:v>196405</c:v>
                </c:pt>
                <c:pt idx="6">
                  <c:v>198994</c:v>
                </c:pt>
                <c:pt idx="7">
                  <c:v>199825</c:v>
                </c:pt>
                <c:pt idx="8">
                  <c:v>200278</c:v>
                </c:pt>
                <c:pt idx="9">
                  <c:v>204714</c:v>
                </c:pt>
                <c:pt idx="10">
                  <c:v>204714</c:v>
                </c:pt>
                <c:pt idx="11">
                  <c:v>192378</c:v>
                </c:pt>
              </c:numCache>
            </c:numRef>
          </c:val>
          <c:extLst>
            <c:ext xmlns:c16="http://schemas.microsoft.com/office/drawing/2014/chart" uri="{C3380CC4-5D6E-409C-BE32-E72D297353CC}">
              <c16:uniqueId val="{00000006-ED40-4115-84D5-4203B18CDC27}"/>
            </c:ext>
          </c:extLst>
        </c:ser>
        <c:ser>
          <c:idx val="1"/>
          <c:order val="1"/>
          <c:tx>
            <c:strRef>
              <c:f>'[Chart in Microsoft Word]Tatimet+Doganat'!$C$3</c:f>
              <c:strCache>
                <c:ptCount val="1"/>
                <c:pt idx="0">
                  <c:v>Rënie</c:v>
                </c:pt>
              </c:strCache>
            </c:strRef>
          </c:tx>
          <c:spPr>
            <a:solidFill>
              <a:srgbClr val="C0000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Word]Tatimet+Doganat'!$C$4:$C$15</c:f>
              <c:numCache>
                <c:formatCode>_(* #,##0_);_(* \(#,##0\);_(* "-"??_);_(@_)</c:formatCode>
                <c:ptCount val="12"/>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7-ED40-4115-84D5-4203B18CDC27}"/>
            </c:ext>
          </c:extLst>
        </c:ser>
        <c:ser>
          <c:idx val="2"/>
          <c:order val="2"/>
          <c:tx>
            <c:strRef>
              <c:f>'[Chart in Microsoft Word]Tatimet+Doganat'!$D$3</c:f>
              <c:strCache>
                <c:ptCount val="1"/>
                <c:pt idx="0">
                  <c:v>Rritje</c:v>
                </c:pt>
              </c:strCache>
            </c:strRef>
          </c:tx>
          <c:spPr>
            <a:solidFill>
              <a:srgbClr val="00206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Word]Tatimet+Doganat'!$D$4:$D$15</c:f>
              <c:numCache>
                <c:formatCode>_(* #,##0_);_(* \(#,##0\);_(* "-"??_);_(@_)</c:formatCode>
                <c:ptCount val="12"/>
                <c:pt idx="1">
                  <c:v>13513</c:v>
                </c:pt>
                <c:pt idx="2">
                  <c:v>7194</c:v>
                </c:pt>
                <c:pt idx="3">
                  <c:v>5631</c:v>
                </c:pt>
                <c:pt idx="4">
                  <c:v>1183</c:v>
                </c:pt>
                <c:pt idx="5">
                  <c:v>2260</c:v>
                </c:pt>
                <c:pt idx="6">
                  <c:v>2589</c:v>
                </c:pt>
                <c:pt idx="7">
                  <c:v>831</c:v>
                </c:pt>
                <c:pt idx="8">
                  <c:v>453</c:v>
                </c:pt>
                <c:pt idx="9">
                  <c:v>4437</c:v>
                </c:pt>
              </c:numCache>
            </c:numRef>
          </c:val>
          <c:extLst>
            <c:ext xmlns:c16="http://schemas.microsoft.com/office/drawing/2014/chart" uri="{C3380CC4-5D6E-409C-BE32-E72D297353CC}">
              <c16:uniqueId val="{00000008-ED40-4115-84D5-4203B18CDC27}"/>
            </c:ext>
          </c:extLst>
        </c:ser>
        <c:dLbls>
          <c:showLegendKey val="0"/>
          <c:showVal val="0"/>
          <c:showCatName val="0"/>
          <c:showSerName val="0"/>
          <c:showPercent val="0"/>
          <c:showBubbleSize val="0"/>
        </c:dLbls>
        <c:gapWidth val="50"/>
        <c:overlap val="100"/>
        <c:axId val="1548328624"/>
        <c:axId val="1548326992"/>
      </c:barChart>
      <c:catAx>
        <c:axId val="154832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mn-lt"/>
                <a:ea typeface="+mn-ea"/>
                <a:cs typeface="+mn-cs"/>
              </a:defRPr>
            </a:pPr>
            <a:endParaRPr lang="en-US"/>
          </a:p>
        </c:txPr>
        <c:crossAx val="1548326992"/>
        <c:crosses val="autoZero"/>
        <c:auto val="1"/>
        <c:lblAlgn val="ctr"/>
        <c:lblOffset val="100"/>
        <c:noMultiLvlLbl val="0"/>
      </c:catAx>
      <c:valAx>
        <c:axId val="1548326992"/>
        <c:scaling>
          <c:orientation val="minMax"/>
          <c:min val="1000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8328624"/>
        <c:crosses val="autoZero"/>
        <c:crossBetween val="between"/>
      </c:valAx>
      <c:spPr>
        <a:noFill/>
        <a:ln>
          <a:noFill/>
        </a:ln>
        <a:effectLst/>
      </c:spPr>
    </c:plotArea>
    <c:legend>
      <c:legendPos val="b"/>
      <c:legendEntry>
        <c:idx val="0"/>
        <c:delete val="1"/>
      </c:legendEntry>
      <c:layout>
        <c:manualLayout>
          <c:xMode val="edge"/>
          <c:yMode val="edge"/>
          <c:x val="0.22074864473716485"/>
          <c:y val="3.9325434363919713E-2"/>
          <c:w val="0.52715725954816395"/>
          <c:h val="5.8340944201335253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4332529243093164"/>
        </c:manualLayout>
      </c:layout>
      <c:barChart>
        <c:barDir val="col"/>
        <c:grouping val="clustered"/>
        <c:varyColors val="0"/>
        <c:ser>
          <c:idx val="1"/>
          <c:order val="1"/>
          <c:tx>
            <c:strRef>
              <c:f>Sheet3!$E$38</c:f>
              <c:strCache>
                <c:ptCount val="1"/>
                <c:pt idx="0">
                  <c:v>Plan</c:v>
                </c:pt>
              </c:strCache>
            </c:strRef>
          </c:tx>
          <c:spPr>
            <a:solidFill>
              <a:srgbClr val="00B0F0"/>
            </a:solidFill>
            <a:ln>
              <a:solidFill>
                <a:schemeClr val="accent1">
                  <a:lumMod val="20000"/>
                  <a:lumOff val="80000"/>
                </a:schemeClr>
              </a:solidFill>
            </a:ln>
            <a:effectLst/>
          </c:spPr>
          <c:invertIfNegative val="0"/>
          <c:dLbls>
            <c:dLbl>
              <c:idx val="2"/>
              <c:layout>
                <c:manualLayout>
                  <c:x val="2.0736132711249352E-3"/>
                  <c:y val="0.240597364353846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0E-408E-9A5F-EF35D27A2752}"/>
                </c:ext>
              </c:extLst>
            </c:dLbl>
            <c:dLbl>
              <c:idx val="3"/>
              <c:layout>
                <c:manualLayout>
                  <c:x val="0"/>
                  <c:y val="0.2101360805509067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0E-408E-9A5F-EF35D27A2752}"/>
                </c:ext>
              </c:extLst>
            </c:dLbl>
            <c:dLbl>
              <c:idx val="4"/>
              <c:layout>
                <c:manualLayout>
                  <c:x val="-7.6031608284287355E-17"/>
                  <c:y val="0.225570889004728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0E-408E-9A5F-EF35D27A2752}"/>
                </c:ext>
              </c:extLst>
            </c:dLbl>
            <c:dLbl>
              <c:idx val="5"/>
              <c:layout>
                <c:manualLayout>
                  <c:x val="0"/>
                  <c:y val="0.2555868016497937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0E-408E-9A5F-EF35D27A2752}"/>
                </c:ext>
              </c:extLst>
            </c:dLbl>
            <c:dLbl>
              <c:idx val="6"/>
              <c:layout>
                <c:manualLayout>
                  <c:x val="0"/>
                  <c:y val="0.2754867531802427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0E-408E-9A5F-EF35D27A2752}"/>
                </c:ext>
              </c:extLst>
            </c:dLbl>
            <c:dLbl>
              <c:idx val="7"/>
              <c:layout>
                <c:manualLayout>
                  <c:x val="-2.0736132711249352E-3"/>
                  <c:y val="0.219083742580957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0E-408E-9A5F-EF35D27A2752}"/>
                </c:ext>
              </c:extLst>
            </c:dLbl>
            <c:dLbl>
              <c:idx val="8"/>
              <c:layout>
                <c:manualLayout>
                  <c:x val="-1.5206321656857471E-16"/>
                  <c:y val="0.26516045250441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10E-408E-9A5F-EF35D27A2752}"/>
                </c:ext>
              </c:extLst>
            </c:dLbl>
            <c:dLbl>
              <c:idx val="9"/>
              <c:layout>
                <c:manualLayout>
                  <c:x val="0"/>
                  <c:y val="0.3095352410217015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10E-408E-9A5F-EF35D27A275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Sheet3!$E$39:$E$48</c:f>
              <c:numCache>
                <c:formatCode>_(* #,##0_);_(* \(#,##0\);_(* "-"??_);_(@_)</c:formatCode>
                <c:ptCount val="10"/>
                <c:pt idx="0">
                  <c:v>11600</c:v>
                </c:pt>
                <c:pt idx="1">
                  <c:v>11200</c:v>
                </c:pt>
                <c:pt idx="2">
                  <c:v>14455</c:v>
                </c:pt>
                <c:pt idx="3">
                  <c:v>13255</c:v>
                </c:pt>
                <c:pt idx="4">
                  <c:v>14141</c:v>
                </c:pt>
                <c:pt idx="5">
                  <c:v>15300</c:v>
                </c:pt>
                <c:pt idx="6">
                  <c:v>16596.890919256079</c:v>
                </c:pt>
                <c:pt idx="7">
                  <c:v>13544</c:v>
                </c:pt>
                <c:pt idx="8" formatCode="_-* #,##0_-;\-* #,##0_-;_-* &quot;-&quot;??_-;_-@_-">
                  <c:v>16181.041693650412</c:v>
                </c:pt>
                <c:pt idx="9" formatCode="_-* #,##0_-;\-* #,##0_-;_-* &quot;-&quot;??_-;_-@_-">
                  <c:v>18127</c:v>
                </c:pt>
              </c:numCache>
            </c:numRef>
          </c:val>
          <c:extLst>
            <c:ext xmlns:c16="http://schemas.microsoft.com/office/drawing/2014/chart" uri="{C3380CC4-5D6E-409C-BE32-E72D297353CC}">
              <c16:uniqueId val="{00000000-1013-4939-99C4-538E7DD4BF40}"/>
            </c:ext>
          </c:extLst>
        </c:ser>
        <c:dLbls>
          <c:showLegendKey val="0"/>
          <c:showVal val="0"/>
          <c:showCatName val="0"/>
          <c:showSerName val="0"/>
          <c:showPercent val="0"/>
          <c:showBubbleSize val="0"/>
        </c:dLbls>
        <c:gapWidth val="150"/>
        <c:axId val="1853014208"/>
        <c:axId val="1853016384"/>
      </c:barChart>
      <c:lineChart>
        <c:grouping val="standard"/>
        <c:varyColors val="0"/>
        <c:ser>
          <c:idx val="0"/>
          <c:order val="0"/>
          <c:tx>
            <c:strRef>
              <c:f>Sheet3!$D$38</c:f>
              <c:strCache>
                <c:ptCount val="1"/>
                <c:pt idx="0">
                  <c:v>Fakt</c:v>
                </c:pt>
              </c:strCache>
            </c:strRef>
          </c:tx>
          <c:spPr>
            <a:ln w="28575" cap="rnd">
              <a:solidFill>
                <a:srgbClr val="FF0000"/>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Sheet3!$D$39:$D$48</c:f>
              <c:numCache>
                <c:formatCode>_(* #,##0_);_(* \(#,##0\);_(* "-"??_);_(@_)</c:formatCode>
                <c:ptCount val="10"/>
                <c:pt idx="0">
                  <c:v>11988</c:v>
                </c:pt>
                <c:pt idx="1">
                  <c:v>10902</c:v>
                </c:pt>
                <c:pt idx="2">
                  <c:v>11252</c:v>
                </c:pt>
                <c:pt idx="3">
                  <c:v>13429</c:v>
                </c:pt>
                <c:pt idx="4">
                  <c:v>12914</c:v>
                </c:pt>
                <c:pt idx="5">
                  <c:v>14243.61</c:v>
                </c:pt>
                <c:pt idx="6" formatCode="_-* #,##0_-;\-* #,##0_-;_-* &quot;-&quot;??_-;_-@_-">
                  <c:v>18449</c:v>
                </c:pt>
                <c:pt idx="7" formatCode="_-* #,##0_-;\-* #,##0_-;_-* &quot;-&quot;??_-;_-@_-">
                  <c:v>13544</c:v>
                </c:pt>
                <c:pt idx="8" formatCode="_-* #,##0_-;\-* #,##0_-;_-* &quot;-&quot;??_-;_-@_-">
                  <c:v>16004</c:v>
                </c:pt>
                <c:pt idx="9" formatCode="_-* #,##0_-;\-* #,##0_-;_-* &quot;-&quot;??_-;_-@_-">
                  <c:v>18264</c:v>
                </c:pt>
              </c:numCache>
            </c:numRef>
          </c:val>
          <c:smooth val="0"/>
          <c:extLst>
            <c:ext xmlns:c16="http://schemas.microsoft.com/office/drawing/2014/chart" uri="{C3380CC4-5D6E-409C-BE32-E72D297353CC}">
              <c16:uniqueId val="{00000001-1013-4939-99C4-538E7DD4BF40}"/>
            </c:ext>
          </c:extLst>
        </c:ser>
        <c:dLbls>
          <c:showLegendKey val="0"/>
          <c:showVal val="0"/>
          <c:showCatName val="0"/>
          <c:showSerName val="0"/>
          <c:showPercent val="0"/>
          <c:showBubbleSize val="0"/>
        </c:dLbls>
        <c:marker val="1"/>
        <c:smooth val="0"/>
        <c:axId val="1853014208"/>
        <c:axId val="1853016384"/>
      </c:lineChart>
      <c:catAx>
        <c:axId val="185301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53016384"/>
        <c:crosses val="autoZero"/>
        <c:auto val="1"/>
        <c:lblAlgn val="ctr"/>
        <c:lblOffset val="100"/>
        <c:noMultiLvlLbl val="0"/>
      </c:catAx>
      <c:valAx>
        <c:axId val="185301638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1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100664016976933E-2"/>
          <c:y val="3.8463023004477383E-2"/>
          <c:w val="0.88695034677175255"/>
          <c:h val="0.62459330578727168"/>
        </c:manualLayout>
      </c:layout>
      <c:barChart>
        <c:barDir val="col"/>
        <c:grouping val="clustered"/>
        <c:varyColors val="0"/>
        <c:ser>
          <c:idx val="1"/>
          <c:order val="1"/>
          <c:tx>
            <c:strRef>
              <c:f>Sheet3!$E$53</c:f>
              <c:strCache>
                <c:ptCount val="1"/>
                <c:pt idx="0">
                  <c:v>Plan</c:v>
                </c:pt>
              </c:strCache>
            </c:strRef>
          </c:tx>
          <c:spPr>
            <a:solidFill>
              <a:srgbClr val="00B0F0"/>
            </a:solidFill>
            <a:ln>
              <a:noFill/>
            </a:ln>
            <a:effectLst/>
          </c:spPr>
          <c:invertIfNegative val="0"/>
          <c:dLbls>
            <c:dLbl>
              <c:idx val="0"/>
              <c:layout>
                <c:manualLayout>
                  <c:x val="9.8971602572931763E-7"/>
                  <c:y val="0.177771896160038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A8-4FCB-87D2-6BD14B95907C}"/>
                </c:ext>
              </c:extLst>
            </c:dLbl>
            <c:dLbl>
              <c:idx val="1"/>
              <c:layout>
                <c:manualLayout>
                  <c:x val="0"/>
                  <c:y val="0.21708683473389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1D-41E8-9964-F8822C9E2C3C}"/>
                </c:ext>
              </c:extLst>
            </c:dLbl>
            <c:dLbl>
              <c:idx val="2"/>
              <c:layout>
                <c:manualLayout>
                  <c:x val="-6.2846967633811285E-3"/>
                  <c:y val="0.280112044817927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1D-41E8-9964-F8822C9E2C3C}"/>
                </c:ext>
              </c:extLst>
            </c:dLbl>
            <c:dLbl>
              <c:idx val="3"/>
              <c:layout>
                <c:manualLayout>
                  <c:x val="-4.1897978422541114E-3"/>
                  <c:y val="0.315126050420168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1D-41E8-9964-F8822C9E2C3C}"/>
                </c:ext>
              </c:extLst>
            </c:dLbl>
            <c:dLbl>
              <c:idx val="4"/>
              <c:layout>
                <c:manualLayout>
                  <c:x val="0"/>
                  <c:y val="0.28711484593837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1D-41E8-9964-F8822C9E2C3C}"/>
                </c:ext>
              </c:extLst>
            </c:dLbl>
            <c:dLbl>
              <c:idx val="5"/>
              <c:layout>
                <c:manualLayout>
                  <c:x val="0"/>
                  <c:y val="0.329131652661064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1D-41E8-9964-F8822C9E2C3C}"/>
                </c:ext>
              </c:extLst>
            </c:dLbl>
            <c:dLbl>
              <c:idx val="6"/>
              <c:layout>
                <c:manualLayout>
                  <c:x val="2.0948989211270557E-3"/>
                  <c:y val="0.371148459383753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1D-41E8-9964-F8822C9E2C3C}"/>
                </c:ext>
              </c:extLst>
            </c:dLbl>
            <c:dLbl>
              <c:idx val="7"/>
              <c:layout>
                <c:manualLayout>
                  <c:x val="-2.0948989211272092E-3"/>
                  <c:y val="0.259103641456582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1D-41E8-9964-F8822C9E2C3C}"/>
                </c:ext>
              </c:extLst>
            </c:dLbl>
            <c:dLbl>
              <c:idx val="8"/>
              <c:layout>
                <c:manualLayout>
                  <c:x val="-2.0948989211270557E-3"/>
                  <c:y val="0.336134453781512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E1D-41E8-9964-F8822C9E2C3C}"/>
                </c:ext>
              </c:extLst>
            </c:dLbl>
            <c:dLbl>
              <c:idx val="9"/>
              <c:layout>
                <c:manualLayout>
                  <c:x val="0"/>
                  <c:y val="0.399159663865546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E1D-41E8-9964-F8822C9E2C3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Sheet3!$E$54:$E$63</c:f>
              <c:numCache>
                <c:formatCode>_(* #,##0_);_(* \(#,##0\);_(* "-"??_);_(@_)</c:formatCode>
                <c:ptCount val="10"/>
                <c:pt idx="0">
                  <c:v>8950</c:v>
                </c:pt>
                <c:pt idx="1">
                  <c:v>10500</c:v>
                </c:pt>
                <c:pt idx="2">
                  <c:v>12259</c:v>
                </c:pt>
                <c:pt idx="3">
                  <c:v>13405</c:v>
                </c:pt>
                <c:pt idx="4">
                  <c:v>12600</c:v>
                </c:pt>
                <c:pt idx="5">
                  <c:v>13810</c:v>
                </c:pt>
                <c:pt idx="6">
                  <c:v>14876.330361230224</c:v>
                </c:pt>
                <c:pt idx="7">
                  <c:v>11586</c:v>
                </c:pt>
                <c:pt idx="8">
                  <c:v>14006.389494673647</c:v>
                </c:pt>
                <c:pt idx="9">
                  <c:v>16170</c:v>
                </c:pt>
              </c:numCache>
            </c:numRef>
          </c:val>
          <c:extLst>
            <c:ext xmlns:c16="http://schemas.microsoft.com/office/drawing/2014/chart" uri="{C3380CC4-5D6E-409C-BE32-E72D297353CC}">
              <c16:uniqueId val="{00000001-58A8-4FCB-87D2-6BD14B95907C}"/>
            </c:ext>
          </c:extLst>
        </c:ser>
        <c:dLbls>
          <c:showLegendKey val="0"/>
          <c:showVal val="0"/>
          <c:showCatName val="0"/>
          <c:showSerName val="0"/>
          <c:showPercent val="0"/>
          <c:showBubbleSize val="0"/>
        </c:dLbls>
        <c:gapWidth val="150"/>
        <c:axId val="1853004960"/>
        <c:axId val="1853014752"/>
      </c:barChart>
      <c:lineChart>
        <c:grouping val="standard"/>
        <c:varyColors val="0"/>
        <c:ser>
          <c:idx val="0"/>
          <c:order val="0"/>
          <c:tx>
            <c:strRef>
              <c:f>Sheet3!$D$53</c:f>
              <c:strCache>
                <c:ptCount val="1"/>
                <c:pt idx="0">
                  <c:v>Fakt</c:v>
                </c:pt>
              </c:strCache>
            </c:strRef>
          </c:tx>
          <c:spPr>
            <a:ln w="28575" cap="rnd">
              <a:solidFill>
                <a:srgbClr val="FF0000"/>
              </a:solidFill>
              <a:round/>
            </a:ln>
            <a:effectLst/>
          </c:spPr>
          <c:marker>
            <c:symbol val="none"/>
          </c:marker>
          <c:dLbls>
            <c:dLbl>
              <c:idx val="0"/>
              <c:layout>
                <c:manualLayout>
                  <c:x val="-3.3518382738032912E-2"/>
                  <c:y val="-7.00280112044817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E1D-41E8-9964-F8822C9E2C3C}"/>
                </c:ext>
              </c:extLst>
            </c:dLbl>
            <c:dLbl>
              <c:idx val="1"/>
              <c:layout>
                <c:manualLayout>
                  <c:x val="-5.2372473028176429E-2"/>
                  <c:y val="-7.7030812324929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E1D-41E8-9964-F8822C9E2C3C}"/>
                </c:ext>
              </c:extLst>
            </c:dLbl>
            <c:dLbl>
              <c:idx val="2"/>
              <c:layout>
                <c:manualLayout>
                  <c:x val="-3.3518382738032926E-2"/>
                  <c:y val="-8.40336134453781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E1D-41E8-9964-F8822C9E2C3C}"/>
                </c:ext>
              </c:extLst>
            </c:dLbl>
            <c:dLbl>
              <c:idx val="3"/>
              <c:layout>
                <c:manualLayout>
                  <c:x val="-4.8182675185922279E-2"/>
                  <c:y val="-9.10364145658263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E1D-41E8-9964-F8822C9E2C3C}"/>
                </c:ext>
              </c:extLst>
            </c:dLbl>
            <c:dLbl>
              <c:idx val="4"/>
              <c:layout>
                <c:manualLayout>
                  <c:x val="-5.0277574107049333E-2"/>
                  <c:y val="-4.901960784313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E1D-41E8-9964-F8822C9E2C3C}"/>
                </c:ext>
              </c:extLst>
            </c:dLbl>
            <c:dLbl>
              <c:idx val="5"/>
              <c:layout>
                <c:manualLayout>
                  <c:x val="-4.3992877343668094E-2"/>
                  <c:y val="-4.20168067226890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E1D-41E8-9964-F8822C9E2C3C}"/>
                </c:ext>
              </c:extLst>
            </c:dLbl>
            <c:dLbl>
              <c:idx val="6"/>
              <c:layout>
                <c:manualLayout>
                  <c:x val="-4.3992877343668094E-2"/>
                  <c:y val="-7.0028011204481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E1D-41E8-9964-F8822C9E2C3C}"/>
                </c:ext>
              </c:extLst>
            </c:dLbl>
            <c:dLbl>
              <c:idx val="7"/>
              <c:layout>
                <c:manualLayout>
                  <c:x val="-4.8204119033146413E-2"/>
                  <c:y val="-6.6661704051699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E1D-41E8-9964-F8822C9E2C3C}"/>
                </c:ext>
              </c:extLst>
            </c:dLbl>
            <c:dLbl>
              <c:idx val="8"/>
              <c:layout>
                <c:manualLayout>
                  <c:x val="-4.1911834446901323E-2"/>
                  <c:y val="-9.2012946911047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E1D-41E8-9964-F8822C9E2C3C}"/>
                </c:ext>
              </c:extLst>
            </c:dLbl>
            <c:dLbl>
              <c:idx val="9"/>
              <c:layout>
                <c:manualLayout>
                  <c:x val="-3.7709665154325597E-2"/>
                  <c:y val="-4.3879992942058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E1D-41E8-9964-F8822C9E2C3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Sheet3!$D$54:$D$63</c:f>
              <c:numCache>
                <c:formatCode>_(* #,##0_);_(* \(#,##0\);_(* "-"??_);_(@_)</c:formatCode>
                <c:ptCount val="10"/>
                <c:pt idx="0">
                  <c:v>7410</c:v>
                </c:pt>
                <c:pt idx="1">
                  <c:v>9419</c:v>
                </c:pt>
                <c:pt idx="2">
                  <c:v>10505</c:v>
                </c:pt>
                <c:pt idx="3">
                  <c:v>12384</c:v>
                </c:pt>
                <c:pt idx="4">
                  <c:v>16407</c:v>
                </c:pt>
                <c:pt idx="5">
                  <c:v>14192.954</c:v>
                </c:pt>
                <c:pt idx="6">
                  <c:v>13059</c:v>
                </c:pt>
                <c:pt idx="7">
                  <c:v>11585</c:v>
                </c:pt>
                <c:pt idx="8">
                  <c:v>14820</c:v>
                </c:pt>
                <c:pt idx="9">
                  <c:v>17409</c:v>
                </c:pt>
              </c:numCache>
            </c:numRef>
          </c:val>
          <c:smooth val="0"/>
          <c:extLst>
            <c:ext xmlns:c16="http://schemas.microsoft.com/office/drawing/2014/chart" uri="{C3380CC4-5D6E-409C-BE32-E72D297353CC}">
              <c16:uniqueId val="{00000002-58A8-4FCB-87D2-6BD14B95907C}"/>
            </c:ext>
          </c:extLst>
        </c:ser>
        <c:dLbls>
          <c:showLegendKey val="0"/>
          <c:showVal val="0"/>
          <c:showCatName val="0"/>
          <c:showSerName val="0"/>
          <c:showPercent val="0"/>
          <c:showBubbleSize val="0"/>
        </c:dLbls>
        <c:marker val="1"/>
        <c:smooth val="0"/>
        <c:axId val="1853004960"/>
        <c:axId val="1853014752"/>
      </c:lineChart>
      <c:catAx>
        <c:axId val="1853004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53014752"/>
        <c:crosses val="autoZero"/>
        <c:auto val="1"/>
        <c:lblAlgn val="ctr"/>
        <c:lblOffset val="100"/>
        <c:noMultiLvlLbl val="0"/>
      </c:catAx>
      <c:valAx>
        <c:axId val="185301475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0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678139857165955E-2"/>
          <c:y val="9.166666666666666E-2"/>
          <c:w val="0.88538368894066533"/>
          <c:h val="0.56605511811023623"/>
        </c:manualLayout>
      </c:layout>
      <c:barChart>
        <c:barDir val="col"/>
        <c:grouping val="clustered"/>
        <c:varyColors val="0"/>
        <c:ser>
          <c:idx val="1"/>
          <c:order val="1"/>
          <c:tx>
            <c:strRef>
              <c:f>Sheet3!$E$69</c:f>
              <c:strCache>
                <c:ptCount val="1"/>
                <c:pt idx="0">
                  <c:v>Plan</c:v>
                </c:pt>
              </c:strCache>
            </c:strRef>
          </c:tx>
          <c:spPr>
            <a:solidFill>
              <a:srgbClr val="00B0F0"/>
            </a:solidFill>
            <a:ln>
              <a:noFill/>
            </a:ln>
            <a:effectLst/>
          </c:spPr>
          <c:invertIfNegative val="0"/>
          <c:dLbls>
            <c:dLbl>
              <c:idx val="0"/>
              <c:layout>
                <c:manualLayout>
                  <c:x val="0"/>
                  <c:y val="0.191666666666666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F8-4EAD-9F69-3121CBAC45F2}"/>
                </c:ext>
              </c:extLst>
            </c:dLbl>
            <c:dLbl>
              <c:idx val="1"/>
              <c:layout>
                <c:manualLayout>
                  <c:x val="0"/>
                  <c:y val="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F8-4EAD-9F69-3121CBAC45F2}"/>
                </c:ext>
              </c:extLst>
            </c:dLbl>
            <c:dLbl>
              <c:idx val="2"/>
              <c:layout>
                <c:manualLayout>
                  <c:x val="2.0852882911062453E-3"/>
                  <c:y val="0.225000000000000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F8-4EAD-9F69-3121CBAC45F2}"/>
                </c:ext>
              </c:extLst>
            </c:dLbl>
            <c:dLbl>
              <c:idx val="3"/>
              <c:layout>
                <c:manualLayout>
                  <c:x val="2.0852882911062453E-3"/>
                  <c:y val="0.2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8F8-4EAD-9F69-3121CBAC45F2}"/>
                </c:ext>
              </c:extLst>
            </c:dLbl>
            <c:dLbl>
              <c:idx val="4"/>
              <c:layout>
                <c:manualLayout>
                  <c:x val="0"/>
                  <c:y val="0.25833333333333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8F8-4EAD-9F69-3121CBAC45F2}"/>
                </c:ext>
              </c:extLst>
            </c:dLbl>
            <c:dLbl>
              <c:idx val="5"/>
              <c:layout>
                <c:manualLayout>
                  <c:x val="-7.6459687405062201E-17"/>
                  <c:y val="0.275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8F8-4EAD-9F69-3121CBAC45F2}"/>
                </c:ext>
              </c:extLst>
            </c:dLbl>
            <c:dLbl>
              <c:idx val="6"/>
              <c:layout>
                <c:manualLayout>
                  <c:x val="-1.529193748101244E-16"/>
                  <c:y val="0.325000000000000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F8-4EAD-9F69-3121CBAC45F2}"/>
                </c:ext>
              </c:extLst>
            </c:dLbl>
            <c:dLbl>
              <c:idx val="7"/>
              <c:layout>
                <c:manualLayout>
                  <c:x val="2.0852882911062453E-3"/>
                  <c:y val="0.31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8F8-4EAD-9F69-3121CBAC45F2}"/>
                </c:ext>
              </c:extLst>
            </c:dLbl>
            <c:dLbl>
              <c:idx val="8"/>
              <c:layout>
                <c:manualLayout>
                  <c:x val="2.0852882911062453E-3"/>
                  <c:y val="0.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8F8-4EAD-9F69-3121CBAC45F2}"/>
                </c:ext>
              </c:extLst>
            </c:dLbl>
            <c:dLbl>
              <c:idx val="9"/>
              <c:layout>
                <c:manualLayout>
                  <c:x val="-1.529193748101244E-16"/>
                  <c:y val="0.38333333333333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8F8-4EAD-9F69-3121CBAC45F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Sheet3!$E$70:$E$79</c:f>
              <c:numCache>
                <c:formatCode>_(* #,##0_);_(* \(#,##0\);_(* "-"??_);_(@_)</c:formatCode>
                <c:ptCount val="10"/>
                <c:pt idx="0">
                  <c:v>23500</c:v>
                </c:pt>
                <c:pt idx="1">
                  <c:v>24900</c:v>
                </c:pt>
                <c:pt idx="2">
                  <c:v>26628</c:v>
                </c:pt>
                <c:pt idx="3">
                  <c:v>30370</c:v>
                </c:pt>
                <c:pt idx="4">
                  <c:v>32072</c:v>
                </c:pt>
                <c:pt idx="5">
                  <c:v>34000</c:v>
                </c:pt>
                <c:pt idx="6">
                  <c:v>39072.053028849296</c:v>
                </c:pt>
                <c:pt idx="7">
                  <c:v>38270</c:v>
                </c:pt>
                <c:pt idx="8">
                  <c:v>41859.943384240374</c:v>
                </c:pt>
                <c:pt idx="9">
                  <c:v>46443</c:v>
                </c:pt>
              </c:numCache>
            </c:numRef>
          </c:val>
          <c:extLst>
            <c:ext xmlns:c16="http://schemas.microsoft.com/office/drawing/2014/chart" uri="{C3380CC4-5D6E-409C-BE32-E72D297353CC}">
              <c16:uniqueId val="{00000000-4DDE-43C4-A1D5-90005E3F39A4}"/>
            </c:ext>
          </c:extLst>
        </c:ser>
        <c:dLbls>
          <c:showLegendKey val="0"/>
          <c:showVal val="0"/>
          <c:showCatName val="0"/>
          <c:showSerName val="0"/>
          <c:showPercent val="0"/>
          <c:showBubbleSize val="0"/>
        </c:dLbls>
        <c:gapWidth val="219"/>
        <c:axId val="1853009312"/>
        <c:axId val="1853009856"/>
      </c:barChart>
      <c:lineChart>
        <c:grouping val="standard"/>
        <c:varyColors val="0"/>
        <c:ser>
          <c:idx val="0"/>
          <c:order val="0"/>
          <c:tx>
            <c:strRef>
              <c:f>Sheet3!$D$69</c:f>
              <c:strCache>
                <c:ptCount val="1"/>
                <c:pt idx="0">
                  <c:v>Fakt</c:v>
                </c:pt>
              </c:strCache>
            </c:strRef>
          </c:tx>
          <c:spPr>
            <a:ln w="28575" cap="rnd">
              <a:solidFill>
                <a:srgbClr val="FF0000"/>
              </a:solidFill>
              <a:round/>
            </a:ln>
            <a:effectLst/>
          </c:spPr>
          <c:marker>
            <c:symbol val="none"/>
          </c:marker>
          <c:dLbls>
            <c:dLbl>
              <c:idx val="0"/>
              <c:layout>
                <c:manualLayout>
                  <c:x val="-4.7961630695443645E-2"/>
                  <c:y val="-8.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8F8-4EAD-9F69-3121CBAC45F2}"/>
                </c:ext>
              </c:extLst>
            </c:dLbl>
            <c:dLbl>
              <c:idx val="1"/>
              <c:layout>
                <c:manualLayout>
                  <c:x val="-4.5876342404337397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8F8-4EAD-9F69-3121CBAC45F2}"/>
                </c:ext>
              </c:extLst>
            </c:dLbl>
            <c:dLbl>
              <c:idx val="2"/>
              <c:layout>
                <c:manualLayout>
                  <c:x val="-4.170576582212495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8F8-4EAD-9F69-3121CBAC45F2}"/>
                </c:ext>
              </c:extLst>
            </c:dLbl>
            <c:dLbl>
              <c:idx val="3"/>
              <c:layout>
                <c:manualLayout>
                  <c:x val="-4.3791054113231156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8F8-4EAD-9F69-3121CBAC45F2}"/>
                </c:ext>
              </c:extLst>
            </c:dLbl>
            <c:dLbl>
              <c:idx val="4"/>
              <c:layout>
                <c:manualLayout>
                  <c:x val="-4.5876342404337474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8F8-4EAD-9F69-3121CBAC45F2}"/>
                </c:ext>
              </c:extLst>
            </c:dLbl>
            <c:dLbl>
              <c:idx val="5"/>
              <c:layout>
                <c:manualLayout>
                  <c:x val="-4.5876342404337397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8F8-4EAD-9F69-3121CBAC45F2}"/>
                </c:ext>
              </c:extLst>
            </c:dLbl>
            <c:dLbl>
              <c:idx val="6"/>
              <c:layout>
                <c:manualLayout>
                  <c:x val="-4.7961630695443645E-2"/>
                  <c:y val="-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8F8-4EAD-9F69-3121CBAC45F2}"/>
                </c:ext>
              </c:extLst>
            </c:dLbl>
            <c:dLbl>
              <c:idx val="7"/>
              <c:layout>
                <c:manualLayout>
                  <c:x val="-3.9620477531018661E-2"/>
                  <c:y val="-8.33333333333333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8F8-4EAD-9F69-3121CBAC45F2}"/>
                </c:ext>
              </c:extLst>
            </c:dLbl>
            <c:dLbl>
              <c:idx val="8"/>
              <c:layout>
                <c:manualLayout>
                  <c:x val="-4.1705765822124909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8F8-4EAD-9F69-3121CBAC45F2}"/>
                </c:ext>
              </c:extLst>
            </c:dLbl>
            <c:dLbl>
              <c:idx val="9"/>
              <c:layout>
                <c:manualLayout>
                  <c:x val="-3.3331116688299633E-2"/>
                  <c:y val="-5.8468503937007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8F8-4EAD-9F69-3121CBAC45F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Sheet3!$D$70:$D$79</c:f>
              <c:numCache>
                <c:formatCode>_(* #,##0_);_(* \(#,##0\);_(* "-"??_);_(@_)</c:formatCode>
                <c:ptCount val="10"/>
                <c:pt idx="0">
                  <c:v>22977</c:v>
                </c:pt>
                <c:pt idx="1">
                  <c:v>25000</c:v>
                </c:pt>
                <c:pt idx="2">
                  <c:v>27398</c:v>
                </c:pt>
                <c:pt idx="3">
                  <c:v>31168</c:v>
                </c:pt>
                <c:pt idx="4">
                  <c:v>33544</c:v>
                </c:pt>
                <c:pt idx="5">
                  <c:v>36840.514990999996</c:v>
                </c:pt>
                <c:pt idx="6">
                  <c:v>39049.779000000002</c:v>
                </c:pt>
                <c:pt idx="7">
                  <c:v>38361</c:v>
                </c:pt>
                <c:pt idx="8">
                  <c:v>43406.316959999996</c:v>
                </c:pt>
                <c:pt idx="9">
                  <c:v>47843</c:v>
                </c:pt>
              </c:numCache>
            </c:numRef>
          </c:val>
          <c:smooth val="0"/>
          <c:extLst>
            <c:ext xmlns:c16="http://schemas.microsoft.com/office/drawing/2014/chart" uri="{C3380CC4-5D6E-409C-BE32-E72D297353CC}">
              <c16:uniqueId val="{00000001-4DDE-43C4-A1D5-90005E3F39A4}"/>
            </c:ext>
          </c:extLst>
        </c:ser>
        <c:dLbls>
          <c:showLegendKey val="0"/>
          <c:showVal val="0"/>
          <c:showCatName val="0"/>
          <c:showSerName val="0"/>
          <c:showPercent val="0"/>
          <c:showBubbleSize val="0"/>
        </c:dLbls>
        <c:marker val="1"/>
        <c:smooth val="0"/>
        <c:axId val="1853009312"/>
        <c:axId val="1853009856"/>
      </c:lineChart>
      <c:catAx>
        <c:axId val="185300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53009856"/>
        <c:crosses val="autoZero"/>
        <c:auto val="1"/>
        <c:lblAlgn val="ctr"/>
        <c:lblOffset val="100"/>
        <c:noMultiLvlLbl val="0"/>
      </c:catAx>
      <c:valAx>
        <c:axId val="185300985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0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771812738026729E-2"/>
          <c:y val="6.6147885193534664E-2"/>
          <c:w val="0.85301543372397248"/>
          <c:h val="0.58421064388228072"/>
        </c:manualLayout>
      </c:layout>
      <c:barChart>
        <c:barDir val="col"/>
        <c:grouping val="clustered"/>
        <c:varyColors val="0"/>
        <c:ser>
          <c:idx val="1"/>
          <c:order val="0"/>
          <c:tx>
            <c:strRef>
              <c:f>'Te ardhurat 2022'!$C$4</c:f>
              <c:strCache>
                <c:ptCount val="1"/>
                <c:pt idx="0">
                  <c:v>Të ardhurat e Pushtetit Vendor</c:v>
                </c:pt>
              </c:strCache>
            </c:strRef>
          </c:tx>
          <c:spPr>
            <a:solidFill>
              <a:srgbClr val="00B0F0"/>
            </a:solidFill>
            <a:ln>
              <a:noFill/>
            </a:ln>
          </c:spPr>
          <c:invertIfNegative val="0"/>
          <c:dLbls>
            <c:numFmt formatCode="#,##0.0" sourceLinked="0"/>
            <c:spPr>
              <a:noFill/>
              <a:ln>
                <a:noFill/>
              </a:ln>
              <a:effectLst/>
            </c:spPr>
            <c:txPr>
              <a:bodyPr/>
              <a:lstStyle/>
              <a:p>
                <a:pPr>
                  <a:defRPr sz="9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2022'!$J$4:$U$4</c:f>
              <c:numCache>
                <c:formatCode>#,##0</c:formatCode>
                <c:ptCount val="12"/>
                <c:pt idx="0">
                  <c:v>6271</c:v>
                </c:pt>
                <c:pt idx="1">
                  <c:v>5762</c:v>
                </c:pt>
                <c:pt idx="2">
                  <c:v>5047</c:v>
                </c:pt>
                <c:pt idx="3">
                  <c:v>5448</c:v>
                </c:pt>
                <c:pt idx="4">
                  <c:v>5783</c:v>
                </c:pt>
                <c:pt idx="5">
                  <c:v>6784</c:v>
                </c:pt>
                <c:pt idx="6">
                  <c:v>9341</c:v>
                </c:pt>
                <c:pt idx="7">
                  <c:v>8816.09</c:v>
                </c:pt>
                <c:pt idx="8">
                  <c:v>11348.6</c:v>
                </c:pt>
                <c:pt idx="9">
                  <c:v>6994.9</c:v>
                </c:pt>
                <c:pt idx="10">
                  <c:v>10961.04</c:v>
                </c:pt>
                <c:pt idx="11">
                  <c:v>14098.12</c:v>
                </c:pt>
              </c:numCache>
            </c:numRef>
          </c:val>
          <c:extLst>
            <c:ext xmlns:c16="http://schemas.microsoft.com/office/drawing/2014/chart" uri="{C3380CC4-5D6E-409C-BE32-E72D297353CC}">
              <c16:uniqueId val="{00000000-BBB7-47F2-9C19-B431C6D28778}"/>
            </c:ext>
          </c:extLst>
        </c:ser>
        <c:dLbls>
          <c:showLegendKey val="0"/>
          <c:showVal val="0"/>
          <c:showCatName val="0"/>
          <c:showSerName val="0"/>
          <c:showPercent val="0"/>
          <c:showBubbleSize val="0"/>
        </c:dLbls>
        <c:gapWidth val="40"/>
        <c:axId val="1853013664"/>
        <c:axId val="1853016928"/>
      </c:barChart>
      <c:lineChart>
        <c:grouping val="standard"/>
        <c:varyColors val="0"/>
        <c:ser>
          <c:idx val="0"/>
          <c:order val="1"/>
          <c:tx>
            <c:strRef>
              <c:f>'Te ardhurat 2022'!$C$5</c:f>
              <c:strCache>
                <c:ptCount val="1"/>
                <c:pt idx="0">
                  <c:v>Ritmi i rritjes</c:v>
                </c:pt>
              </c:strCache>
            </c:strRef>
          </c:tx>
          <c:spPr>
            <a:ln w="31750">
              <a:solidFill>
                <a:srgbClr val="FF0000"/>
              </a:solidFill>
            </a:ln>
          </c:spPr>
          <c:marker>
            <c:symbol val="square"/>
            <c:size val="5"/>
            <c:spPr>
              <a:solidFill>
                <a:srgbClr val="FF0000"/>
              </a:solidFill>
              <a:ln>
                <a:solidFill>
                  <a:srgbClr val="FF0000"/>
                </a:solidFill>
              </a:ln>
            </c:spPr>
          </c:marker>
          <c:dLbls>
            <c:spPr>
              <a:noFill/>
              <a:ln>
                <a:noFill/>
              </a:ln>
              <a:effectLst/>
            </c:spPr>
            <c:txPr>
              <a:bodyPr/>
              <a:lstStyle/>
              <a:p>
                <a:pPr>
                  <a:defRPr sz="9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2022'!$J$5:$U$5</c:f>
              <c:numCache>
                <c:formatCode>0%</c:formatCode>
                <c:ptCount val="12"/>
                <c:pt idx="0">
                  <c:v>8.9620623880454581E-2</c:v>
                </c:pt>
                <c:pt idx="1">
                  <c:v>-8.1167277946101096E-2</c:v>
                </c:pt>
                <c:pt idx="2">
                  <c:v>-0.12408885803540437</c:v>
                </c:pt>
                <c:pt idx="3">
                  <c:v>7.945314047949277E-2</c:v>
                </c:pt>
                <c:pt idx="4">
                  <c:v>6.1490455212922172E-2</c:v>
                </c:pt>
                <c:pt idx="5">
                  <c:v>0.17309355006052221</c:v>
                </c:pt>
                <c:pt idx="6">
                  <c:v>0.37691627358490565</c:v>
                </c:pt>
                <c:pt idx="7">
                  <c:v>-5.6194197623380779E-2</c:v>
                </c:pt>
                <c:pt idx="8">
                  <c:v>0.28725999848005185</c:v>
                </c:pt>
                <c:pt idx="9">
                  <c:v>-0.38363322348131051</c:v>
                </c:pt>
                <c:pt idx="10">
                  <c:v>0.56700453187322208</c:v>
                </c:pt>
                <c:pt idx="11">
                  <c:v>0.28620276908030623</c:v>
                </c:pt>
              </c:numCache>
            </c:numRef>
          </c:val>
          <c:smooth val="1"/>
          <c:extLst>
            <c:ext xmlns:c16="http://schemas.microsoft.com/office/drawing/2014/chart" uri="{C3380CC4-5D6E-409C-BE32-E72D297353CC}">
              <c16:uniqueId val="{00000001-BBB7-47F2-9C19-B431C6D28778}"/>
            </c:ext>
          </c:extLst>
        </c:ser>
        <c:dLbls>
          <c:showLegendKey val="0"/>
          <c:showVal val="0"/>
          <c:showCatName val="0"/>
          <c:showSerName val="0"/>
          <c:showPercent val="0"/>
          <c:showBubbleSize val="0"/>
        </c:dLbls>
        <c:marker val="1"/>
        <c:smooth val="0"/>
        <c:axId val="1853017472"/>
        <c:axId val="1853002784"/>
      </c:lineChart>
      <c:catAx>
        <c:axId val="1853013664"/>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ysClr val="windowText" lastClr="000000"/>
                </a:solidFill>
                <a:latin typeface="Calibri"/>
                <a:ea typeface="Calibri"/>
                <a:cs typeface="Calibri"/>
              </a:defRPr>
            </a:pPr>
            <a:endParaRPr lang="en-US"/>
          </a:p>
        </c:txPr>
        <c:crossAx val="1853016928"/>
        <c:crosses val="autoZero"/>
        <c:auto val="0"/>
        <c:lblAlgn val="ctr"/>
        <c:lblOffset val="100"/>
        <c:tickLblSkip val="1"/>
        <c:tickMarkSkip val="1"/>
        <c:noMultiLvlLbl val="0"/>
      </c:catAx>
      <c:valAx>
        <c:axId val="1853016928"/>
        <c:scaling>
          <c:orientation val="minMax"/>
        </c:scaling>
        <c:delete val="0"/>
        <c:axPos val="l"/>
        <c:title>
          <c:tx>
            <c:rich>
              <a:bodyPr/>
              <a:lstStyle/>
              <a:p>
                <a:pPr>
                  <a:defRPr sz="800" b="0" i="0" u="none" strike="noStrike" baseline="0">
                    <a:solidFill>
                      <a:srgbClr val="000000"/>
                    </a:solidFill>
                    <a:latin typeface="Calibri"/>
                    <a:ea typeface="Calibri"/>
                    <a:cs typeface="Calibri"/>
                  </a:defRPr>
                </a:pPr>
                <a:r>
                  <a:rPr lang="sq-AL" sz="800" b="0"/>
                  <a:t>Në miliardë</a:t>
                </a:r>
              </a:p>
            </c:rich>
          </c:tx>
          <c:layout>
            <c:manualLayout>
              <c:xMode val="edge"/>
              <c:yMode val="edge"/>
              <c:x val="1.7894865903335128E-3"/>
              <c:y val="3.0062867112214649E-3"/>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853013664"/>
        <c:crosses val="autoZero"/>
        <c:crossBetween val="between"/>
        <c:dispUnits>
          <c:builtInUnit val="thousands"/>
        </c:dispUnits>
      </c:valAx>
      <c:catAx>
        <c:axId val="1853017472"/>
        <c:scaling>
          <c:orientation val="minMax"/>
        </c:scaling>
        <c:delete val="1"/>
        <c:axPos val="b"/>
        <c:numFmt formatCode="General" sourceLinked="1"/>
        <c:majorTickMark val="out"/>
        <c:minorTickMark val="none"/>
        <c:tickLblPos val="nextTo"/>
        <c:crossAx val="1853002784"/>
        <c:crosses val="autoZero"/>
        <c:auto val="0"/>
        <c:lblAlgn val="ctr"/>
        <c:lblOffset val="100"/>
        <c:noMultiLvlLbl val="0"/>
      </c:catAx>
      <c:valAx>
        <c:axId val="1853002784"/>
        <c:scaling>
          <c:orientation val="minMax"/>
        </c:scaling>
        <c:delete val="0"/>
        <c:axPos val="r"/>
        <c:numFmt formatCode="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853017472"/>
        <c:crosses val="max"/>
        <c:crossBetween val="between"/>
      </c:valAx>
      <c:spPr>
        <a:solidFill>
          <a:sysClr val="window" lastClr="FFFFFF"/>
        </a:solidFill>
      </c:spPr>
    </c:plotArea>
    <c:legend>
      <c:legendPos val="b"/>
      <c:layout>
        <c:manualLayout>
          <c:xMode val="edge"/>
          <c:yMode val="edge"/>
          <c:x val="0.12804501837270343"/>
          <c:y val="0.90470457859434239"/>
          <c:w val="0.70631528201831917"/>
          <c:h val="9.0301689816862818E-2"/>
        </c:manualLayout>
      </c:layout>
      <c:overlay val="0"/>
      <c:txPr>
        <a:bodyPr/>
        <a:lstStyle/>
        <a:p>
          <a:pPr>
            <a:defRPr sz="90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00851996304201E-2"/>
          <c:y val="3.2882035578885971E-2"/>
          <c:w val="0.88743902339310388"/>
          <c:h val="0.66718336319555538"/>
        </c:manualLayout>
      </c:layout>
      <c:barChart>
        <c:barDir val="col"/>
        <c:grouping val="clustered"/>
        <c:varyColors val="0"/>
        <c:ser>
          <c:idx val="2"/>
          <c:order val="0"/>
          <c:tx>
            <c:strRef>
              <c:f>'Te ardhurat 2022'!$C$6</c:f>
              <c:strCache>
                <c:ptCount val="1"/>
                <c:pt idx="0">
                  <c:v>Taksë mbi Pasurinë (ndërtesat)</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2022'!$J$6:$U$6</c:f>
              <c:numCache>
                <c:formatCode>#,##0</c:formatCode>
                <c:ptCount val="12"/>
                <c:pt idx="0">
                  <c:v>958</c:v>
                </c:pt>
                <c:pt idx="1">
                  <c:v>1418</c:v>
                </c:pt>
                <c:pt idx="2">
                  <c:v>1346</c:v>
                </c:pt>
                <c:pt idx="3">
                  <c:v>1931</c:v>
                </c:pt>
                <c:pt idx="4">
                  <c:v>2101</c:v>
                </c:pt>
                <c:pt idx="5">
                  <c:v>2316</c:v>
                </c:pt>
                <c:pt idx="6">
                  <c:v>2535</c:v>
                </c:pt>
                <c:pt idx="7">
                  <c:v>2197.4</c:v>
                </c:pt>
                <c:pt idx="8">
                  <c:v>2665.3</c:v>
                </c:pt>
                <c:pt idx="9">
                  <c:v>1408.9</c:v>
                </c:pt>
                <c:pt idx="10">
                  <c:v>2788.8</c:v>
                </c:pt>
                <c:pt idx="11">
                  <c:v>2958.09</c:v>
                </c:pt>
              </c:numCache>
            </c:numRef>
          </c:val>
          <c:extLst>
            <c:ext xmlns:c16="http://schemas.microsoft.com/office/drawing/2014/chart" uri="{C3380CC4-5D6E-409C-BE32-E72D297353CC}">
              <c16:uniqueId val="{00000000-CB50-4B7A-A77C-4EE4BF9E9FA2}"/>
            </c:ext>
          </c:extLst>
        </c:ser>
        <c:ser>
          <c:idx val="0"/>
          <c:order val="1"/>
          <c:tx>
            <c:strRef>
              <c:f>'Te ardhurat 2022'!$C$8</c:f>
              <c:strCache>
                <c:ptCount val="1"/>
                <c:pt idx="0">
                  <c:v>Taksë mbi Biznesin e vogël</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7"/>
              <c:layout>
                <c:manualLayout>
                  <c:x val="-1.5230007516136065E-16"/>
                  <c:y val="-2.906131938390013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50-4B7A-A77C-4EE4BF9E9FA2}"/>
                </c:ext>
              </c:extLst>
            </c:dLbl>
            <c:dLbl>
              <c:idx val="9"/>
              <c:layout>
                <c:manualLayout>
                  <c:x val="0"/>
                  <c:y val="-2.32490555071200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50-4B7A-A77C-4EE4BF9E9FA2}"/>
                </c:ext>
              </c:extLst>
            </c:dLbl>
            <c:dLbl>
              <c:idx val="10"/>
              <c:layout>
                <c:manualLayout>
                  <c:x val="0"/>
                  <c:y val="-3.48735832606800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50-4B7A-A77C-4EE4BF9E9FA2}"/>
                </c:ext>
              </c:extLst>
            </c:dLbl>
            <c:dLbl>
              <c:idx val="11"/>
              <c:layout>
                <c:manualLayout>
                  <c:x val="0"/>
                  <c:y val="-6.97471665213600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50-4B7A-A77C-4EE4BF9E9FA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2022'!$J$8:$U$8</c:f>
              <c:numCache>
                <c:formatCode>#,##0</c:formatCode>
                <c:ptCount val="12"/>
                <c:pt idx="0">
                  <c:v>1737</c:v>
                </c:pt>
                <c:pt idx="1">
                  <c:v>1103</c:v>
                </c:pt>
                <c:pt idx="2">
                  <c:v>1082</c:v>
                </c:pt>
                <c:pt idx="3">
                  <c:v>612</c:v>
                </c:pt>
                <c:pt idx="4">
                  <c:v>730</c:v>
                </c:pt>
                <c:pt idx="5">
                  <c:v>519</c:v>
                </c:pt>
                <c:pt idx="6">
                  <c:v>220</c:v>
                </c:pt>
                <c:pt idx="7">
                  <c:v>258.36</c:v>
                </c:pt>
                <c:pt idx="8">
                  <c:v>282.3</c:v>
                </c:pt>
                <c:pt idx="9">
                  <c:v>306</c:v>
                </c:pt>
                <c:pt idx="10">
                  <c:v>278.04000000000002</c:v>
                </c:pt>
                <c:pt idx="11">
                  <c:v>38.24</c:v>
                </c:pt>
              </c:numCache>
            </c:numRef>
          </c:val>
          <c:extLst>
            <c:ext xmlns:c16="http://schemas.microsoft.com/office/drawing/2014/chart" uri="{C3380CC4-5D6E-409C-BE32-E72D297353CC}">
              <c16:uniqueId val="{00000001-CB50-4B7A-A77C-4EE4BF9E9FA2}"/>
            </c:ext>
          </c:extLst>
        </c:ser>
        <c:ser>
          <c:idx val="1"/>
          <c:order val="2"/>
          <c:tx>
            <c:strRef>
              <c:f>'Te ardhurat 2022'!$C$10</c:f>
              <c:strCache>
                <c:ptCount val="1"/>
                <c:pt idx="0">
                  <c:v>Taksa Lokale</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2022'!$J$10:$U$10</c:f>
              <c:numCache>
                <c:formatCode>#,##0</c:formatCode>
                <c:ptCount val="12"/>
                <c:pt idx="0">
                  <c:v>3576</c:v>
                </c:pt>
                <c:pt idx="1">
                  <c:v>3241</c:v>
                </c:pt>
                <c:pt idx="2">
                  <c:v>2619</c:v>
                </c:pt>
                <c:pt idx="3">
                  <c:v>2905</c:v>
                </c:pt>
                <c:pt idx="4">
                  <c:v>2952</c:v>
                </c:pt>
                <c:pt idx="5">
                  <c:v>3949</c:v>
                </c:pt>
                <c:pt idx="6">
                  <c:v>6586</c:v>
                </c:pt>
                <c:pt idx="7">
                  <c:v>6360.33</c:v>
                </c:pt>
                <c:pt idx="8">
                  <c:v>8401</c:v>
                </c:pt>
                <c:pt idx="9">
                  <c:v>5280</c:v>
                </c:pt>
                <c:pt idx="10">
                  <c:v>7894.2</c:v>
                </c:pt>
                <c:pt idx="11">
                  <c:v>11101.79</c:v>
                </c:pt>
              </c:numCache>
            </c:numRef>
          </c:val>
          <c:extLst>
            <c:ext xmlns:c16="http://schemas.microsoft.com/office/drawing/2014/chart" uri="{C3380CC4-5D6E-409C-BE32-E72D297353CC}">
              <c16:uniqueId val="{00000002-CB50-4B7A-A77C-4EE4BF9E9FA2}"/>
            </c:ext>
          </c:extLst>
        </c:ser>
        <c:dLbls>
          <c:dLblPos val="outEnd"/>
          <c:showLegendKey val="0"/>
          <c:showVal val="1"/>
          <c:showCatName val="0"/>
          <c:showSerName val="0"/>
          <c:showPercent val="0"/>
          <c:showBubbleSize val="0"/>
        </c:dLbls>
        <c:gapWidth val="100"/>
        <c:overlap val="-24"/>
        <c:axId val="1853005504"/>
        <c:axId val="1798638064"/>
      </c:barChart>
      <c:catAx>
        <c:axId val="1853005504"/>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798638064"/>
        <c:crosses val="autoZero"/>
        <c:auto val="1"/>
        <c:lblAlgn val="ctr"/>
        <c:lblOffset val="100"/>
        <c:noMultiLvlLbl val="0"/>
      </c:catAx>
      <c:valAx>
        <c:axId val="179863806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Në milion leke</a:t>
                </a:r>
              </a:p>
            </c:rich>
          </c:tx>
          <c:layout>
            <c:manualLayout>
              <c:xMode val="edge"/>
              <c:yMode val="edge"/>
              <c:x val="6.2305295950155761E-3"/>
              <c:y val="0.2482491127144416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853005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049477769320042E-2"/>
          <c:y val="7.5406055414621309E-2"/>
          <c:w val="0.85493292736189264"/>
          <c:h val="0.54271239743680688"/>
        </c:manualLayout>
      </c:layout>
      <c:barChart>
        <c:barDir val="col"/>
        <c:grouping val="clustered"/>
        <c:varyColors val="0"/>
        <c:ser>
          <c:idx val="1"/>
          <c:order val="0"/>
          <c:tx>
            <c:strRef>
              <c:f>'Te ardhurat 2022'!$C$6</c:f>
              <c:strCache>
                <c:ptCount val="1"/>
                <c:pt idx="0">
                  <c:v>Taksë mbi Pasurinë (ndërtesat)</c:v>
                </c:pt>
              </c:strCache>
            </c:strRef>
          </c:tx>
          <c:spPr>
            <a:solidFill>
              <a:srgbClr val="00B0F0"/>
            </a:solidFill>
            <a:ln>
              <a:solidFill>
                <a:schemeClr val="bg1">
                  <a:lumMod val="65000"/>
                </a:schemeClr>
              </a:solidFill>
            </a:ln>
          </c:spPr>
          <c:invertIfNegative val="0"/>
          <c:dLbls>
            <c:numFmt formatCode="#,##0.0" sourceLinked="0"/>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2022'!$J$6:$U$6</c:f>
              <c:numCache>
                <c:formatCode>#,##0</c:formatCode>
                <c:ptCount val="12"/>
                <c:pt idx="0">
                  <c:v>958</c:v>
                </c:pt>
                <c:pt idx="1">
                  <c:v>1418</c:v>
                </c:pt>
                <c:pt idx="2">
                  <c:v>1346</c:v>
                </c:pt>
                <c:pt idx="3">
                  <c:v>1931</c:v>
                </c:pt>
                <c:pt idx="4">
                  <c:v>2101</c:v>
                </c:pt>
                <c:pt idx="5">
                  <c:v>2316</c:v>
                </c:pt>
                <c:pt idx="6">
                  <c:v>2535</c:v>
                </c:pt>
                <c:pt idx="7">
                  <c:v>2197.4</c:v>
                </c:pt>
                <c:pt idx="8">
                  <c:v>2665.3</c:v>
                </c:pt>
                <c:pt idx="9">
                  <c:v>1408.9</c:v>
                </c:pt>
                <c:pt idx="10">
                  <c:v>2788.8</c:v>
                </c:pt>
                <c:pt idx="11">
                  <c:v>2958.09</c:v>
                </c:pt>
              </c:numCache>
            </c:numRef>
          </c:val>
          <c:extLst>
            <c:ext xmlns:c16="http://schemas.microsoft.com/office/drawing/2014/chart" uri="{C3380CC4-5D6E-409C-BE32-E72D297353CC}">
              <c16:uniqueId val="{00000000-2050-4401-B968-D21622588CEE}"/>
            </c:ext>
          </c:extLst>
        </c:ser>
        <c:dLbls>
          <c:showLegendKey val="0"/>
          <c:showVal val="0"/>
          <c:showCatName val="0"/>
          <c:showSerName val="0"/>
          <c:showPercent val="0"/>
          <c:showBubbleSize val="0"/>
        </c:dLbls>
        <c:gapWidth val="40"/>
        <c:axId val="1798632080"/>
        <c:axId val="1798625552"/>
      </c:barChart>
      <c:lineChart>
        <c:grouping val="standard"/>
        <c:varyColors val="0"/>
        <c:ser>
          <c:idx val="0"/>
          <c:order val="1"/>
          <c:tx>
            <c:strRef>
              <c:f>'Te ardhurat 2022'!$C$7</c:f>
              <c:strCache>
                <c:ptCount val="1"/>
                <c:pt idx="0">
                  <c:v>Ritmi i rritjes</c:v>
                </c:pt>
              </c:strCache>
            </c:strRef>
          </c:tx>
          <c:spPr>
            <a:ln w="31750">
              <a:solidFill>
                <a:srgbClr val="FF0000"/>
              </a:solidFill>
            </a:ln>
          </c:spPr>
          <c:marker>
            <c:symbol val="diamond"/>
            <c:size val="5"/>
            <c:spPr>
              <a:ln>
                <a:solidFill>
                  <a:srgbClr val="FF0000"/>
                </a:solidFill>
              </a:ln>
            </c:spPr>
          </c:marker>
          <c:dLbls>
            <c:dLbl>
              <c:idx val="0"/>
              <c:layout>
                <c:manualLayout>
                  <c:x val="-3.3047726177085006E-2"/>
                  <c:y val="-6.08711715913559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50-4401-B968-D21622588CEE}"/>
                </c:ext>
              </c:extLst>
            </c:dLbl>
            <c:dLbl>
              <c:idx val="1"/>
              <c:delete val="1"/>
              <c:extLst>
                <c:ext xmlns:c15="http://schemas.microsoft.com/office/drawing/2012/chart" uri="{CE6537A1-D6FC-4f65-9D91-7224C49458BB}"/>
                <c:ext xmlns:c16="http://schemas.microsoft.com/office/drawing/2014/chart" uri="{C3380CC4-5D6E-409C-BE32-E72D297353CC}">
                  <c16:uniqueId val="{00000002-2050-4401-B968-D21622588CEE}"/>
                </c:ext>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50-4401-B968-D21622588CEE}"/>
                </c:ext>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50-4401-B968-D21622588CEE}"/>
                </c:ext>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050-4401-B968-D21622588CEE}"/>
                </c:ext>
              </c:extLst>
            </c:dLbl>
            <c:dLbl>
              <c:idx val="11"/>
              <c:layout>
                <c:manualLayout>
                  <c:x val="-3.1283339628770578E-2"/>
                  <c:y val="-0.123738487056332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050-4401-B968-D21622588CEE}"/>
                </c:ext>
              </c:extLst>
            </c:dLbl>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2022'!$J$7:$U$7</c:f>
              <c:numCache>
                <c:formatCode>0%</c:formatCode>
                <c:ptCount val="12"/>
                <c:pt idx="0">
                  <c:v>-2.7531615373527409E-2</c:v>
                </c:pt>
                <c:pt idx="1">
                  <c:v>0.4801670146137787</c:v>
                </c:pt>
                <c:pt idx="2">
                  <c:v>-5.0775740479548657E-2</c:v>
                </c:pt>
                <c:pt idx="3">
                  <c:v>0.43462109955423478</c:v>
                </c:pt>
                <c:pt idx="4">
                  <c:v>8.8037286380113933E-2</c:v>
                </c:pt>
                <c:pt idx="5">
                  <c:v>0.10233222275107091</c:v>
                </c:pt>
                <c:pt idx="6">
                  <c:v>9.4559585492227982E-2</c:v>
                </c:pt>
                <c:pt idx="7">
                  <c:v>-0.1331755424063116</c:v>
                </c:pt>
                <c:pt idx="8">
                  <c:v>0.2129334668244289</c:v>
                </c:pt>
                <c:pt idx="9">
                  <c:v>-0.47139158818894683</c:v>
                </c:pt>
                <c:pt idx="10">
                  <c:v>0.97941656611540917</c:v>
                </c:pt>
                <c:pt idx="11">
                  <c:v>6.0703528399311514E-2</c:v>
                </c:pt>
              </c:numCache>
            </c:numRef>
          </c:val>
          <c:smooth val="1"/>
          <c:extLst>
            <c:ext xmlns:c16="http://schemas.microsoft.com/office/drawing/2014/chart" uri="{C3380CC4-5D6E-409C-BE32-E72D297353CC}">
              <c16:uniqueId val="{00000007-2050-4401-B968-D21622588CEE}"/>
            </c:ext>
          </c:extLst>
        </c:ser>
        <c:dLbls>
          <c:showLegendKey val="0"/>
          <c:showVal val="0"/>
          <c:showCatName val="0"/>
          <c:showSerName val="0"/>
          <c:showPercent val="0"/>
          <c:showBubbleSize val="0"/>
        </c:dLbls>
        <c:marker val="1"/>
        <c:smooth val="0"/>
        <c:axId val="1798630992"/>
        <c:axId val="1798632624"/>
      </c:lineChart>
      <c:catAx>
        <c:axId val="1798632080"/>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en-US"/>
          </a:p>
        </c:txPr>
        <c:crossAx val="1798625552"/>
        <c:crosses val="autoZero"/>
        <c:auto val="0"/>
        <c:lblAlgn val="ctr"/>
        <c:lblOffset val="100"/>
        <c:tickLblSkip val="1"/>
        <c:tickMarkSkip val="1"/>
        <c:noMultiLvlLbl val="0"/>
      </c:catAx>
      <c:valAx>
        <c:axId val="1798625552"/>
        <c:scaling>
          <c:orientation val="minMax"/>
        </c:scaling>
        <c:delete val="0"/>
        <c:axPos val="l"/>
        <c:title>
          <c:tx>
            <c:rich>
              <a:bodyPr/>
              <a:lstStyle/>
              <a:p>
                <a:pPr>
                  <a:defRPr sz="1000" b="0" i="0" u="none" strike="noStrike" baseline="0">
                    <a:solidFill>
                      <a:sysClr val="windowText" lastClr="000000"/>
                    </a:solidFill>
                    <a:latin typeface="Calibri"/>
                    <a:ea typeface="Calibri"/>
                    <a:cs typeface="Calibri"/>
                  </a:defRPr>
                </a:pPr>
                <a:r>
                  <a:rPr lang="sq-AL" b="0">
                    <a:solidFill>
                      <a:sysClr val="windowText" lastClr="000000"/>
                    </a:solidFill>
                  </a:rPr>
                  <a:t>Në miliardë</a:t>
                </a:r>
              </a:p>
            </c:rich>
          </c:tx>
          <c:layout>
            <c:manualLayout>
              <c:xMode val="edge"/>
              <c:yMode val="edge"/>
              <c:x val="1.6110743684773163E-3"/>
              <c:y val="7.208513161796222E-4"/>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32080"/>
        <c:crosses val="autoZero"/>
        <c:crossBetween val="between"/>
        <c:dispUnits>
          <c:builtInUnit val="thousands"/>
        </c:dispUnits>
      </c:valAx>
      <c:valAx>
        <c:axId val="1798632624"/>
        <c:scaling>
          <c:orientation val="minMax"/>
        </c:scaling>
        <c:delete val="0"/>
        <c:axPos val="r"/>
        <c:numFmt formatCode="0%" sourceLinked="1"/>
        <c:majorTickMark val="out"/>
        <c:minorTickMark val="none"/>
        <c:tickLblPos val="nextTo"/>
        <c:txPr>
          <a:bodyPr/>
          <a:lstStyle/>
          <a:p>
            <a:pPr>
              <a:defRPr sz="800"/>
            </a:pPr>
            <a:endParaRPr lang="en-US"/>
          </a:p>
        </c:txPr>
        <c:crossAx val="1798630992"/>
        <c:crosses val="max"/>
        <c:crossBetween val="between"/>
      </c:valAx>
      <c:catAx>
        <c:axId val="1798630992"/>
        <c:scaling>
          <c:orientation val="minMax"/>
        </c:scaling>
        <c:delete val="1"/>
        <c:axPos val="b"/>
        <c:numFmt formatCode="General" sourceLinked="1"/>
        <c:majorTickMark val="out"/>
        <c:minorTickMark val="none"/>
        <c:tickLblPos val="nextTo"/>
        <c:crossAx val="1798632624"/>
        <c:crosses val="autoZero"/>
        <c:auto val="0"/>
        <c:lblAlgn val="ctr"/>
        <c:lblOffset val="100"/>
        <c:noMultiLvlLbl val="0"/>
      </c:catAx>
      <c:spPr>
        <a:solidFill>
          <a:sysClr val="window" lastClr="FFFFFF"/>
        </a:solidFill>
      </c:spPr>
    </c:plotArea>
    <c:legend>
      <c:legendPos val="b"/>
      <c:layout>
        <c:manualLayout>
          <c:xMode val="edge"/>
          <c:yMode val="edge"/>
          <c:x val="0.10257510920343993"/>
          <c:y val="0.90918730522021318"/>
          <c:w val="0.79066902351491775"/>
          <c:h val="9.0301689816862818E-2"/>
        </c:manualLayout>
      </c:layout>
      <c:overlay val="0"/>
      <c:txPr>
        <a:bodyPr/>
        <a:lstStyle/>
        <a:p>
          <a:pPr>
            <a:defRPr sz="90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103654099312349E-2"/>
          <c:y val="6.0737357830271219E-2"/>
          <c:w val="0.8561362539962879"/>
          <c:h val="0.52220603674540689"/>
        </c:manualLayout>
      </c:layout>
      <c:barChart>
        <c:barDir val="col"/>
        <c:grouping val="clustered"/>
        <c:varyColors val="0"/>
        <c:ser>
          <c:idx val="1"/>
          <c:order val="0"/>
          <c:tx>
            <c:strRef>
              <c:f>'Te ardhurat 2022'!$C$8</c:f>
              <c:strCache>
                <c:ptCount val="1"/>
                <c:pt idx="0">
                  <c:v>Taksë mbi Biznesin e vogël</c:v>
                </c:pt>
              </c:strCache>
            </c:strRef>
          </c:tx>
          <c:spPr>
            <a:solidFill>
              <a:srgbClr val="00B0F0"/>
            </a:solidFill>
            <a:ln>
              <a:solidFill>
                <a:schemeClr val="bg1">
                  <a:lumMod val="65000"/>
                </a:schemeClr>
              </a:solidFill>
            </a:ln>
          </c:spPr>
          <c:invertIfNegative val="0"/>
          <c:dLbls>
            <c:numFmt formatCode="#,##0.0" sourceLinked="0"/>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2022'!$J$8:$U$8</c:f>
              <c:numCache>
                <c:formatCode>#,##0</c:formatCode>
                <c:ptCount val="12"/>
                <c:pt idx="0">
                  <c:v>1737</c:v>
                </c:pt>
                <c:pt idx="1">
                  <c:v>1103</c:v>
                </c:pt>
                <c:pt idx="2">
                  <c:v>1082</c:v>
                </c:pt>
                <c:pt idx="3">
                  <c:v>612</c:v>
                </c:pt>
                <c:pt idx="4">
                  <c:v>730</c:v>
                </c:pt>
                <c:pt idx="5">
                  <c:v>519</c:v>
                </c:pt>
                <c:pt idx="6">
                  <c:v>220</c:v>
                </c:pt>
                <c:pt idx="7">
                  <c:v>258.36</c:v>
                </c:pt>
                <c:pt idx="8">
                  <c:v>282.3</c:v>
                </c:pt>
                <c:pt idx="9">
                  <c:v>306</c:v>
                </c:pt>
                <c:pt idx="10">
                  <c:v>278.04000000000002</c:v>
                </c:pt>
                <c:pt idx="11">
                  <c:v>38.24</c:v>
                </c:pt>
              </c:numCache>
            </c:numRef>
          </c:val>
          <c:extLst>
            <c:ext xmlns:c16="http://schemas.microsoft.com/office/drawing/2014/chart" uri="{C3380CC4-5D6E-409C-BE32-E72D297353CC}">
              <c16:uniqueId val="{00000000-A7D6-45EF-A475-2E85E9F29629}"/>
            </c:ext>
          </c:extLst>
        </c:ser>
        <c:dLbls>
          <c:showLegendKey val="0"/>
          <c:showVal val="0"/>
          <c:showCatName val="0"/>
          <c:showSerName val="0"/>
          <c:showPercent val="0"/>
          <c:showBubbleSize val="0"/>
        </c:dLbls>
        <c:gapWidth val="40"/>
        <c:axId val="1798633712"/>
        <c:axId val="1798627184"/>
      </c:barChart>
      <c:lineChart>
        <c:grouping val="standard"/>
        <c:varyColors val="0"/>
        <c:ser>
          <c:idx val="0"/>
          <c:order val="1"/>
          <c:tx>
            <c:strRef>
              <c:f>'Te ardhurat 2022'!$C$9</c:f>
              <c:strCache>
                <c:ptCount val="1"/>
                <c:pt idx="0">
                  <c:v>Ritmi i rritjes</c:v>
                </c:pt>
              </c:strCache>
            </c:strRef>
          </c:tx>
          <c:spPr>
            <a:ln w="31750">
              <a:solidFill>
                <a:srgbClr val="FF0000"/>
              </a:solidFill>
            </a:ln>
          </c:spPr>
          <c:marker>
            <c:symbol val="diamond"/>
            <c:size val="5"/>
            <c:spPr>
              <a:ln>
                <a:solidFill>
                  <a:srgbClr val="FF0000"/>
                </a:solidFill>
              </a:ln>
            </c:spPr>
          </c:marker>
          <c:dLbls>
            <c:dLbl>
              <c:idx val="1"/>
              <c:layout>
                <c:manualLayout>
                  <c:x val="-4.2637263799968968E-2"/>
                  <c:y val="-9.0436072172592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D6-45EF-A475-2E85E9F29629}"/>
                </c:ext>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D6-45EF-A475-2E85E9F29629}"/>
                </c:ext>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D6-45EF-A475-2E85E9F29629}"/>
                </c:ext>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D6-45EF-A475-2E85E9F29629}"/>
                </c:ext>
              </c:extLst>
            </c:dLbl>
            <c:dLbl>
              <c:idx val="11"/>
              <c:layout>
                <c:manualLayout>
                  <c:x val="-3.774670689528295E-2"/>
                  <c:y val="-0.1055462109789467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D6-45EF-A475-2E85E9F29629}"/>
                </c:ext>
              </c:extLst>
            </c:dLbl>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2022'!$J$9:$U$9</c:f>
              <c:numCache>
                <c:formatCode>0%</c:formatCode>
                <c:ptCount val="12"/>
                <c:pt idx="0">
                  <c:v>0.21238614729123642</c:v>
                </c:pt>
                <c:pt idx="1">
                  <c:v>-0.36499712147380542</c:v>
                </c:pt>
                <c:pt idx="2">
                  <c:v>-1.9038984587488667E-2</c:v>
                </c:pt>
                <c:pt idx="3">
                  <c:v>-0.43438077634011091</c:v>
                </c:pt>
                <c:pt idx="4">
                  <c:v>0.19281045751633988</c:v>
                </c:pt>
                <c:pt idx="5">
                  <c:v>-0.28904109589041094</c:v>
                </c:pt>
                <c:pt idx="6">
                  <c:v>-0.5761078998073218</c:v>
                </c:pt>
                <c:pt idx="7">
                  <c:v>0.17436363636363642</c:v>
                </c:pt>
                <c:pt idx="8">
                  <c:v>9.2661402693915457E-2</c:v>
                </c:pt>
                <c:pt idx="9">
                  <c:v>8.3953241232731096E-2</c:v>
                </c:pt>
                <c:pt idx="10">
                  <c:v>-9.1372549019607771E-2</c:v>
                </c:pt>
                <c:pt idx="11">
                  <c:v>-0.86246583225435192</c:v>
                </c:pt>
              </c:numCache>
            </c:numRef>
          </c:val>
          <c:smooth val="1"/>
          <c:extLst>
            <c:ext xmlns:c16="http://schemas.microsoft.com/office/drawing/2014/chart" uri="{C3380CC4-5D6E-409C-BE32-E72D297353CC}">
              <c16:uniqueId val="{00000005-A7D6-45EF-A475-2E85E9F29629}"/>
            </c:ext>
          </c:extLst>
        </c:ser>
        <c:dLbls>
          <c:showLegendKey val="0"/>
          <c:showVal val="0"/>
          <c:showCatName val="0"/>
          <c:showSerName val="0"/>
          <c:showPercent val="0"/>
          <c:showBubbleSize val="0"/>
        </c:dLbls>
        <c:marker val="1"/>
        <c:smooth val="0"/>
        <c:axId val="1798637520"/>
        <c:axId val="1798626096"/>
      </c:lineChart>
      <c:catAx>
        <c:axId val="1798633712"/>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en-US"/>
          </a:p>
        </c:txPr>
        <c:crossAx val="1798627184"/>
        <c:crosses val="autoZero"/>
        <c:auto val="0"/>
        <c:lblAlgn val="ctr"/>
        <c:lblOffset val="100"/>
        <c:tickLblSkip val="1"/>
        <c:tickMarkSkip val="1"/>
        <c:noMultiLvlLbl val="0"/>
      </c:catAx>
      <c:valAx>
        <c:axId val="1798627184"/>
        <c:scaling>
          <c:orientation val="minMax"/>
        </c:scaling>
        <c:delete val="0"/>
        <c:axPos val="l"/>
        <c:title>
          <c:tx>
            <c:rich>
              <a:bodyPr/>
              <a:lstStyle/>
              <a:p>
                <a:pPr>
                  <a:defRPr sz="800" b="0" i="0" u="none" strike="noStrike" baseline="0">
                    <a:solidFill>
                      <a:srgbClr val="000000"/>
                    </a:solidFill>
                    <a:latin typeface="Calibri"/>
                    <a:ea typeface="Calibri"/>
                    <a:cs typeface="Calibri"/>
                  </a:defRPr>
                </a:pPr>
                <a:r>
                  <a:rPr lang="sq-AL" sz="800" b="0"/>
                  <a:t>Në miliardë</a:t>
                </a:r>
              </a:p>
            </c:rich>
          </c:tx>
          <c:layout>
            <c:manualLayout>
              <c:xMode val="edge"/>
              <c:yMode val="edge"/>
              <c:x val="1.5351757500900623E-3"/>
              <c:y val="7.6179971885536782E-2"/>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33712"/>
        <c:crosses val="autoZero"/>
        <c:crossBetween val="between"/>
        <c:dispUnits>
          <c:builtInUnit val="thousands"/>
        </c:dispUnits>
      </c:valAx>
      <c:catAx>
        <c:axId val="1798637520"/>
        <c:scaling>
          <c:orientation val="minMax"/>
        </c:scaling>
        <c:delete val="1"/>
        <c:axPos val="b"/>
        <c:numFmt formatCode="General" sourceLinked="1"/>
        <c:majorTickMark val="out"/>
        <c:minorTickMark val="none"/>
        <c:tickLblPos val="nextTo"/>
        <c:crossAx val="1798626096"/>
        <c:crosses val="autoZero"/>
        <c:auto val="0"/>
        <c:lblAlgn val="ctr"/>
        <c:lblOffset val="100"/>
        <c:noMultiLvlLbl val="0"/>
      </c:catAx>
      <c:valAx>
        <c:axId val="1798626096"/>
        <c:scaling>
          <c:orientation val="minMax"/>
        </c:scaling>
        <c:delete val="0"/>
        <c:axPos val="r"/>
        <c:numFmt formatCode="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37520"/>
        <c:crosses val="max"/>
        <c:crossBetween val="between"/>
      </c:valAx>
      <c:spPr>
        <a:solidFill>
          <a:sysClr val="window" lastClr="FFFFFF"/>
        </a:solidFill>
      </c:spPr>
    </c:plotArea>
    <c:legend>
      <c:legendPos val="b"/>
      <c:layout>
        <c:manualLayout>
          <c:xMode val="edge"/>
          <c:yMode val="edge"/>
          <c:x val="0.21293118867273128"/>
          <c:y val="0.90969831018313718"/>
          <c:w val="0.54032888746049612"/>
          <c:h val="9.0301689816862818E-2"/>
        </c:manualLayout>
      </c:layout>
      <c:overlay val="0"/>
      <c:txPr>
        <a:bodyPr/>
        <a:lstStyle/>
        <a:p>
          <a:pPr>
            <a:defRPr sz="90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114047557242157E-2"/>
          <c:y val="5.7137471468590724E-2"/>
          <c:w val="0.87075307894205534"/>
          <c:h val="0.57248572601410608"/>
        </c:manualLayout>
      </c:layout>
      <c:barChart>
        <c:barDir val="col"/>
        <c:grouping val="clustered"/>
        <c:varyColors val="0"/>
        <c:ser>
          <c:idx val="1"/>
          <c:order val="0"/>
          <c:tx>
            <c:strRef>
              <c:f>'Te ardhurat 2022'!$C$10</c:f>
              <c:strCache>
                <c:ptCount val="1"/>
                <c:pt idx="0">
                  <c:v>Taksa Lokale</c:v>
                </c:pt>
              </c:strCache>
            </c:strRef>
          </c:tx>
          <c:spPr>
            <a:solidFill>
              <a:srgbClr val="00B0F0"/>
            </a:solidFill>
            <a:ln>
              <a:solidFill>
                <a:schemeClr val="bg1">
                  <a:lumMod val="65000"/>
                </a:schemeClr>
              </a:solidFill>
            </a:ln>
          </c:spPr>
          <c:invertIfNegative val="0"/>
          <c:dLbls>
            <c:numFmt formatCode="#,##0.0" sourceLinked="0"/>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2022'!$J$10:$U$10</c:f>
              <c:numCache>
                <c:formatCode>#,##0</c:formatCode>
                <c:ptCount val="12"/>
                <c:pt idx="0">
                  <c:v>3576</c:v>
                </c:pt>
                <c:pt idx="1">
                  <c:v>3241</c:v>
                </c:pt>
                <c:pt idx="2">
                  <c:v>2619</c:v>
                </c:pt>
                <c:pt idx="3">
                  <c:v>2905</c:v>
                </c:pt>
                <c:pt idx="4">
                  <c:v>2952</c:v>
                </c:pt>
                <c:pt idx="5">
                  <c:v>3949</c:v>
                </c:pt>
                <c:pt idx="6">
                  <c:v>6586</c:v>
                </c:pt>
                <c:pt idx="7">
                  <c:v>6360.33</c:v>
                </c:pt>
                <c:pt idx="8">
                  <c:v>8401</c:v>
                </c:pt>
                <c:pt idx="9">
                  <c:v>5280</c:v>
                </c:pt>
                <c:pt idx="10">
                  <c:v>7894.2</c:v>
                </c:pt>
                <c:pt idx="11">
                  <c:v>11101.79</c:v>
                </c:pt>
              </c:numCache>
            </c:numRef>
          </c:val>
          <c:extLst>
            <c:ext xmlns:c16="http://schemas.microsoft.com/office/drawing/2014/chart" uri="{C3380CC4-5D6E-409C-BE32-E72D297353CC}">
              <c16:uniqueId val="{00000000-DA9E-4211-A4BA-F9818F36F14F}"/>
            </c:ext>
          </c:extLst>
        </c:ser>
        <c:dLbls>
          <c:showLegendKey val="0"/>
          <c:showVal val="0"/>
          <c:showCatName val="0"/>
          <c:showSerName val="0"/>
          <c:showPercent val="0"/>
          <c:showBubbleSize val="0"/>
        </c:dLbls>
        <c:gapWidth val="40"/>
        <c:axId val="1798634256"/>
        <c:axId val="1798638608"/>
      </c:barChart>
      <c:lineChart>
        <c:grouping val="standard"/>
        <c:varyColors val="0"/>
        <c:ser>
          <c:idx val="0"/>
          <c:order val="1"/>
          <c:tx>
            <c:strRef>
              <c:f>'Te ardhurat 2022'!$C$11</c:f>
              <c:strCache>
                <c:ptCount val="1"/>
                <c:pt idx="0">
                  <c:v>Ritmi i rritjes</c:v>
                </c:pt>
              </c:strCache>
            </c:strRef>
          </c:tx>
          <c:spPr>
            <a:ln w="31750">
              <a:solidFill>
                <a:srgbClr val="FF0000"/>
              </a:solidFill>
            </a:ln>
          </c:spPr>
          <c:marker>
            <c:symbol val="diamond"/>
            <c:size val="5"/>
            <c:spPr>
              <a:ln>
                <a:solidFill>
                  <a:srgbClr val="FF0000"/>
                </a:solidFill>
              </a:ln>
            </c:spPr>
          </c:marker>
          <c:dLbls>
            <c:dLbl>
              <c:idx val="1"/>
              <c:layout>
                <c:manualLayout>
                  <c:x val="-7.794355366438345E-2"/>
                  <c:y val="-7.24989416645499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A9E-4211-A4BA-F9818F36F14F}"/>
                </c:ext>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A9E-4211-A4BA-F9818F36F14F}"/>
                </c:ext>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9E-4211-A4BA-F9818F36F14F}"/>
                </c:ext>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A9E-4211-A4BA-F9818F36F14F}"/>
                </c:ext>
              </c:extLst>
            </c:dLbl>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2022'!$J$3:$U$3</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'Te ardhurat 2022'!$J$11:$U$11</c:f>
              <c:numCache>
                <c:formatCode>0%</c:formatCode>
                <c:ptCount val="12"/>
                <c:pt idx="0">
                  <c:v>7.1499113285044033E-2</c:v>
                </c:pt>
                <c:pt idx="1">
                  <c:v>-9.3680089485458612E-2</c:v>
                </c:pt>
                <c:pt idx="2">
                  <c:v>-0.19191607528540575</c:v>
                </c:pt>
                <c:pt idx="3">
                  <c:v>0.10920198549064529</c:v>
                </c:pt>
                <c:pt idx="4">
                  <c:v>1.6179001721170396E-2</c:v>
                </c:pt>
                <c:pt idx="5">
                  <c:v>0.3377371273712737</c:v>
                </c:pt>
                <c:pt idx="6">
                  <c:v>0.66776399088376803</c:v>
                </c:pt>
                <c:pt idx="7">
                  <c:v>-3.4265107804433662E-2</c:v>
                </c:pt>
                <c:pt idx="8">
                  <c:v>0.32084341535737926</c:v>
                </c:pt>
                <c:pt idx="9">
                  <c:v>-0.37150339245327935</c:v>
                </c:pt>
                <c:pt idx="10">
                  <c:v>0.49511363636363631</c:v>
                </c:pt>
                <c:pt idx="11">
                  <c:v>0.40632236325403476</c:v>
                </c:pt>
              </c:numCache>
            </c:numRef>
          </c:val>
          <c:smooth val="1"/>
          <c:extLst>
            <c:ext xmlns:c16="http://schemas.microsoft.com/office/drawing/2014/chart" uri="{C3380CC4-5D6E-409C-BE32-E72D297353CC}">
              <c16:uniqueId val="{00000005-DA9E-4211-A4BA-F9818F36F14F}"/>
            </c:ext>
          </c:extLst>
        </c:ser>
        <c:dLbls>
          <c:showLegendKey val="0"/>
          <c:showVal val="0"/>
          <c:showCatName val="0"/>
          <c:showSerName val="0"/>
          <c:showPercent val="0"/>
          <c:showBubbleSize val="0"/>
        </c:dLbls>
        <c:marker val="1"/>
        <c:smooth val="0"/>
        <c:axId val="1798636976"/>
        <c:axId val="1798635344"/>
      </c:lineChart>
      <c:catAx>
        <c:axId val="1798634256"/>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ysClr val="windowText" lastClr="000000"/>
                </a:solidFill>
                <a:latin typeface="Calibri"/>
                <a:ea typeface="Calibri"/>
                <a:cs typeface="Calibri"/>
              </a:defRPr>
            </a:pPr>
            <a:endParaRPr lang="en-US"/>
          </a:p>
        </c:txPr>
        <c:crossAx val="1798638608"/>
        <c:crosses val="autoZero"/>
        <c:auto val="0"/>
        <c:lblAlgn val="ctr"/>
        <c:lblOffset val="100"/>
        <c:tickLblSkip val="1"/>
        <c:tickMarkSkip val="1"/>
        <c:noMultiLvlLbl val="0"/>
      </c:catAx>
      <c:valAx>
        <c:axId val="1798638608"/>
        <c:scaling>
          <c:orientation val="minMax"/>
        </c:scaling>
        <c:delete val="0"/>
        <c:axPos val="l"/>
        <c:title>
          <c:tx>
            <c:rich>
              <a:bodyPr/>
              <a:lstStyle/>
              <a:p>
                <a:pPr>
                  <a:defRPr sz="800" b="0" i="0" u="none" strike="noStrike" baseline="0">
                    <a:solidFill>
                      <a:srgbClr val="000000"/>
                    </a:solidFill>
                    <a:latin typeface="Calibri"/>
                    <a:ea typeface="Calibri"/>
                    <a:cs typeface="Calibri"/>
                  </a:defRPr>
                </a:pPr>
                <a:r>
                  <a:rPr lang="sq-AL" sz="800" b="0"/>
                  <a:t>Në miliardë</a:t>
                </a:r>
              </a:p>
            </c:rich>
          </c:tx>
          <c:layout>
            <c:manualLayout>
              <c:xMode val="edge"/>
              <c:yMode val="edge"/>
              <c:x val="8.8449305651924705E-4"/>
              <c:y val="2.11290788527817E-3"/>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34256"/>
        <c:crosses val="autoZero"/>
        <c:crossBetween val="between"/>
        <c:dispUnits>
          <c:builtInUnit val="thousands"/>
        </c:dispUnits>
      </c:valAx>
      <c:catAx>
        <c:axId val="1798636976"/>
        <c:scaling>
          <c:orientation val="minMax"/>
        </c:scaling>
        <c:delete val="1"/>
        <c:axPos val="b"/>
        <c:numFmt formatCode="General" sourceLinked="1"/>
        <c:majorTickMark val="out"/>
        <c:minorTickMark val="none"/>
        <c:tickLblPos val="nextTo"/>
        <c:crossAx val="1798635344"/>
        <c:crosses val="autoZero"/>
        <c:auto val="0"/>
        <c:lblAlgn val="ctr"/>
        <c:lblOffset val="100"/>
        <c:noMultiLvlLbl val="0"/>
      </c:catAx>
      <c:valAx>
        <c:axId val="1798635344"/>
        <c:scaling>
          <c:orientation val="minMax"/>
        </c:scaling>
        <c:delete val="0"/>
        <c:axPos val="r"/>
        <c:numFmt formatCode="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36976"/>
        <c:crosses val="max"/>
        <c:crossBetween val="between"/>
      </c:valAx>
      <c:spPr>
        <a:solidFill>
          <a:sysClr val="window" lastClr="FFFFFF"/>
        </a:solidFill>
      </c:spPr>
    </c:plotArea>
    <c:legend>
      <c:legendPos val="b"/>
      <c:layout>
        <c:manualLayout>
          <c:xMode val="edge"/>
          <c:yMode val="edge"/>
          <c:x val="0.21576518536491149"/>
          <c:y val="0.90868401035216628"/>
          <c:w val="0.54032888746049612"/>
          <c:h val="9.0301689816862818E-2"/>
        </c:manualLayout>
      </c:layout>
      <c:overlay val="0"/>
      <c:txPr>
        <a:bodyPr/>
        <a:lstStyle/>
        <a:p>
          <a:pPr>
            <a:defRPr sz="90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934587615800357E-2"/>
          <c:y val="2.7156011799801913E-2"/>
          <c:w val="0.85542195076082783"/>
          <c:h val="0.58276941867415077"/>
        </c:manualLayout>
      </c:layout>
      <c:barChart>
        <c:barDir val="col"/>
        <c:grouping val="clustered"/>
        <c:varyColors val="0"/>
        <c:ser>
          <c:idx val="1"/>
          <c:order val="0"/>
          <c:tx>
            <c:strRef>
              <c:f>'Shpenzimet 2022'!$B$5</c:f>
              <c:strCache>
                <c:ptCount val="1"/>
                <c:pt idx="0">
                  <c:v>Buxheti lokal </c:v>
                </c:pt>
              </c:strCache>
            </c:strRef>
          </c:tx>
          <c:spPr>
            <a:solidFill>
              <a:srgbClr val="00B0F0"/>
            </a:solidFill>
            <a:ln>
              <a:noFill/>
            </a:ln>
          </c:spPr>
          <c:invertIfNegative val="0"/>
          <c:dLbls>
            <c:numFmt formatCode="#,##0.0" sourceLinked="0"/>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2022'!$J$4:$U$4</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'Shpenzimet 2022'!$J$5:$U$5</c:f>
              <c:numCache>
                <c:formatCode>#,##0</c:formatCode>
                <c:ptCount val="12"/>
                <c:pt idx="0">
                  <c:v>12302</c:v>
                </c:pt>
                <c:pt idx="1">
                  <c:v>10948</c:v>
                </c:pt>
                <c:pt idx="2">
                  <c:v>12437</c:v>
                </c:pt>
                <c:pt idx="3">
                  <c:v>9927</c:v>
                </c:pt>
                <c:pt idx="4">
                  <c:v>12467</c:v>
                </c:pt>
                <c:pt idx="5">
                  <c:v>11761</c:v>
                </c:pt>
                <c:pt idx="6">
                  <c:v>18816</c:v>
                </c:pt>
                <c:pt idx="7">
                  <c:v>21813.61</c:v>
                </c:pt>
                <c:pt idx="8">
                  <c:v>23652</c:v>
                </c:pt>
                <c:pt idx="9">
                  <c:v>17202</c:v>
                </c:pt>
                <c:pt idx="10">
                  <c:v>19809</c:v>
                </c:pt>
                <c:pt idx="11">
                  <c:v>24478.78</c:v>
                </c:pt>
              </c:numCache>
            </c:numRef>
          </c:val>
          <c:extLst>
            <c:ext xmlns:c16="http://schemas.microsoft.com/office/drawing/2014/chart" uri="{C3380CC4-5D6E-409C-BE32-E72D297353CC}">
              <c16:uniqueId val="{00000000-BD28-45E6-A322-6A12D62BF473}"/>
            </c:ext>
          </c:extLst>
        </c:ser>
        <c:dLbls>
          <c:showLegendKey val="0"/>
          <c:showVal val="0"/>
          <c:showCatName val="0"/>
          <c:showSerName val="0"/>
          <c:showPercent val="0"/>
          <c:showBubbleSize val="0"/>
        </c:dLbls>
        <c:gapWidth val="40"/>
        <c:axId val="1798623376"/>
        <c:axId val="1798630448"/>
      </c:barChart>
      <c:lineChart>
        <c:grouping val="standard"/>
        <c:varyColors val="0"/>
        <c:ser>
          <c:idx val="0"/>
          <c:order val="1"/>
          <c:tx>
            <c:strRef>
              <c:f>'Shpenzimet 2022'!$B$6</c:f>
              <c:strCache>
                <c:ptCount val="1"/>
                <c:pt idx="0">
                  <c:v>Ritmi i rritjes</c:v>
                </c:pt>
              </c:strCache>
            </c:strRef>
          </c:tx>
          <c:spPr>
            <a:ln w="31750">
              <a:solidFill>
                <a:srgbClr val="FF0000"/>
              </a:solidFill>
            </a:ln>
          </c:spPr>
          <c:marker>
            <c:symbol val="square"/>
            <c:size val="5"/>
            <c:spPr>
              <a:ln>
                <a:solidFill>
                  <a:srgbClr val="FF0000"/>
                </a:solidFill>
              </a:ln>
            </c:spPr>
          </c:marker>
          <c:dLbls>
            <c:spPr>
              <a:noFill/>
              <a:ln>
                <a:noFill/>
              </a:ln>
              <a:effectLst/>
            </c:spPr>
            <c:txPr>
              <a:bodyPr/>
              <a:lstStyle/>
              <a:p>
                <a:pPr>
                  <a:defRPr sz="8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2022'!$J$4:$U$4</c:f>
              <c:strCache>
                <c:ptCount val="12"/>
                <c:pt idx="0">
                  <c:v>5M-2011</c:v>
                </c:pt>
                <c:pt idx="1">
                  <c:v>5M-2012</c:v>
                </c:pt>
                <c:pt idx="2">
                  <c:v>5M-2013</c:v>
                </c:pt>
                <c:pt idx="3">
                  <c:v>5M-2014</c:v>
                </c:pt>
                <c:pt idx="4">
                  <c:v>5M-2015</c:v>
                </c:pt>
                <c:pt idx="5">
                  <c:v>5M-2016</c:v>
                </c:pt>
                <c:pt idx="6">
                  <c:v>5M-2017</c:v>
                </c:pt>
                <c:pt idx="7">
                  <c:v>5M-2018</c:v>
                </c:pt>
                <c:pt idx="8">
                  <c:v>5M-2019</c:v>
                </c:pt>
                <c:pt idx="9">
                  <c:v>5M-2020</c:v>
                </c:pt>
                <c:pt idx="10">
                  <c:v>5M-2021</c:v>
                </c:pt>
                <c:pt idx="11">
                  <c:v>5M-2022</c:v>
                </c:pt>
              </c:strCache>
            </c:strRef>
          </c:cat>
          <c:val>
            <c:numRef>
              <c:f>'Shpenzimet 2022'!$J$6:$U$6</c:f>
              <c:numCache>
                <c:formatCode>0%</c:formatCode>
                <c:ptCount val="12"/>
                <c:pt idx="0">
                  <c:v>0.1225044492512767</c:v>
                </c:pt>
                <c:pt idx="1">
                  <c:v>-0.11006340432450008</c:v>
                </c:pt>
                <c:pt idx="2">
                  <c:v>0.13600657654366094</c:v>
                </c:pt>
                <c:pt idx="3">
                  <c:v>-0.2018171584787328</c:v>
                </c:pt>
                <c:pt idx="4">
                  <c:v>0.25586783519693762</c:v>
                </c:pt>
                <c:pt idx="5">
                  <c:v>-5.6629501884976341E-2</c:v>
                </c:pt>
                <c:pt idx="6">
                  <c:v>0.5998639571465012</c:v>
                </c:pt>
                <c:pt idx="7">
                  <c:v>0.15931175595238098</c:v>
                </c:pt>
                <c:pt idx="8">
                  <c:v>8.4277201251878958E-2</c:v>
                </c:pt>
                <c:pt idx="9">
                  <c:v>-0.27270421106037546</c:v>
                </c:pt>
                <c:pt idx="10">
                  <c:v>0.15155214509940704</c:v>
                </c:pt>
                <c:pt idx="11" formatCode="0.0%">
                  <c:v>0.23574032005653989</c:v>
                </c:pt>
              </c:numCache>
            </c:numRef>
          </c:val>
          <c:smooth val="1"/>
          <c:extLst>
            <c:ext xmlns:c16="http://schemas.microsoft.com/office/drawing/2014/chart" uri="{C3380CC4-5D6E-409C-BE32-E72D297353CC}">
              <c16:uniqueId val="{00000001-BD28-45E6-A322-6A12D62BF473}"/>
            </c:ext>
          </c:extLst>
        </c:ser>
        <c:dLbls>
          <c:showLegendKey val="0"/>
          <c:showVal val="0"/>
          <c:showCatName val="0"/>
          <c:showSerName val="0"/>
          <c:showPercent val="0"/>
          <c:showBubbleSize val="0"/>
        </c:dLbls>
        <c:marker val="1"/>
        <c:smooth val="0"/>
        <c:axId val="1798623920"/>
        <c:axId val="1798635888"/>
      </c:lineChart>
      <c:catAx>
        <c:axId val="1798623376"/>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rgbClr val="000000"/>
                </a:solidFill>
                <a:latin typeface="Calibri"/>
                <a:ea typeface="Calibri"/>
                <a:cs typeface="Calibri"/>
              </a:defRPr>
            </a:pPr>
            <a:endParaRPr lang="en-US"/>
          </a:p>
        </c:txPr>
        <c:crossAx val="1798630448"/>
        <c:crosses val="autoZero"/>
        <c:auto val="0"/>
        <c:lblAlgn val="ctr"/>
        <c:lblOffset val="100"/>
        <c:tickLblSkip val="1"/>
        <c:tickMarkSkip val="1"/>
        <c:noMultiLvlLbl val="0"/>
      </c:catAx>
      <c:valAx>
        <c:axId val="1798630448"/>
        <c:scaling>
          <c:orientation val="minMax"/>
        </c:scaling>
        <c:delete val="0"/>
        <c:axPos val="l"/>
        <c:title>
          <c:tx>
            <c:rich>
              <a:bodyPr/>
              <a:lstStyle/>
              <a:p>
                <a:pPr>
                  <a:defRPr sz="900" b="0" i="0" u="none" strike="noStrike" baseline="0">
                    <a:solidFill>
                      <a:srgbClr val="000000"/>
                    </a:solidFill>
                    <a:latin typeface="Calibri"/>
                    <a:ea typeface="Calibri"/>
                    <a:cs typeface="Calibri"/>
                  </a:defRPr>
                </a:pPr>
                <a:r>
                  <a:rPr lang="sq-AL" sz="900" b="0"/>
                  <a:t>Në </a:t>
                </a:r>
                <a:r>
                  <a:rPr lang="sq-AL" sz="800" b="0"/>
                  <a:t>miliardë</a:t>
                </a:r>
              </a:p>
            </c:rich>
          </c:tx>
          <c:layout>
            <c:manualLayout>
              <c:xMode val="edge"/>
              <c:yMode val="edge"/>
              <c:x val="2.7269719515383105E-4"/>
              <c:y val="5.0643145636942395E-2"/>
            </c:manualLayout>
          </c:layout>
          <c:overlay val="0"/>
        </c:title>
        <c:numFmt formatCode="#,##0.0" sourceLinked="0"/>
        <c:majorTickMark val="cross"/>
        <c:minorTickMark val="none"/>
        <c:tickLblPos val="nextTo"/>
        <c:txPr>
          <a:bodyPr rot="0" vert="horz"/>
          <a:lstStyle/>
          <a:p>
            <a:pPr>
              <a:defRPr sz="800" b="0" i="0" u="none" strike="noStrike" baseline="0">
                <a:solidFill>
                  <a:srgbClr val="000000"/>
                </a:solidFill>
                <a:latin typeface="Calibri"/>
                <a:ea typeface="Calibri"/>
                <a:cs typeface="Calibri"/>
              </a:defRPr>
            </a:pPr>
            <a:endParaRPr lang="en-US"/>
          </a:p>
        </c:txPr>
        <c:crossAx val="1798623376"/>
        <c:crosses val="autoZero"/>
        <c:crossBetween val="between"/>
        <c:dispUnits>
          <c:builtInUnit val="thousands"/>
        </c:dispUnits>
      </c:valAx>
      <c:valAx>
        <c:axId val="1798635888"/>
        <c:scaling>
          <c:orientation val="minMax"/>
        </c:scaling>
        <c:delete val="0"/>
        <c:axPos val="r"/>
        <c:numFmt formatCode="0%" sourceLinked="1"/>
        <c:majorTickMark val="out"/>
        <c:minorTickMark val="none"/>
        <c:tickLblPos val="nextTo"/>
        <c:txPr>
          <a:bodyPr/>
          <a:lstStyle/>
          <a:p>
            <a:pPr>
              <a:defRPr sz="800"/>
            </a:pPr>
            <a:endParaRPr lang="en-US"/>
          </a:p>
        </c:txPr>
        <c:crossAx val="1798623920"/>
        <c:crosses val="max"/>
        <c:crossBetween val="between"/>
      </c:valAx>
      <c:catAx>
        <c:axId val="1798623920"/>
        <c:scaling>
          <c:orientation val="minMax"/>
        </c:scaling>
        <c:delete val="1"/>
        <c:axPos val="b"/>
        <c:numFmt formatCode="General" sourceLinked="1"/>
        <c:majorTickMark val="out"/>
        <c:minorTickMark val="none"/>
        <c:tickLblPos val="nextTo"/>
        <c:crossAx val="1798635888"/>
        <c:crosses val="autoZero"/>
        <c:auto val="0"/>
        <c:lblAlgn val="ctr"/>
        <c:lblOffset val="100"/>
        <c:noMultiLvlLbl val="0"/>
      </c:catAx>
      <c:spPr>
        <a:solidFill>
          <a:sysClr val="window" lastClr="FFFFFF"/>
        </a:solidFill>
      </c:spPr>
    </c:plotArea>
    <c:legend>
      <c:legendPos val="b"/>
      <c:layout>
        <c:manualLayout>
          <c:xMode val="edge"/>
          <c:yMode val="edge"/>
          <c:x val="0.1852472910159973"/>
          <c:y val="0.90908113446894179"/>
          <c:w val="0.61611846940185111"/>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33889999501357E-2"/>
          <c:y val="6.3476908690406994E-2"/>
          <c:w val="0.88960257230972706"/>
          <c:h val="0.67677528212199278"/>
        </c:manualLayout>
      </c:layout>
      <c:barChart>
        <c:barDir val="col"/>
        <c:grouping val="clustered"/>
        <c:varyColors val="0"/>
        <c:ser>
          <c:idx val="0"/>
          <c:order val="0"/>
          <c:tx>
            <c:strRef>
              <c:f>'Shpenzimet 2022'!$C$26</c:f>
              <c:strCache>
                <c:ptCount val="1"/>
                <c:pt idx="0">
                  <c:v> 5 mujori 2022</c:v>
                </c:pt>
              </c:strCache>
            </c:strRef>
          </c:tx>
          <c:spPr>
            <a:solidFill>
              <a:srgbClr val="00B0F0"/>
            </a:solidFill>
          </c:spPr>
          <c:invertIfNegative val="0"/>
          <c:dLbls>
            <c:spPr>
              <a:noFill/>
              <a:ln>
                <a:noFill/>
              </a:ln>
              <a:effectLst/>
            </c:spPr>
            <c:txPr>
              <a:bodyPr wrap="square" lIns="38100" tIns="19050" rIns="38100" bIns="19050" anchor="ctr">
                <a:spAutoFit/>
              </a:bodyPr>
              <a:lstStyle/>
              <a:p>
                <a:pPr>
                  <a:defRPr b="1"/>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2022'!$D$25:$I$25</c:f>
              <c:strCache>
                <c:ptCount val="6"/>
                <c:pt idx="0">
                  <c:v>Paga</c:v>
                </c:pt>
                <c:pt idx="1">
                  <c:v>Sigurime</c:v>
                </c:pt>
                <c:pt idx="2">
                  <c:v>Operative</c:v>
                </c:pt>
                <c:pt idx="3">
                  <c:v>Subvencione</c:v>
                </c:pt>
                <c:pt idx="4">
                  <c:v>Te tjera</c:v>
                </c:pt>
                <c:pt idx="5">
                  <c:v>Shpenzime Kapitale</c:v>
                </c:pt>
              </c:strCache>
            </c:strRef>
          </c:cat>
          <c:val>
            <c:numRef>
              <c:f>'Shpenzimet 2022'!$D$26:$I$26</c:f>
              <c:numCache>
                <c:formatCode>#,##0</c:formatCode>
                <c:ptCount val="6"/>
                <c:pt idx="0">
                  <c:v>8660.697236</c:v>
                </c:pt>
                <c:pt idx="1">
                  <c:v>1447.0272239999999</c:v>
                </c:pt>
                <c:pt idx="2">
                  <c:v>5886.0764429999999</c:v>
                </c:pt>
                <c:pt idx="3">
                  <c:v>70.707858000000002</c:v>
                </c:pt>
                <c:pt idx="4">
                  <c:v>1665.982</c:v>
                </c:pt>
                <c:pt idx="5">
                  <c:v>6748.5</c:v>
                </c:pt>
              </c:numCache>
            </c:numRef>
          </c:val>
          <c:extLst>
            <c:ext xmlns:c16="http://schemas.microsoft.com/office/drawing/2014/chart" uri="{C3380CC4-5D6E-409C-BE32-E72D297353CC}">
              <c16:uniqueId val="{00000000-4609-4333-A4BC-EF9797250BF1}"/>
            </c:ext>
          </c:extLst>
        </c:ser>
        <c:ser>
          <c:idx val="1"/>
          <c:order val="1"/>
          <c:tx>
            <c:strRef>
              <c:f>'Shpenzimet 2022'!$C$27</c:f>
              <c:strCache>
                <c:ptCount val="1"/>
                <c:pt idx="0">
                  <c:v> 5 mujori 2021</c:v>
                </c:pt>
              </c:strCache>
            </c:strRef>
          </c:tx>
          <c:spPr>
            <a:solidFill>
              <a:schemeClr val="accent6">
                <a:lumMod val="75000"/>
              </a:schemeClr>
            </a:solidFill>
          </c:spPr>
          <c:invertIfNegative val="0"/>
          <c:dLbls>
            <c:spPr>
              <a:noFill/>
              <a:ln>
                <a:noFill/>
              </a:ln>
              <a:effectLst/>
            </c:spPr>
            <c:txPr>
              <a:bodyPr wrap="square" lIns="38100" tIns="19050" rIns="38100" bIns="19050" anchor="ctr">
                <a:spAutoFit/>
              </a:bodyPr>
              <a:lstStyle/>
              <a:p>
                <a:pPr>
                  <a:defRPr b="1"/>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2022'!$D$25:$I$25</c:f>
              <c:strCache>
                <c:ptCount val="6"/>
                <c:pt idx="0">
                  <c:v>Paga</c:v>
                </c:pt>
                <c:pt idx="1">
                  <c:v>Sigurime</c:v>
                </c:pt>
                <c:pt idx="2">
                  <c:v>Operative</c:v>
                </c:pt>
                <c:pt idx="3">
                  <c:v>Subvencione</c:v>
                </c:pt>
                <c:pt idx="4">
                  <c:v>Te tjera</c:v>
                </c:pt>
                <c:pt idx="5">
                  <c:v>Shpenzime Kapitale</c:v>
                </c:pt>
              </c:strCache>
            </c:strRef>
          </c:cat>
          <c:val>
            <c:numRef>
              <c:f>'Shpenzimet 2022'!$D$27:$I$27</c:f>
              <c:numCache>
                <c:formatCode>#,##0</c:formatCode>
                <c:ptCount val="6"/>
                <c:pt idx="0">
                  <c:v>8466</c:v>
                </c:pt>
                <c:pt idx="1">
                  <c:v>1406</c:v>
                </c:pt>
                <c:pt idx="2">
                  <c:v>5257</c:v>
                </c:pt>
                <c:pt idx="3">
                  <c:v>58</c:v>
                </c:pt>
                <c:pt idx="4">
                  <c:v>572</c:v>
                </c:pt>
                <c:pt idx="5">
                  <c:v>4050</c:v>
                </c:pt>
              </c:numCache>
            </c:numRef>
          </c:val>
          <c:extLst>
            <c:ext xmlns:c16="http://schemas.microsoft.com/office/drawing/2014/chart" uri="{C3380CC4-5D6E-409C-BE32-E72D297353CC}">
              <c16:uniqueId val="{00000001-4609-4333-A4BC-EF9797250BF1}"/>
            </c:ext>
          </c:extLst>
        </c:ser>
        <c:dLbls>
          <c:showLegendKey val="0"/>
          <c:showVal val="0"/>
          <c:showCatName val="0"/>
          <c:showSerName val="0"/>
          <c:showPercent val="0"/>
          <c:showBubbleSize val="0"/>
        </c:dLbls>
        <c:gapWidth val="48"/>
        <c:overlap val="-3"/>
        <c:axId val="1798628816"/>
        <c:axId val="1798629904"/>
      </c:barChart>
      <c:catAx>
        <c:axId val="1798628816"/>
        <c:scaling>
          <c:orientation val="minMax"/>
        </c:scaling>
        <c:delete val="0"/>
        <c:axPos val="b"/>
        <c:numFmt formatCode="General" sourceLinked="0"/>
        <c:majorTickMark val="none"/>
        <c:minorTickMark val="none"/>
        <c:tickLblPos val="nextTo"/>
        <c:txPr>
          <a:bodyPr/>
          <a:lstStyle/>
          <a:p>
            <a:pPr>
              <a:defRPr b="1"/>
            </a:pPr>
            <a:endParaRPr lang="en-US"/>
          </a:p>
        </c:txPr>
        <c:crossAx val="1798629904"/>
        <c:crosses val="autoZero"/>
        <c:auto val="1"/>
        <c:lblAlgn val="ctr"/>
        <c:lblOffset val="100"/>
        <c:noMultiLvlLbl val="0"/>
      </c:catAx>
      <c:valAx>
        <c:axId val="1798629904"/>
        <c:scaling>
          <c:orientation val="minMax"/>
        </c:scaling>
        <c:delete val="0"/>
        <c:axPos val="l"/>
        <c:majorGridlines>
          <c:spPr>
            <a:ln>
              <a:noFill/>
            </a:ln>
          </c:spPr>
        </c:majorGridlines>
        <c:title>
          <c:tx>
            <c:rich>
              <a:bodyPr rot="-5400000" vert="horz"/>
              <a:lstStyle/>
              <a:p>
                <a:pPr>
                  <a:defRPr/>
                </a:pPr>
                <a:r>
                  <a:rPr lang="sq-AL"/>
                  <a:t>Në milion lek</a:t>
                </a:r>
                <a:r>
                  <a:rPr lang="en-US"/>
                  <a:t>ë</a:t>
                </a:r>
                <a:endParaRPr lang="sq-AL"/>
              </a:p>
            </c:rich>
          </c:tx>
          <c:layout>
            <c:manualLayout>
              <c:xMode val="edge"/>
              <c:yMode val="edge"/>
              <c:x val="1.1500227037165647E-3"/>
              <c:y val="3.1090995692765605E-2"/>
            </c:manualLayout>
          </c:layout>
          <c:overlay val="0"/>
        </c:title>
        <c:numFmt formatCode="#,##0" sourceLinked="1"/>
        <c:majorTickMark val="none"/>
        <c:minorTickMark val="none"/>
        <c:tickLblPos val="nextTo"/>
        <c:crossAx val="1798628816"/>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1371524140877739"/>
          <c:y val="0.90580784731751463"/>
          <c:w val="0.67559120226250791"/>
          <c:h val="6.1204267963538832E-2"/>
        </c:manualLayout>
      </c:layout>
      <c:overlay val="0"/>
      <c:txPr>
        <a:bodyPr/>
        <a:lstStyle/>
        <a:p>
          <a:pPr>
            <a:defRPr sz="900" b="1"/>
          </a:pPr>
          <a:endParaRPr lang="en-US"/>
        </a:p>
      </c:txPr>
    </c:legend>
    <c:plotVisOnly val="1"/>
    <c:dispBlanksAs val="gap"/>
    <c:showDLblsOverMax val="0"/>
  </c:chart>
  <c:txPr>
    <a:bodyPr/>
    <a:lstStyle/>
    <a:p>
      <a:pPr>
        <a:defRPr sz="8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19170135580185"/>
          <c:y val="0.11178861788617886"/>
          <c:w val="0.7986109300031764"/>
          <c:h val="0.49917498879713207"/>
        </c:manualLayout>
      </c:layout>
      <c:barChart>
        <c:barDir val="bar"/>
        <c:grouping val="clustered"/>
        <c:varyColors val="0"/>
        <c:ser>
          <c:idx val="0"/>
          <c:order val="0"/>
          <c:tx>
            <c:strRef>
              <c:f>Sheet1!$C$66</c:f>
              <c:strCache>
                <c:ptCount val="1"/>
                <c:pt idx="0">
                  <c:v>2021</c:v>
                </c:pt>
              </c:strCache>
            </c:strRef>
          </c:tx>
          <c:spPr>
            <a:solidFill>
              <a:srgbClr val="C0504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142</c:v>
                </c:pt>
                <c:pt idx="1">
                  <c:v>225</c:v>
                </c:pt>
              </c:numCache>
            </c:numRef>
          </c:val>
          <c:extLst>
            <c:ext xmlns:c16="http://schemas.microsoft.com/office/drawing/2014/chart" uri="{C3380CC4-5D6E-409C-BE32-E72D297353CC}">
              <c16:uniqueId val="{00000000-DF86-42B4-9E89-ABA35E77FB13}"/>
            </c:ext>
          </c:extLst>
        </c:ser>
        <c:ser>
          <c:idx val="1"/>
          <c:order val="1"/>
          <c:tx>
            <c:strRef>
              <c:f>Sheet1!$D$66</c:f>
              <c:strCache>
                <c:ptCount val="1"/>
                <c:pt idx="0">
                  <c:v>2022</c:v>
                </c:pt>
              </c:strCache>
            </c:strRef>
          </c:tx>
          <c:spPr>
            <a:solidFill>
              <a:srgbClr val="00B0F0"/>
            </a:solidFill>
            <a:ln>
              <a:noFill/>
            </a:ln>
            <a:effectLst/>
          </c:spPr>
          <c:invertIfNegative val="0"/>
          <c:dLbls>
            <c:dLbl>
              <c:idx val="1"/>
              <c:layout>
                <c:manualLayout>
                  <c:x val="-4.24628450106157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AD-4257-97E7-7CA3A66767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217</c:v>
                </c:pt>
                <c:pt idx="1">
                  <c:v>284</c:v>
                </c:pt>
              </c:numCache>
            </c:numRef>
          </c:val>
          <c:extLst>
            <c:ext xmlns:c16="http://schemas.microsoft.com/office/drawing/2014/chart" uri="{C3380CC4-5D6E-409C-BE32-E72D297353CC}">
              <c16:uniqueId val="{00000001-DF86-42B4-9E89-ABA35E77FB13}"/>
            </c:ext>
          </c:extLst>
        </c:ser>
        <c:dLbls>
          <c:showLegendKey val="0"/>
          <c:showVal val="0"/>
          <c:showCatName val="0"/>
          <c:showSerName val="0"/>
          <c:showPercent val="0"/>
          <c:showBubbleSize val="0"/>
        </c:dLbls>
        <c:gapWidth val="182"/>
        <c:axId val="1548327536"/>
        <c:axId val="1548324272"/>
      </c:barChart>
      <c:catAx>
        <c:axId val="1548327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48324272"/>
        <c:crosses val="autoZero"/>
        <c:auto val="1"/>
        <c:lblAlgn val="ctr"/>
        <c:lblOffset val="100"/>
        <c:noMultiLvlLbl val="0"/>
      </c:catAx>
      <c:valAx>
        <c:axId val="1548324272"/>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48327536"/>
        <c:crosses val="autoZero"/>
        <c:crossBetween val="between"/>
      </c:valAx>
      <c:spPr>
        <a:noFill/>
        <a:ln>
          <a:noFill/>
        </a:ln>
        <a:effectLst/>
      </c:spPr>
    </c:plotArea>
    <c:legend>
      <c:legendPos val="b"/>
      <c:layout>
        <c:manualLayout>
          <c:xMode val="edge"/>
          <c:yMode val="edge"/>
          <c:x val="0.32055753381145824"/>
          <c:y val="0.83683663017732535"/>
          <c:w val="0.31429877793938177"/>
          <c:h val="0.12251296331860956"/>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20552350078775"/>
          <c:y val="4.8198956119078276E-2"/>
          <c:w val="0.8277518489891843"/>
          <c:h val="0.68220674051589925"/>
        </c:manualLayout>
      </c:layout>
      <c:barChart>
        <c:barDir val="col"/>
        <c:grouping val="clustered"/>
        <c:varyColors val="0"/>
        <c:ser>
          <c:idx val="0"/>
          <c:order val="0"/>
          <c:tx>
            <c:strRef>
              <c:f>'Stoku i Borxhit'!$A$26</c:f>
              <c:strCache>
                <c:ptCount val="1"/>
                <c:pt idx="0">
                  <c:v>Borxhi Shtetëror</c:v>
                </c:pt>
              </c:strCache>
            </c:strRef>
          </c:tx>
          <c:spPr>
            <a:solidFill>
              <a:srgbClr val="00B0F0"/>
            </a:solidFill>
            <a:ln>
              <a:noFill/>
            </a:ln>
            <a:effectLst/>
          </c:spPr>
          <c:invertIfNegative val="0"/>
          <c:dLbls>
            <c:dLbl>
              <c:idx val="0"/>
              <c:layout>
                <c:manualLayout>
                  <c:x val="-3.5650623885918001E-3"/>
                  <c:y val="0.40584174126523159"/>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1-FDF3-4C4B-9F95-E56CF7F22321}"/>
                </c:ext>
              </c:extLst>
            </c:dLbl>
            <c:dLbl>
              <c:idx val="1"/>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F3-4C4B-9F95-E56CF7F22321}"/>
                </c:ext>
              </c:extLst>
            </c:dLbl>
            <c:dLbl>
              <c:idx val="2"/>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F3-4C4B-9F95-E56CF7F22321}"/>
                </c:ext>
              </c:extLst>
            </c:dLbl>
            <c:dLbl>
              <c:idx val="3"/>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F3-4C4B-9F95-E56CF7F22321}"/>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Borxhit'!$B$25:$H$25</c15:sqref>
                  </c15:fullRef>
                </c:ext>
              </c:extLst>
              <c:f>'Stoku i Borxhit'!$C$25:$H$25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'Stoku i Borxhit'!$B$26:$H$26</c15:sqref>
                  </c15:fullRef>
                </c:ext>
              </c:extLst>
              <c:f>'Stoku i Borxhit'!$C$26:$H$26</c:f>
              <c:numCache>
                <c:formatCode>_(* #,##0.0_);_(* \(#,##0.0\);_(* "-"??_);_(@_)</c:formatCode>
                <c:ptCount val="6"/>
                <c:pt idx="0">
                  <c:v>1037.4566964684852</c:v>
                </c:pt>
                <c:pt idx="1">
                  <c:v>1061.8967513634955</c:v>
                </c:pt>
                <c:pt idx="2">
                  <c:v>1070.1914054458098</c:v>
                </c:pt>
                <c:pt idx="3">
                  <c:v>1175.225527028218</c:v>
                </c:pt>
                <c:pt idx="4">
                  <c:v>1327.764990697297</c:v>
                </c:pt>
                <c:pt idx="5">
                  <c:v>1340.5258102611765</c:v>
                </c:pt>
              </c:numCache>
            </c:numRef>
          </c:val>
          <c:extLst>
            <c:ext xmlns:c16="http://schemas.microsoft.com/office/drawing/2014/chart" uri="{C3380CC4-5D6E-409C-BE32-E72D297353CC}">
              <c16:uniqueId val="{00000005-FDF3-4C4B-9F95-E56CF7F22321}"/>
            </c:ext>
          </c:extLst>
        </c:ser>
        <c:ser>
          <c:idx val="1"/>
          <c:order val="1"/>
          <c:tx>
            <c:strRef>
              <c:f>'Stoku i Borxhit'!$A$27</c:f>
              <c:strCache>
                <c:ptCount val="1"/>
                <c:pt idx="0">
                  <c:v>Borxhi i Garantuar</c:v>
                </c:pt>
              </c:strCache>
            </c:strRef>
          </c:tx>
          <c:spPr>
            <a:solidFill>
              <a:srgbClr val="C0000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Borxhit'!$B$25:$H$25</c15:sqref>
                  </c15:fullRef>
                </c:ext>
              </c:extLst>
              <c:f>'Stoku i Borxhit'!$C$25:$H$25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'Stoku i Borxhit'!$B$27:$H$27</c15:sqref>
                  </c15:fullRef>
                </c:ext>
              </c:extLst>
              <c:f>'Stoku i Borxhit'!$C$27:$H$27</c:f>
              <c:numCache>
                <c:formatCode>_(* #,##0.0_);_(* \(#,##0.0\);_(* "-"??_);_(@_)</c:formatCode>
                <c:ptCount val="6"/>
                <c:pt idx="0">
                  <c:v>49.885175518906451</c:v>
                </c:pt>
                <c:pt idx="1">
                  <c:v>44.672074609123086</c:v>
                </c:pt>
                <c:pt idx="2">
                  <c:v>41.852794389665405</c:v>
                </c:pt>
                <c:pt idx="3">
                  <c:v>48.812704815169255</c:v>
                </c:pt>
                <c:pt idx="4">
                  <c:v>54.896090187555956</c:v>
                </c:pt>
                <c:pt idx="5">
                  <c:v>58.384509143174867</c:v>
                </c:pt>
              </c:numCache>
            </c:numRef>
          </c:val>
          <c:extLst>
            <c:ext xmlns:c16="http://schemas.microsoft.com/office/drawing/2014/chart" uri="{C3380CC4-5D6E-409C-BE32-E72D297353CC}">
              <c16:uniqueId val="{00000006-FDF3-4C4B-9F95-E56CF7F22321}"/>
            </c:ext>
          </c:extLst>
        </c:ser>
        <c:ser>
          <c:idx val="2"/>
          <c:order val="2"/>
          <c:tx>
            <c:strRef>
              <c:f>'Stoku i Borxhit'!$A$28</c:f>
              <c:strCache>
                <c:ptCount val="1"/>
                <c:pt idx="0">
                  <c:v>Borxhi i Pushtetit Lokal</c:v>
                </c:pt>
              </c:strCache>
            </c:strRef>
          </c:tx>
          <c:spPr>
            <a:solidFill>
              <a:srgbClr val="7030A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Borxhit'!$B$25:$H$25</c15:sqref>
                  </c15:fullRef>
                </c:ext>
              </c:extLst>
              <c:f>'Stoku i Borxhit'!$C$25:$H$25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'Stoku i Borxhit'!$B$28:$H$28</c15:sqref>
                  </c15:fullRef>
                </c:ext>
              </c:extLst>
              <c:f>'Stoku i Borxhit'!$C$28:$H$28</c:f>
              <c:numCache>
                <c:formatCode>_(* #,##0.0_);_(* \(#,##0.0\);_(* "-"??_);_(@_)</c:formatCode>
                <c:ptCount val="6"/>
                <c:pt idx="0">
                  <c:v>0.82699999999999996</c:v>
                </c:pt>
                <c:pt idx="1">
                  <c:v>0.71568031431814005</c:v>
                </c:pt>
                <c:pt idx="2">
                  <c:v>0.58154912913567702</c:v>
                </c:pt>
                <c:pt idx="3">
                  <c:v>0.43212510779567692</c:v>
                </c:pt>
                <c:pt idx="4">
                  <c:v>0.31487680477723468</c:v>
                </c:pt>
                <c:pt idx="5">
                  <c:v>0.28664853465723472</c:v>
                </c:pt>
              </c:numCache>
            </c:numRef>
          </c:val>
          <c:extLst>
            <c:ext xmlns:c16="http://schemas.microsoft.com/office/drawing/2014/chart" uri="{C3380CC4-5D6E-409C-BE32-E72D297353CC}">
              <c16:uniqueId val="{00000007-FDF3-4C4B-9F95-E56CF7F22321}"/>
            </c:ext>
          </c:extLst>
        </c:ser>
        <c:dLbls>
          <c:showLegendKey val="0"/>
          <c:showVal val="0"/>
          <c:showCatName val="0"/>
          <c:showSerName val="0"/>
          <c:showPercent val="0"/>
          <c:showBubbleSize val="0"/>
        </c:dLbls>
        <c:gapWidth val="148"/>
        <c:axId val="1765790112"/>
        <c:axId val="1765787392"/>
      </c:barChart>
      <c:lineChart>
        <c:grouping val="standard"/>
        <c:varyColors val="0"/>
        <c:ser>
          <c:idx val="3"/>
          <c:order val="3"/>
          <c:tx>
            <c:strRef>
              <c:f>'Stoku i Borxhit'!$A$29</c:f>
              <c:strCache>
                <c:ptCount val="1"/>
                <c:pt idx="0">
                  <c:v>Borxhi Publik/PBB</c:v>
                </c:pt>
              </c:strCache>
            </c:strRef>
          </c:tx>
          <c:spPr>
            <a:ln w="22225" cap="rnd">
              <a:solidFill>
                <a:srgbClr val="FF0000"/>
              </a:solidFill>
              <a:round/>
            </a:ln>
            <a:effectLst/>
          </c:spPr>
          <c:marker>
            <c:symbol val="diamond"/>
            <c:size val="5"/>
            <c:spPr>
              <a:solidFill>
                <a:schemeClr val="bg1">
                  <a:lumMod val="50000"/>
                </a:schemeClr>
              </a:solidFill>
              <a:ln w="9525">
                <a:solidFill>
                  <a:srgbClr val="FF0000"/>
                </a:solidFill>
              </a:ln>
              <a:effectLst/>
            </c:spPr>
          </c:marker>
          <c:dLbls>
            <c:dLbl>
              <c:idx val="0"/>
              <c:layout>
                <c:manualLayout>
                  <c:x val="-2.532443471304055E-2"/>
                  <c:y val="-5.132620779816973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9-FDF3-4C4B-9F95-E56CF7F22321}"/>
                </c:ext>
              </c:extLst>
            </c:dLbl>
            <c:dLbl>
              <c:idx val="1"/>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DF3-4C4B-9F95-E56CF7F22321}"/>
                </c:ext>
              </c:extLst>
            </c:dLbl>
            <c:dLbl>
              <c:idx val="2"/>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DF3-4C4B-9F95-E56CF7F22321}"/>
                </c:ext>
              </c:extLst>
            </c:dLbl>
            <c:dLbl>
              <c:idx val="3"/>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DF3-4C4B-9F95-E56CF7F22321}"/>
                </c:ext>
              </c:extLst>
            </c:dLbl>
            <c:dLbl>
              <c:idx val="4"/>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D5-4D92-89D3-5CB906DC95A6}"/>
                </c:ext>
              </c:extLst>
            </c:dLbl>
            <c:dLbl>
              <c:idx val="5"/>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D5-4D92-89D3-5CB906DC95A6}"/>
                </c:ext>
              </c:extLst>
            </c:dLbl>
            <c:dLbl>
              <c:idx val="139"/>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DF3-4C4B-9F95-E56CF7F22321}"/>
                </c:ext>
              </c:extLst>
            </c:dLbl>
            <c:dLbl>
              <c:idx val="141"/>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DF3-4C4B-9F95-E56CF7F2232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extLst>
                <c:ext xmlns:c15="http://schemas.microsoft.com/office/drawing/2012/chart" uri="{02D57815-91ED-43cb-92C2-25804820EDAC}">
                  <c15:fullRef>
                    <c15:sqref>'Stoku i Borxhit'!$B$25:$H$25</c15:sqref>
                  </c15:fullRef>
                </c:ext>
              </c:extLst>
              <c:f>'Stoku i Borxhit'!$C$25:$H$25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'Stoku i Borxhit'!$B$29:$H$29</c15:sqref>
                  </c15:fullRef>
                </c:ext>
              </c:extLst>
              <c:f>'Stoku i Borxhit'!$C$29:$H$29</c:f>
              <c:numCache>
                <c:formatCode>0.0%</c:formatCode>
                <c:ptCount val="6"/>
                <c:pt idx="0">
                  <c:v>0.70175219223537144</c:v>
                </c:pt>
                <c:pt idx="1">
                  <c:v>0.67652256110243891</c:v>
                </c:pt>
                <c:pt idx="2">
                  <c:v>0.65761793020321535</c:v>
                </c:pt>
                <c:pt idx="3">
                  <c:v>0.74477676954983441</c:v>
                </c:pt>
                <c:pt idx="4">
                  <c:v>0.73162492206955054</c:v>
                </c:pt>
                <c:pt idx="5">
                  <c:v>0.69568075778205463</c:v>
                </c:pt>
              </c:numCache>
            </c:numRef>
          </c:val>
          <c:smooth val="1"/>
          <c:extLst>
            <c:ext xmlns:c16="http://schemas.microsoft.com/office/drawing/2014/chart" uri="{C3380CC4-5D6E-409C-BE32-E72D297353CC}">
              <c16:uniqueId val="{0000000F-FDF3-4C4B-9F95-E56CF7F22321}"/>
            </c:ext>
          </c:extLst>
        </c:ser>
        <c:dLbls>
          <c:showLegendKey val="0"/>
          <c:showVal val="0"/>
          <c:showCatName val="0"/>
          <c:showSerName val="0"/>
          <c:showPercent val="0"/>
          <c:showBubbleSize val="0"/>
        </c:dLbls>
        <c:marker val="1"/>
        <c:smooth val="0"/>
        <c:axId val="1765784672"/>
        <c:axId val="1765785216"/>
      </c:lineChart>
      <c:catAx>
        <c:axId val="17657901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765787392"/>
        <c:crosses val="autoZero"/>
        <c:auto val="1"/>
        <c:lblAlgn val="ctr"/>
        <c:lblOffset val="100"/>
        <c:noMultiLvlLbl val="0"/>
      </c:catAx>
      <c:valAx>
        <c:axId val="1765787392"/>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4580415442271117E-2"/>
              <c:y val="0.2168791050056251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65790112"/>
        <c:crosses val="autoZero"/>
        <c:crossBetween val="between"/>
        <c:majorUnit val="400"/>
      </c:valAx>
      <c:valAx>
        <c:axId val="1765785216"/>
        <c:scaling>
          <c:orientation val="minMax"/>
          <c:max val="0.8"/>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65784672"/>
        <c:crosses val="max"/>
        <c:crossBetween val="between"/>
        <c:majorUnit val="0.1"/>
      </c:valAx>
      <c:catAx>
        <c:axId val="1765784672"/>
        <c:scaling>
          <c:orientation val="minMax"/>
        </c:scaling>
        <c:delete val="1"/>
        <c:axPos val="b"/>
        <c:numFmt formatCode="General" sourceLinked="1"/>
        <c:majorTickMark val="none"/>
        <c:minorTickMark val="none"/>
        <c:tickLblPos val="nextTo"/>
        <c:crossAx val="1765785216"/>
        <c:crosses val="autoZero"/>
        <c:auto val="1"/>
        <c:lblAlgn val="ctr"/>
        <c:lblOffset val="100"/>
        <c:noMultiLvlLbl val="0"/>
      </c:catAx>
      <c:spPr>
        <a:noFill/>
        <a:ln>
          <a:noFill/>
        </a:ln>
        <a:effectLst/>
      </c:spPr>
    </c:plotArea>
    <c:legend>
      <c:legendPos val="b"/>
      <c:layout>
        <c:manualLayout>
          <c:xMode val="edge"/>
          <c:yMode val="edge"/>
          <c:x val="8.4927786433112953E-2"/>
          <c:y val="0.92057604641525059"/>
          <c:w val="0.87502990278707826"/>
          <c:h val="6.4214670534604223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5085449527812234"/>
        </c:manualLayout>
      </c:layout>
      <c:barChart>
        <c:barDir val="col"/>
        <c:grouping val="clustered"/>
        <c:varyColors val="0"/>
        <c:ser>
          <c:idx val="0"/>
          <c:order val="0"/>
          <c:tx>
            <c:strRef>
              <c:f>'Kompozimi '!$A$15</c:f>
              <c:strCache>
                <c:ptCount val="1"/>
                <c:pt idx="0">
                  <c:v>Instrumente të tregtueshme</c:v>
                </c:pt>
              </c:strCache>
            </c:strRef>
          </c:tx>
          <c:spPr>
            <a:solidFill>
              <a:srgbClr val="00B0F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'!$B$14:$H$14</c15:sqref>
                  </c15:fullRef>
                </c:ext>
              </c:extLst>
              <c:f>'Kompozimi '!$C$14:$H$14</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'!$B$15:$H$15</c15:sqref>
                  </c15:fullRef>
                </c:ext>
              </c:extLst>
              <c:f>'Kompozimi '!$C$15:$H$15</c:f>
              <c:numCache>
                <c:formatCode>0.0%</c:formatCode>
                <c:ptCount val="6"/>
                <c:pt idx="0">
                  <c:v>0.55760301840782067</c:v>
                </c:pt>
                <c:pt idx="1">
                  <c:v>0.59393725096082528</c:v>
                </c:pt>
                <c:pt idx="2">
                  <c:v>0.60529165257516837</c:v>
                </c:pt>
                <c:pt idx="3">
                  <c:v>0.63133104435117737</c:v>
                </c:pt>
                <c:pt idx="4">
                  <c:v>0.64805818069590904</c:v>
                </c:pt>
                <c:pt idx="5">
                  <c:v>0.64542255421397943</c:v>
                </c:pt>
              </c:numCache>
            </c:numRef>
          </c:val>
          <c:extLst>
            <c:ext xmlns:c16="http://schemas.microsoft.com/office/drawing/2014/chart" uri="{C3380CC4-5D6E-409C-BE32-E72D297353CC}">
              <c16:uniqueId val="{00000000-FCF0-4C62-87B5-6EDA0D3CB8A5}"/>
            </c:ext>
          </c:extLst>
        </c:ser>
        <c:ser>
          <c:idx val="1"/>
          <c:order val="1"/>
          <c:tx>
            <c:strRef>
              <c:f>'Kompozimi '!$A$16</c:f>
              <c:strCache>
                <c:ptCount val="1"/>
                <c:pt idx="0">
                  <c:v>Hua për financim projektesh</c:v>
                </c:pt>
              </c:strCache>
            </c:strRef>
          </c:tx>
          <c:spPr>
            <a:solidFill>
              <a:srgbClr val="F79646">
                <a:lumMod val="75000"/>
              </a:srgbClr>
            </a:solidFill>
            <a:ln>
              <a:noFill/>
            </a:ln>
            <a:effectLst/>
          </c:spPr>
          <c:invertIfNegative val="0"/>
          <c:dPt>
            <c:idx val="1"/>
            <c:invertIfNegative val="0"/>
            <c:bubble3D val="0"/>
            <c:spPr>
              <a:solidFill>
                <a:srgbClr val="92D050"/>
              </a:solidFill>
              <a:ln>
                <a:noFill/>
              </a:ln>
              <a:effectLst/>
            </c:spPr>
            <c:extLst>
              <c:ext xmlns:c16="http://schemas.microsoft.com/office/drawing/2014/chart" uri="{C3380CC4-5D6E-409C-BE32-E72D297353CC}">
                <c16:uniqueId val="{00000003-FCF0-4C62-87B5-6EDA0D3CB8A5}"/>
              </c:ext>
            </c:extLst>
          </c:dPt>
          <c:dLbls>
            <c:dLbl>
              <c:idx val="0"/>
              <c:layout>
                <c:manualLayout>
                  <c:x val="-3.2074836799252516E-4"/>
                  <c:y val="1.6096656437586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F0-4C62-87B5-6EDA0D3CB8A5}"/>
                </c:ext>
              </c:extLst>
            </c:dLbl>
            <c:dLbl>
              <c:idx val="1"/>
              <c:layout>
                <c:manualLayout>
                  <c:x val="8.0838500765100104E-4"/>
                  <c:y val="1.6096656437586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CF0-4C62-87B5-6EDA0D3CB8A5}"/>
                </c:ext>
              </c:extLst>
            </c:dLbl>
            <c:dLbl>
              <c:idx val="2"/>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CF0-4C62-87B5-6EDA0D3CB8A5}"/>
                </c:ext>
              </c:extLst>
            </c:dLbl>
            <c:dLbl>
              <c:idx val="3"/>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CF0-4C62-87B5-6EDA0D3CB8A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7030A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'!$B$14:$H$14</c15:sqref>
                  </c15:fullRef>
                </c:ext>
              </c:extLst>
              <c:f>'Kompozimi '!$C$14:$H$14</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'!$B$16:$H$16</c15:sqref>
                  </c15:fullRef>
                </c:ext>
              </c:extLst>
              <c:f>'Kompozimi '!$C$16:$H$16</c:f>
              <c:numCache>
                <c:formatCode>0.0%</c:formatCode>
                <c:ptCount val="6"/>
                <c:pt idx="0">
                  <c:v>0.25970345935183531</c:v>
                </c:pt>
                <c:pt idx="1">
                  <c:v>0.24189824286216288</c:v>
                </c:pt>
                <c:pt idx="2">
                  <c:v>0.23866667740425257</c:v>
                </c:pt>
                <c:pt idx="3">
                  <c:v>0.20956487629772294</c:v>
                </c:pt>
                <c:pt idx="4">
                  <c:v>0.18397735759943135</c:v>
                </c:pt>
                <c:pt idx="5">
                  <c:v>0.18355419685974869</c:v>
                </c:pt>
              </c:numCache>
            </c:numRef>
          </c:val>
          <c:extLst>
            <c:ext xmlns:c16="http://schemas.microsoft.com/office/drawing/2014/chart" uri="{C3380CC4-5D6E-409C-BE32-E72D297353CC}">
              <c16:uniqueId val="{00000006-FCF0-4C62-87B5-6EDA0D3CB8A5}"/>
            </c:ext>
          </c:extLst>
        </c:ser>
        <c:ser>
          <c:idx val="2"/>
          <c:order val="2"/>
          <c:tx>
            <c:strRef>
              <c:f>'Kompozimi '!$A$17</c:f>
              <c:strCache>
                <c:ptCount val="1"/>
                <c:pt idx="0">
                  <c:v>Mbështetje Buxhetore</c:v>
                </c:pt>
              </c:strCache>
            </c:strRef>
          </c:tx>
          <c:spPr>
            <a:solidFill>
              <a:srgbClr val="C00000"/>
            </a:solidFill>
            <a:ln>
              <a:noFill/>
            </a:ln>
            <a:effectLst/>
          </c:spPr>
          <c:invertIfNegative val="0"/>
          <c:dLbls>
            <c:dLbl>
              <c:idx val="0"/>
              <c:layout>
                <c:manualLayout>
                  <c:x val="-5.7932399884277411E-3"/>
                  <c:y val="-4.638359998810075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CF0-4C62-87B5-6EDA0D3CB8A5}"/>
                </c:ext>
              </c:extLst>
            </c:dLbl>
            <c:dLbl>
              <c:idx val="1"/>
              <c:layout>
                <c:manualLayout>
                  <c:x val="-3.7017285189949517E-3"/>
                  <c:y val="1.6096656437586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CF0-4C62-87B5-6EDA0D3CB8A5}"/>
                </c:ext>
              </c:extLst>
            </c:dLbl>
            <c:dLbl>
              <c:idx val="2"/>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CF0-4C62-87B5-6EDA0D3CB8A5}"/>
                </c:ext>
              </c:extLst>
            </c:dLbl>
            <c:dLbl>
              <c:idx val="3"/>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CF0-4C62-87B5-6EDA0D3CB8A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'!$B$14:$H$14</c15:sqref>
                  </c15:fullRef>
                </c:ext>
              </c:extLst>
              <c:f>'Kompozimi '!$C$14:$H$14</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'!$B$17:$H$17</c15:sqref>
                  </c15:fullRef>
                </c:ext>
              </c:extLst>
              <c:f>'Kompozimi '!$C$17:$H$17</c:f>
              <c:numCache>
                <c:formatCode>0.0%</c:formatCode>
                <c:ptCount val="6"/>
                <c:pt idx="0">
                  <c:v>0.13609030019366783</c:v>
                </c:pt>
                <c:pt idx="1">
                  <c:v>0.12317435935527354</c:v>
                </c:pt>
                <c:pt idx="2">
                  <c:v>0.11790275073876494</c:v>
                </c:pt>
                <c:pt idx="3">
                  <c:v>0.11888682981028301</c:v>
                </c:pt>
                <c:pt idx="4">
                  <c:v>0.12804260568494308</c:v>
                </c:pt>
                <c:pt idx="5">
                  <c:v>0.12908649844428835</c:v>
                </c:pt>
              </c:numCache>
            </c:numRef>
          </c:val>
          <c:extLst>
            <c:ext xmlns:c16="http://schemas.microsoft.com/office/drawing/2014/chart" uri="{C3380CC4-5D6E-409C-BE32-E72D297353CC}">
              <c16:uniqueId val="{0000000C-FCF0-4C62-87B5-6EDA0D3CB8A5}"/>
            </c:ext>
          </c:extLst>
        </c:ser>
        <c:ser>
          <c:idx val="3"/>
          <c:order val="3"/>
          <c:tx>
            <c:strRef>
              <c:f>'Kompozimi '!$A$18</c:f>
              <c:strCache>
                <c:ptCount val="1"/>
                <c:pt idx="0">
                  <c:v>Garanci</c:v>
                </c:pt>
              </c:strCache>
            </c:strRef>
          </c:tx>
          <c:spPr>
            <a:solidFill>
              <a:schemeClr val="bg1">
                <a:lumMod val="50000"/>
              </a:schemeClr>
            </a:solidFill>
            <a:ln>
              <a:noFill/>
            </a:ln>
            <a:effectLst/>
          </c:spPr>
          <c:invertIfNegative val="0"/>
          <c:dLbls>
            <c:dLbl>
              <c:idx val="0"/>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CF0-4C62-87B5-6EDA0D3CB8A5}"/>
                </c:ext>
              </c:extLst>
            </c:dLbl>
            <c:dLbl>
              <c:idx val="1"/>
              <c:layout>
                <c:manualLayout>
                  <c:x val="-2.251849992854479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CF0-4C62-87B5-6EDA0D3CB8A5}"/>
                </c:ext>
              </c:extLst>
            </c:dLbl>
            <c:dLbl>
              <c:idx val="2"/>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CF0-4C62-87B5-6EDA0D3CB8A5}"/>
                </c:ext>
              </c:extLst>
            </c:dLbl>
            <c:dLbl>
              <c:idx val="3"/>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CF0-4C62-87B5-6EDA0D3CB8A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'!$B$14:$H$14</c15:sqref>
                  </c15:fullRef>
                </c:ext>
              </c:extLst>
              <c:f>'Kompozimi '!$C$14:$H$14</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'!$B$18:$H$18</c15:sqref>
                  </c15:fullRef>
                </c:ext>
              </c:extLst>
              <c:f>'Kompozimi '!$C$18:$H$18</c:f>
              <c:numCache>
                <c:formatCode>0.0%</c:formatCode>
                <c:ptCount val="6"/>
                <c:pt idx="0">
                  <c:v>4.5843229712720264E-2</c:v>
                </c:pt>
                <c:pt idx="1">
                  <c:v>4.0343808592169413E-2</c:v>
                </c:pt>
                <c:pt idx="2">
                  <c:v>3.7616237570367694E-2</c:v>
                </c:pt>
                <c:pt idx="3">
                  <c:v>3.9864341767142569E-2</c:v>
                </c:pt>
                <c:pt idx="4">
                  <c:v>3.9694175412963016E-2</c:v>
                </c:pt>
                <c:pt idx="5">
                  <c:v>4.1731860915291262E-2</c:v>
                </c:pt>
              </c:numCache>
            </c:numRef>
          </c:val>
          <c:extLst>
            <c:ext xmlns:c16="http://schemas.microsoft.com/office/drawing/2014/chart" uri="{C3380CC4-5D6E-409C-BE32-E72D297353CC}">
              <c16:uniqueId val="{00000012-FCF0-4C62-87B5-6EDA0D3CB8A5}"/>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4.4004405522425306E-3"/>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CF0-4C62-87B5-6EDA0D3CB8A5}"/>
                </c:ext>
              </c:extLst>
            </c:dLbl>
            <c:dLbl>
              <c:idx val="1"/>
              <c:layout>
                <c:manualLayout>
                  <c:x val="2.9336270348283896E-3"/>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FCF0-4C62-87B5-6EDA0D3CB8A5}"/>
                </c:ext>
              </c:extLst>
            </c:dLbl>
            <c:dLbl>
              <c:idx val="2"/>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FCF0-4C62-87B5-6EDA0D3CB8A5}"/>
                </c:ext>
              </c:extLst>
            </c:dLbl>
            <c:dLbl>
              <c:idx val="3"/>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CF0-4C62-87B5-6EDA0D3CB8A5}"/>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6">
                        <a:lumMod val="7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'!$B$14:$H$14</c15:sqref>
                  </c15:fullRef>
                </c:ext>
              </c:extLst>
              <c:f>'Kompozimi '!$C$14:$H$14</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'!$B$19:$H$19</c15:sqref>
                  </c15:fullRef>
                </c:ext>
              </c:extLst>
              <c:f>'Kompozimi '!$C$19:$H$19</c:f>
              <c:numCache>
                <c:formatCode>0.0%</c:formatCode>
                <c:ptCount val="6"/>
                <c:pt idx="0">
                  <c:v>7.5999233395602464E-4</c:v>
                </c:pt>
                <c:pt idx="1">
                  <c:v>6.4633822956899542E-4</c:v>
                </c:pt>
                <c:pt idx="2">
                  <c:v>5.2268171144648288E-4</c:v>
                </c:pt>
                <c:pt idx="3">
                  <c:v>3.5290777367405458E-4</c:v>
                </c:pt>
                <c:pt idx="4">
                  <c:v>2.2768060675355949E-4</c:v>
                </c:pt>
                <c:pt idx="5">
                  <c:v>2.0488956669230071E-4</c:v>
                </c:pt>
              </c:numCache>
            </c:numRef>
          </c:val>
          <c:extLst>
            <c:ext xmlns:c16="http://schemas.microsoft.com/office/drawing/2014/chart" uri="{C3380CC4-5D6E-409C-BE32-E72D297353CC}">
              <c16:uniqueId val="{00000018-FCF0-4C62-87B5-6EDA0D3CB8A5}"/>
            </c:ext>
          </c:extLst>
        </c:ser>
        <c:dLbls>
          <c:showLegendKey val="0"/>
          <c:showVal val="0"/>
          <c:showCatName val="0"/>
          <c:showSerName val="0"/>
          <c:showPercent val="0"/>
          <c:showBubbleSize val="0"/>
        </c:dLbls>
        <c:gapWidth val="118"/>
        <c:axId val="1816247200"/>
        <c:axId val="1816234144"/>
      </c:barChart>
      <c:catAx>
        <c:axId val="18162472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16234144"/>
        <c:crosses val="autoZero"/>
        <c:auto val="1"/>
        <c:lblAlgn val="ctr"/>
        <c:lblOffset val="100"/>
        <c:noMultiLvlLbl val="0"/>
      </c:catAx>
      <c:valAx>
        <c:axId val="181623414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16247200"/>
        <c:crosses val="autoZero"/>
        <c:crossBetween val="between"/>
        <c:majorUnit val="0.2"/>
      </c:valAx>
      <c:spPr>
        <a:noFill/>
        <a:ln>
          <a:noFill/>
        </a:ln>
        <a:effectLst/>
      </c:spPr>
    </c:plotArea>
    <c:legend>
      <c:legendPos val="b"/>
      <c:layout>
        <c:manualLayout>
          <c:xMode val="edge"/>
          <c:yMode val="edge"/>
          <c:x val="6.5620403698152849E-2"/>
          <c:y val="0.85752993898270757"/>
          <c:w val="0.8889250825698638"/>
          <c:h val="0.1250262045218624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69365067085537857"/>
        </c:manualLayout>
      </c:layout>
      <c:barChart>
        <c:barDir val="col"/>
        <c:grouping val="stacked"/>
        <c:varyColors val="0"/>
        <c:ser>
          <c:idx val="0"/>
          <c:order val="0"/>
          <c:tx>
            <c:strRef>
              <c:f>'Kompozimi '!$A$46</c:f>
              <c:strCache>
                <c:ptCount val="1"/>
                <c:pt idx="0">
                  <c:v>Tituj Shtetërorë Vendas</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'!$B$45:$H$45</c15:sqref>
                  </c15:fullRef>
                </c:ext>
              </c:extLst>
              <c:f>'Kompozimi '!$C$45:$H$45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'!$B$46:$H$46</c15:sqref>
                  </c15:fullRef>
                </c:ext>
              </c:extLst>
              <c:f>'Kompozimi '!$C$46:$H$46</c:f>
              <c:numCache>
                <c:formatCode>0.0%</c:formatCode>
                <c:ptCount val="6"/>
                <c:pt idx="0">
                  <c:v>0.52719188125054073</c:v>
                </c:pt>
                <c:pt idx="1">
                  <c:v>0.53215391762817255</c:v>
                </c:pt>
                <c:pt idx="2">
                  <c:v>0.54395463759693086</c:v>
                </c:pt>
                <c:pt idx="3">
                  <c:v>0.53674051046029114</c:v>
                </c:pt>
                <c:pt idx="4">
                  <c:v>0.51129596548004841</c:v>
                </c:pt>
                <c:pt idx="5">
                  <c:v>0.51034897264949308</c:v>
                </c:pt>
              </c:numCache>
            </c:numRef>
          </c:val>
          <c:extLst>
            <c:ext xmlns:c16="http://schemas.microsoft.com/office/drawing/2014/chart" uri="{C3380CC4-5D6E-409C-BE32-E72D297353CC}">
              <c16:uniqueId val="{00000000-F05C-4477-BC14-617F3DBE7433}"/>
            </c:ext>
          </c:extLst>
        </c:ser>
        <c:ser>
          <c:idx val="1"/>
          <c:order val="1"/>
          <c:tx>
            <c:strRef>
              <c:f>'Kompozimi '!$A$47</c:f>
              <c:strCache>
                <c:ptCount val="1"/>
                <c:pt idx="0">
                  <c:v>Tituj Ndërkombëtarë</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'!$B$45:$H$45</c15:sqref>
                  </c15:fullRef>
                </c:ext>
              </c:extLst>
              <c:f>'Kompozimi '!$C$45:$H$45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'!$B$47:$H$47</c15:sqref>
                  </c15:fullRef>
                </c:ext>
              </c:extLst>
              <c:f>'Kompozimi '!$C$47:$H$47</c:f>
              <c:numCache>
                <c:formatCode>0.0%</c:formatCode>
                <c:ptCount val="6"/>
                <c:pt idx="0">
                  <c:v>5.766746724111086E-2</c:v>
                </c:pt>
                <c:pt idx="1">
                  <c:v>8.7169490773162925E-2</c:v>
                </c:pt>
                <c:pt idx="2">
                  <c:v>8.5337538486562989E-2</c:v>
                </c:pt>
                <c:pt idx="3">
                  <c:v>0.12104485195545694</c:v>
                </c:pt>
                <c:pt idx="4">
                  <c:v>0.16370969396470803</c:v>
                </c:pt>
                <c:pt idx="5">
                  <c:v>0.16332529106814703</c:v>
                </c:pt>
              </c:numCache>
            </c:numRef>
          </c:val>
          <c:extLst>
            <c:ext xmlns:c16="http://schemas.microsoft.com/office/drawing/2014/chart" uri="{C3380CC4-5D6E-409C-BE32-E72D297353CC}">
              <c16:uniqueId val="{00000001-F05C-4477-BC14-617F3DBE7433}"/>
            </c:ext>
          </c:extLst>
        </c:ser>
        <c:ser>
          <c:idx val="2"/>
          <c:order val="2"/>
          <c:tx>
            <c:strRef>
              <c:f>'Kompozimi '!$A$48</c:f>
              <c:strCache>
                <c:ptCount val="1"/>
                <c:pt idx="0">
                  <c:v>Hua (terma konsesionale)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'!$B$45:$H$45</c15:sqref>
                  </c15:fullRef>
                </c:ext>
              </c:extLst>
              <c:f>'Kompozimi '!$C$45:$H$45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'!$B$48:$H$48</c15:sqref>
                  </c15:fullRef>
                </c:ext>
              </c:extLst>
              <c:f>'Kompozimi '!$C$48:$H$48</c:f>
              <c:numCache>
                <c:formatCode>0.0%</c:formatCode>
                <c:ptCount val="6"/>
                <c:pt idx="0">
                  <c:v>0.23874347488201014</c:v>
                </c:pt>
                <c:pt idx="1">
                  <c:v>0.21839607793531565</c:v>
                </c:pt>
                <c:pt idx="2">
                  <c:v>0.21027132013156263</c:v>
                </c:pt>
                <c:pt idx="3">
                  <c:v>0.18489105018654081</c:v>
                </c:pt>
                <c:pt idx="4">
                  <c:v>0.15467906045675939</c:v>
                </c:pt>
                <c:pt idx="5">
                  <c:v>0.15142303844521729</c:v>
                </c:pt>
              </c:numCache>
            </c:numRef>
          </c:val>
          <c:extLst>
            <c:ext xmlns:c16="http://schemas.microsoft.com/office/drawing/2014/chart" uri="{C3380CC4-5D6E-409C-BE32-E72D297353CC}">
              <c16:uniqueId val="{00000002-F05C-4477-BC14-617F3DBE7433}"/>
            </c:ext>
          </c:extLst>
        </c:ser>
        <c:ser>
          <c:idx val="3"/>
          <c:order val="3"/>
          <c:tx>
            <c:strRef>
              <c:f>'Kompozimi '!$A$49</c:f>
              <c:strCache>
                <c:ptCount val="1"/>
                <c:pt idx="0">
                  <c:v>Hua (terma jo-konsesionale)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'!$B$45:$H$45</c15:sqref>
                  </c15:fullRef>
                </c:ext>
              </c:extLst>
              <c:f>'Kompozimi '!$C$45:$H$45</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'!$B$49:$H$49</c15:sqref>
                  </c15:fullRef>
                </c:ext>
              </c:extLst>
              <c:f>'Kompozimi '!$C$49:$H$49</c:f>
              <c:numCache>
                <c:formatCode>0.0%</c:formatCode>
                <c:ptCount val="6"/>
                <c:pt idx="0">
                  <c:v>0.17639717662633841</c:v>
                </c:pt>
                <c:pt idx="1">
                  <c:v>0.16228051366334897</c:v>
                </c:pt>
                <c:pt idx="2">
                  <c:v>0.16043650378494348</c:v>
                </c:pt>
                <c:pt idx="3">
                  <c:v>0.15732358739771113</c:v>
                </c:pt>
                <c:pt idx="4">
                  <c:v>0.17031528009848423</c:v>
                </c:pt>
                <c:pt idx="5">
                  <c:v>0.17490269783714257</c:v>
                </c:pt>
              </c:numCache>
            </c:numRef>
          </c:val>
          <c:extLst>
            <c:ext xmlns:c16="http://schemas.microsoft.com/office/drawing/2014/chart" uri="{C3380CC4-5D6E-409C-BE32-E72D297353CC}">
              <c16:uniqueId val="{00000003-F05C-4477-BC14-617F3DBE7433}"/>
            </c:ext>
          </c:extLst>
        </c:ser>
        <c:dLbls>
          <c:showLegendKey val="0"/>
          <c:showVal val="0"/>
          <c:showCatName val="0"/>
          <c:showSerName val="0"/>
          <c:showPercent val="0"/>
          <c:showBubbleSize val="0"/>
        </c:dLbls>
        <c:gapWidth val="177"/>
        <c:overlap val="100"/>
        <c:axId val="1757435584"/>
        <c:axId val="1757436128"/>
      </c:barChart>
      <c:catAx>
        <c:axId val="17574355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757436128"/>
        <c:crosses val="autoZero"/>
        <c:auto val="1"/>
        <c:lblAlgn val="ctr"/>
        <c:lblOffset val="100"/>
        <c:noMultiLvlLbl val="0"/>
      </c:catAx>
      <c:valAx>
        <c:axId val="175743612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7435584"/>
        <c:crosses val="autoZero"/>
        <c:crossBetween val="between"/>
        <c:majorUnit val="0.2"/>
      </c:valAx>
      <c:spPr>
        <a:noFill/>
        <a:ln>
          <a:noFill/>
        </a:ln>
        <a:effectLst/>
      </c:spPr>
    </c:plotArea>
    <c:legend>
      <c:legendPos val="b"/>
      <c:layout>
        <c:manualLayout>
          <c:xMode val="edge"/>
          <c:yMode val="edge"/>
          <c:x val="4.6506941451729122E-2"/>
          <c:y val="0.90343016220146832"/>
          <c:w val="0.9225479847370065"/>
          <c:h val="9.0144890425282218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'Kompozimi sipas interesit'!$A$9</c:f>
              <c:strCache>
                <c:ptCount val="1"/>
                <c:pt idx="0">
                  <c:v>Fiks</c:v>
                </c:pt>
              </c:strCache>
            </c:strRef>
          </c:tx>
          <c:spPr>
            <a:solidFill>
              <a:srgbClr val="00B0F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interesit'!$C$8:$H$8</c:f>
              <c:strCache>
                <c:ptCount val="6"/>
                <c:pt idx="0">
                  <c:v>2017</c:v>
                </c:pt>
                <c:pt idx="1">
                  <c:v>2018</c:v>
                </c:pt>
                <c:pt idx="2">
                  <c:v>2019</c:v>
                </c:pt>
                <c:pt idx="3">
                  <c:v>2020*</c:v>
                </c:pt>
                <c:pt idx="4">
                  <c:v>2021</c:v>
                </c:pt>
                <c:pt idx="5">
                  <c:v>Mar.22</c:v>
                </c:pt>
              </c:strCache>
            </c:strRef>
          </c:cat>
          <c:val>
            <c:numRef>
              <c:f>'Kompozimi sipas interesit'!$C$9:$H$9</c:f>
              <c:numCache>
                <c:formatCode>0.0%</c:formatCode>
                <c:ptCount val="6"/>
                <c:pt idx="0">
                  <c:v>0.9120890588503141</c:v>
                </c:pt>
                <c:pt idx="1">
                  <c:v>0.93514088654326621</c:v>
                </c:pt>
                <c:pt idx="2">
                  <c:v>0.95232828722443164</c:v>
                </c:pt>
                <c:pt idx="3">
                  <c:v>0.97079033208960674</c:v>
                </c:pt>
                <c:pt idx="4">
                  <c:v>0.98250768239977171</c:v>
                </c:pt>
                <c:pt idx="5">
                  <c:v>0.98393919698979249</c:v>
                </c:pt>
              </c:numCache>
            </c:numRef>
          </c:val>
          <c:extLst>
            <c:ext xmlns:c16="http://schemas.microsoft.com/office/drawing/2014/chart" uri="{C3380CC4-5D6E-409C-BE32-E72D297353CC}">
              <c16:uniqueId val="{00000000-6BAA-4C17-8BED-28EED24692CB}"/>
            </c:ext>
          </c:extLst>
        </c:ser>
        <c:ser>
          <c:idx val="1"/>
          <c:order val="1"/>
          <c:tx>
            <c:strRef>
              <c:f>'Kompozimi sipas interesit'!$A$10</c:f>
              <c:strCache>
                <c:ptCount val="1"/>
                <c:pt idx="0">
                  <c:v>Me norma të ndryshueshme</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interesit'!$C$8:$H$8</c:f>
              <c:strCache>
                <c:ptCount val="6"/>
                <c:pt idx="0">
                  <c:v>2017</c:v>
                </c:pt>
                <c:pt idx="1">
                  <c:v>2018</c:v>
                </c:pt>
                <c:pt idx="2">
                  <c:v>2019</c:v>
                </c:pt>
                <c:pt idx="3">
                  <c:v>2020*</c:v>
                </c:pt>
                <c:pt idx="4">
                  <c:v>2021</c:v>
                </c:pt>
                <c:pt idx="5">
                  <c:v>Mar.22</c:v>
                </c:pt>
              </c:strCache>
            </c:strRef>
          </c:cat>
          <c:val>
            <c:numRef>
              <c:f>'Kompozimi sipas interesit'!$C$10:$H$10</c:f>
              <c:numCache>
                <c:formatCode>0.0%</c:formatCode>
                <c:ptCount val="6"/>
                <c:pt idx="0">
                  <c:v>8.7910941149686006E-2</c:v>
                </c:pt>
                <c:pt idx="1">
                  <c:v>6.485911345673373E-2</c:v>
                </c:pt>
                <c:pt idx="2">
                  <c:v>4.7671712775568281E-2</c:v>
                </c:pt>
                <c:pt idx="3">
                  <c:v>2.9209667910393308E-2</c:v>
                </c:pt>
                <c:pt idx="4">
                  <c:v>1.7492317600228364E-2</c:v>
                </c:pt>
                <c:pt idx="5">
                  <c:v>1.6060803010207614E-2</c:v>
                </c:pt>
              </c:numCache>
            </c:numRef>
          </c:val>
          <c:extLst>
            <c:ext xmlns:c16="http://schemas.microsoft.com/office/drawing/2014/chart" uri="{C3380CC4-5D6E-409C-BE32-E72D297353CC}">
              <c16:uniqueId val="{00000001-6BAA-4C17-8BED-28EED24692CB}"/>
            </c:ext>
          </c:extLst>
        </c:ser>
        <c:dLbls>
          <c:showLegendKey val="0"/>
          <c:showVal val="0"/>
          <c:showCatName val="0"/>
          <c:showSerName val="0"/>
          <c:showPercent val="0"/>
          <c:showBubbleSize val="0"/>
        </c:dLbls>
        <c:gapWidth val="90"/>
        <c:overlap val="100"/>
        <c:axId val="1757439936"/>
        <c:axId val="1799102496"/>
      </c:barChart>
      <c:catAx>
        <c:axId val="1757439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99102496"/>
        <c:crosses val="autoZero"/>
        <c:auto val="1"/>
        <c:lblAlgn val="ctr"/>
        <c:lblOffset val="100"/>
        <c:noMultiLvlLbl val="0"/>
      </c:catAx>
      <c:valAx>
        <c:axId val="1799102496"/>
        <c:scaling>
          <c:orientation val="minMax"/>
          <c:max val="1"/>
          <c:min val="0.2"/>
        </c:scaling>
        <c:delete val="0"/>
        <c:axPos val="l"/>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57439936"/>
        <c:crosses val="autoZero"/>
        <c:crossBetween val="between"/>
        <c:majorUnit val="0.2"/>
      </c:valAx>
      <c:spPr>
        <a:noFill/>
        <a:ln>
          <a:noFill/>
        </a:ln>
        <a:effectLst/>
      </c:spPr>
    </c:plotArea>
    <c:legend>
      <c:legendPos val="b"/>
      <c:layout>
        <c:manualLayout>
          <c:xMode val="edge"/>
          <c:yMode val="edge"/>
          <c:x val="0.19860374054153701"/>
          <c:y val="0.86692775968448965"/>
          <c:w val="0.71551742678599162"/>
          <c:h val="9.816822635390470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8375377375651"/>
          <c:y val="6.1904636920384962E-2"/>
          <c:w val="0.76505779243348004"/>
          <c:h val="0.63053455818022752"/>
        </c:manualLayout>
      </c:layout>
      <c:barChart>
        <c:barDir val="col"/>
        <c:grouping val="stacked"/>
        <c:varyColors val="0"/>
        <c:ser>
          <c:idx val="0"/>
          <c:order val="0"/>
          <c:tx>
            <c:strRef>
              <c:f>'BB sipas titujve'!$A$23</c:f>
              <c:strCache>
                <c:ptCount val="1"/>
                <c:pt idx="0">
                  <c:v>Deri në 1 vit</c:v>
                </c:pt>
              </c:strCache>
            </c:strRef>
          </c:tx>
          <c:spPr>
            <a:solidFill>
              <a:srgbClr val="00B0F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6"/>
                <c:pt idx="0">
                  <c:v>2017</c:v>
                </c:pt>
                <c:pt idx="1">
                  <c:v>2018</c:v>
                </c:pt>
                <c:pt idx="2">
                  <c:v>2019</c:v>
                </c:pt>
                <c:pt idx="3">
                  <c:v>2020</c:v>
                </c:pt>
                <c:pt idx="4">
                  <c:v>2021</c:v>
                </c:pt>
                <c:pt idx="5">
                  <c:v>Mar-22</c:v>
                </c:pt>
              </c:strCache>
            </c:strRef>
          </c:cat>
          <c:val>
            <c:numRef>
              <c:f>'BB sipas titujve'!$B$23:$H$23</c:f>
              <c:numCache>
                <c:formatCode>0.0%</c:formatCode>
                <c:ptCount val="6"/>
                <c:pt idx="0">
                  <c:v>0.35661495929817533</c:v>
                </c:pt>
                <c:pt idx="1">
                  <c:v>0.3442709566429682</c:v>
                </c:pt>
                <c:pt idx="2">
                  <c:v>0.33280782747200321</c:v>
                </c:pt>
                <c:pt idx="3">
                  <c:v>0.31775421977996743</c:v>
                </c:pt>
                <c:pt idx="4">
                  <c:v>0.2977131737423338</c:v>
                </c:pt>
                <c:pt idx="5">
                  <c:v>0.30161802078246147</c:v>
                </c:pt>
              </c:numCache>
            </c:numRef>
          </c:val>
          <c:extLst>
            <c:ext xmlns:c16="http://schemas.microsoft.com/office/drawing/2014/chart" uri="{C3380CC4-5D6E-409C-BE32-E72D297353CC}">
              <c16:uniqueId val="{00000000-8CC8-46AD-836C-052ECE0A2862}"/>
            </c:ext>
          </c:extLst>
        </c:ser>
        <c:ser>
          <c:idx val="1"/>
          <c:order val="1"/>
          <c:tx>
            <c:strRef>
              <c:f>'BB sipas titujve'!$A$24</c:f>
              <c:strCache>
                <c:ptCount val="1"/>
                <c:pt idx="0">
                  <c:v>1 deri në 3 vite</c:v>
                </c:pt>
              </c:strCache>
            </c:strRef>
          </c:tx>
          <c:spPr>
            <a:solidFill>
              <a:srgbClr val="C000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6"/>
                <c:pt idx="0">
                  <c:v>2017</c:v>
                </c:pt>
                <c:pt idx="1">
                  <c:v>2018</c:v>
                </c:pt>
                <c:pt idx="2">
                  <c:v>2019</c:v>
                </c:pt>
                <c:pt idx="3">
                  <c:v>2020</c:v>
                </c:pt>
                <c:pt idx="4">
                  <c:v>2021</c:v>
                </c:pt>
                <c:pt idx="5">
                  <c:v>Mar-22</c:v>
                </c:pt>
              </c:strCache>
            </c:strRef>
          </c:cat>
          <c:val>
            <c:numRef>
              <c:f>'BB sipas titujve'!$B$24:$H$24</c:f>
              <c:numCache>
                <c:formatCode>0.0%</c:formatCode>
                <c:ptCount val="6"/>
                <c:pt idx="0">
                  <c:v>0.21967232831650157</c:v>
                </c:pt>
                <c:pt idx="1">
                  <c:v>0.211345530552463</c:v>
                </c:pt>
                <c:pt idx="2">
                  <c:v>0.19409928641828114</c:v>
                </c:pt>
                <c:pt idx="3">
                  <c:v>0.22323347449328904</c:v>
                </c:pt>
                <c:pt idx="4">
                  <c:v>0.23831912828720589</c:v>
                </c:pt>
                <c:pt idx="5">
                  <c:v>0.22703364134621279</c:v>
                </c:pt>
              </c:numCache>
            </c:numRef>
          </c:val>
          <c:extLst>
            <c:ext xmlns:c16="http://schemas.microsoft.com/office/drawing/2014/chart" uri="{C3380CC4-5D6E-409C-BE32-E72D297353CC}">
              <c16:uniqueId val="{00000001-8CC8-46AD-836C-052ECE0A2862}"/>
            </c:ext>
          </c:extLst>
        </c:ser>
        <c:ser>
          <c:idx val="2"/>
          <c:order val="2"/>
          <c:tx>
            <c:strRef>
              <c:f>'BB sipas titujve'!$A$25</c:f>
              <c:strCache>
                <c:ptCount val="1"/>
                <c:pt idx="0">
                  <c:v>3 deri në 5 vite</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6"/>
                <c:pt idx="0">
                  <c:v>2017</c:v>
                </c:pt>
                <c:pt idx="1">
                  <c:v>2018</c:v>
                </c:pt>
                <c:pt idx="2">
                  <c:v>2019</c:v>
                </c:pt>
                <c:pt idx="3">
                  <c:v>2020</c:v>
                </c:pt>
                <c:pt idx="4">
                  <c:v>2021</c:v>
                </c:pt>
                <c:pt idx="5">
                  <c:v>Mar-22</c:v>
                </c:pt>
              </c:strCache>
            </c:strRef>
          </c:cat>
          <c:val>
            <c:numRef>
              <c:f>'BB sipas titujve'!$B$25:$H$25</c:f>
              <c:numCache>
                <c:formatCode>0.0%</c:formatCode>
                <c:ptCount val="6"/>
                <c:pt idx="0">
                  <c:v>0.18854049117130847</c:v>
                </c:pt>
                <c:pt idx="1">
                  <c:v>0.17920198206823099</c:v>
                </c:pt>
                <c:pt idx="2">
                  <c:v>0.18478358708844891</c:v>
                </c:pt>
                <c:pt idx="3">
                  <c:v>0.17888171080938328</c:v>
                </c:pt>
                <c:pt idx="4">
                  <c:v>0.17345296226299609</c:v>
                </c:pt>
                <c:pt idx="5">
                  <c:v>0.17169602225998723</c:v>
                </c:pt>
              </c:numCache>
            </c:numRef>
          </c:val>
          <c:extLst>
            <c:ext xmlns:c16="http://schemas.microsoft.com/office/drawing/2014/chart" uri="{C3380CC4-5D6E-409C-BE32-E72D297353CC}">
              <c16:uniqueId val="{00000002-8CC8-46AD-836C-052ECE0A2862}"/>
            </c:ext>
          </c:extLst>
        </c:ser>
        <c:ser>
          <c:idx val="3"/>
          <c:order val="3"/>
          <c:tx>
            <c:strRef>
              <c:f>'BB sipas titujve'!$A$26</c:f>
              <c:strCache>
                <c:ptCount val="1"/>
                <c:pt idx="0">
                  <c:v>Mbi 5 vite</c:v>
                </c:pt>
              </c:strCache>
            </c:strRef>
          </c:tx>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6"/>
                <c:pt idx="0">
                  <c:v>2017</c:v>
                </c:pt>
                <c:pt idx="1">
                  <c:v>2018</c:v>
                </c:pt>
                <c:pt idx="2">
                  <c:v>2019</c:v>
                </c:pt>
                <c:pt idx="3">
                  <c:v>2020</c:v>
                </c:pt>
                <c:pt idx="4">
                  <c:v>2021</c:v>
                </c:pt>
                <c:pt idx="5">
                  <c:v>Mar-22</c:v>
                </c:pt>
              </c:strCache>
            </c:strRef>
          </c:cat>
          <c:val>
            <c:numRef>
              <c:f>'BB sipas titujve'!$B$26:$H$26</c:f>
              <c:numCache>
                <c:formatCode>0.0%</c:formatCode>
                <c:ptCount val="6"/>
                <c:pt idx="0">
                  <c:v>0.23517222121401465</c:v>
                </c:pt>
                <c:pt idx="1">
                  <c:v>0.26518153073633771</c:v>
                </c:pt>
                <c:pt idx="2">
                  <c:v>0.28830929902126662</c:v>
                </c:pt>
                <c:pt idx="3">
                  <c:v>0.28013059491736025</c:v>
                </c:pt>
                <c:pt idx="4">
                  <c:v>0.29051473570746428</c:v>
                </c:pt>
                <c:pt idx="5">
                  <c:v>0.29965231561133854</c:v>
                </c:pt>
              </c:numCache>
            </c:numRef>
          </c:val>
          <c:extLst>
            <c:ext xmlns:c16="http://schemas.microsoft.com/office/drawing/2014/chart" uri="{C3380CC4-5D6E-409C-BE32-E72D297353CC}">
              <c16:uniqueId val="{00000003-8CC8-46AD-836C-052ECE0A2862}"/>
            </c:ext>
          </c:extLst>
        </c:ser>
        <c:dLbls>
          <c:showLegendKey val="0"/>
          <c:showVal val="0"/>
          <c:showCatName val="0"/>
          <c:showSerName val="0"/>
          <c:showPercent val="0"/>
          <c:showBubbleSize val="0"/>
        </c:dLbls>
        <c:gapWidth val="90"/>
        <c:overlap val="100"/>
        <c:axId val="1799104128"/>
        <c:axId val="1799099232"/>
      </c:barChart>
      <c:catAx>
        <c:axId val="179910412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99099232"/>
        <c:crosses val="autoZero"/>
        <c:auto val="1"/>
        <c:lblAlgn val="ctr"/>
        <c:lblOffset val="100"/>
        <c:noMultiLvlLbl val="0"/>
      </c:catAx>
      <c:valAx>
        <c:axId val="1799099232"/>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99104128"/>
        <c:crosses val="autoZero"/>
        <c:crossBetween val="between"/>
        <c:majorUnit val="0.2"/>
      </c:valAx>
      <c:spPr>
        <a:noFill/>
        <a:ln>
          <a:noFill/>
        </a:ln>
        <a:effectLst/>
      </c:spPr>
    </c:plotArea>
    <c:legend>
      <c:legendPos val="b"/>
      <c:layout>
        <c:manualLayout>
          <c:xMode val="edge"/>
          <c:yMode val="edge"/>
          <c:x val="3.7423161530396161E-2"/>
          <c:y val="0.81806517935258094"/>
          <c:w val="0.73018644041264225"/>
          <c:h val="0.1642690288713910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'Kompozimi sipas interesit'!$A$21</c:f>
              <c:strCache>
                <c:ptCount val="1"/>
                <c:pt idx="0">
                  <c:v>Fiks</c:v>
                </c:pt>
              </c:strCache>
            </c:strRef>
          </c:tx>
          <c:spPr>
            <a:solidFill>
              <a:srgbClr val="00B0F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sipas interesit'!$B$20:$H$20</c15:sqref>
                  </c15:fullRef>
                </c:ext>
              </c:extLst>
              <c:f>'Kompozimi sipas interesit'!$C$20:$H$20</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sipas interesit'!$B$21:$H$21</c15:sqref>
                  </c15:fullRef>
                </c:ext>
              </c:extLst>
              <c:f>'Kompozimi sipas interesit'!$C$21:$H$21</c:f>
              <c:numCache>
                <c:formatCode>0.0%</c:formatCode>
                <c:ptCount val="6"/>
                <c:pt idx="0">
                  <c:v>0.49920566515941572</c:v>
                </c:pt>
                <c:pt idx="1">
                  <c:v>0.52621890666633608</c:v>
                </c:pt>
                <c:pt idx="2">
                  <c:v>0.51683051110632583</c:v>
                </c:pt>
                <c:pt idx="3">
                  <c:v>0.54825421035407129</c:v>
                </c:pt>
                <c:pt idx="4">
                  <c:v>0.61621651799833654</c:v>
                </c:pt>
                <c:pt idx="5">
                  <c:v>0.62010303331269179</c:v>
                </c:pt>
              </c:numCache>
            </c:numRef>
          </c:val>
          <c:extLst>
            <c:ext xmlns:c16="http://schemas.microsoft.com/office/drawing/2014/chart" uri="{C3380CC4-5D6E-409C-BE32-E72D297353CC}">
              <c16:uniqueId val="{00000000-4E52-446C-875A-DD534A15C5FC}"/>
            </c:ext>
          </c:extLst>
        </c:ser>
        <c:ser>
          <c:idx val="1"/>
          <c:order val="1"/>
          <c:tx>
            <c:strRef>
              <c:f>'Kompozimi sipas interesit'!$A$22</c:f>
              <c:strCache>
                <c:ptCount val="1"/>
                <c:pt idx="0">
                  <c:v>Me norma të ndryshueshme</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sipas interesit'!$B$20:$H$20</c15:sqref>
                  </c15:fullRef>
                </c:ext>
              </c:extLst>
              <c:f>'Kompozimi sipas interesit'!$C$20:$H$20</c:f>
              <c:strCache>
                <c:ptCount val="6"/>
                <c:pt idx="0">
                  <c:v>2017</c:v>
                </c:pt>
                <c:pt idx="1">
                  <c:v>2018</c:v>
                </c:pt>
                <c:pt idx="2">
                  <c:v>2019</c:v>
                </c:pt>
                <c:pt idx="3">
                  <c:v>2020*</c:v>
                </c:pt>
                <c:pt idx="4">
                  <c:v>2021</c:v>
                </c:pt>
                <c:pt idx="5">
                  <c:v>Mar-22</c:v>
                </c:pt>
              </c:strCache>
            </c:strRef>
          </c:cat>
          <c:val>
            <c:numRef>
              <c:extLst>
                <c:ext xmlns:c15="http://schemas.microsoft.com/office/drawing/2012/chart" uri="{02D57815-91ED-43cb-92C2-25804820EDAC}">
                  <c15:fullRef>
                    <c15:sqref>'Kompozimi sipas interesit'!$B$22:$H$22</c15:sqref>
                  </c15:fullRef>
                </c:ext>
              </c:extLst>
              <c:f>'Kompozimi sipas interesit'!$C$22:$H$22</c:f>
              <c:numCache>
                <c:formatCode>0.0%</c:formatCode>
                <c:ptCount val="6"/>
                <c:pt idx="0">
                  <c:v>0.50079433484058422</c:v>
                </c:pt>
                <c:pt idx="1">
                  <c:v>0.47378109333366392</c:v>
                </c:pt>
                <c:pt idx="2">
                  <c:v>0.48316948889367417</c:v>
                </c:pt>
                <c:pt idx="3">
                  <c:v>0.45174578964592865</c:v>
                </c:pt>
                <c:pt idx="4">
                  <c:v>0.3837834820016634</c:v>
                </c:pt>
                <c:pt idx="5">
                  <c:v>0.37989696668730821</c:v>
                </c:pt>
              </c:numCache>
            </c:numRef>
          </c:val>
          <c:extLst>
            <c:ext xmlns:c16="http://schemas.microsoft.com/office/drawing/2014/chart" uri="{C3380CC4-5D6E-409C-BE32-E72D297353CC}">
              <c16:uniqueId val="{00000001-4E52-446C-875A-DD534A15C5FC}"/>
            </c:ext>
          </c:extLst>
        </c:ser>
        <c:dLbls>
          <c:showLegendKey val="0"/>
          <c:showVal val="0"/>
          <c:showCatName val="0"/>
          <c:showSerName val="0"/>
          <c:showPercent val="0"/>
          <c:showBubbleSize val="0"/>
        </c:dLbls>
        <c:gapWidth val="90"/>
        <c:overlap val="100"/>
        <c:axId val="1799105760"/>
        <c:axId val="1799099776"/>
      </c:barChart>
      <c:catAx>
        <c:axId val="17991057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799099776"/>
        <c:crosses val="autoZero"/>
        <c:auto val="1"/>
        <c:lblAlgn val="ctr"/>
        <c:lblOffset val="100"/>
        <c:noMultiLvlLbl val="0"/>
      </c:catAx>
      <c:valAx>
        <c:axId val="179909977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799105760"/>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6869037612826151"/>
        </c:manualLayout>
      </c:layout>
      <c:barChart>
        <c:barDir val="col"/>
        <c:grouping val="percentStacked"/>
        <c:varyColors val="0"/>
        <c:ser>
          <c:idx val="0"/>
          <c:order val="0"/>
          <c:tx>
            <c:strRef>
              <c:f>'B.Jashtem sipas instr'!$A$13</c:f>
              <c:strCache>
                <c:ptCount val="1"/>
                <c:pt idx="0">
                  <c:v>Kredi</c:v>
                </c:pt>
              </c:strCache>
            </c:strRef>
          </c:tx>
          <c:spPr>
            <a:solidFill>
              <a:srgbClr val="00B0F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6"/>
                <c:pt idx="0">
                  <c:v>2017</c:v>
                </c:pt>
                <c:pt idx="1">
                  <c:v>2018</c:v>
                </c:pt>
                <c:pt idx="2">
                  <c:v>2019</c:v>
                </c:pt>
                <c:pt idx="3">
                  <c:v>2020</c:v>
                </c:pt>
                <c:pt idx="4">
                  <c:v>2021</c:v>
                </c:pt>
                <c:pt idx="5">
                  <c:v>Mar.2022</c:v>
                </c:pt>
              </c:strCache>
            </c:strRef>
          </c:cat>
          <c:val>
            <c:numRef>
              <c:f>'B.Jashtem sipas instr'!$C$13:$H$13</c:f>
              <c:numCache>
                <c:formatCode>0.0%</c:formatCode>
                <c:ptCount val="6"/>
                <c:pt idx="0">
                  <c:v>0.57612819477198618</c:v>
                </c:pt>
                <c:pt idx="1">
                  <c:v>0.53914670138026288</c:v>
                </c:pt>
                <c:pt idx="2">
                  <c:v>0.54409157434764577</c:v>
                </c:pt>
                <c:pt idx="3">
                  <c:v>0.47132575321232667</c:v>
                </c:pt>
                <c:pt idx="4">
                  <c:v>0.39211358445332251</c:v>
                </c:pt>
                <c:pt idx="5">
                  <c:v>0.39127618100959882</c:v>
                </c:pt>
              </c:numCache>
            </c:numRef>
          </c:val>
          <c:extLst>
            <c:ext xmlns:c16="http://schemas.microsoft.com/office/drawing/2014/chart" uri="{C3380CC4-5D6E-409C-BE32-E72D297353CC}">
              <c16:uniqueId val="{00000000-0ED5-4306-9A98-07FE9996DBD4}"/>
            </c:ext>
          </c:extLst>
        </c:ser>
        <c:ser>
          <c:idx val="1"/>
          <c:order val="1"/>
          <c:tx>
            <c:strRef>
              <c:f>'B.Jashtem sipas instr'!$A$14</c:f>
              <c:strCache>
                <c:ptCount val="1"/>
                <c:pt idx="0">
                  <c:v>Mbështetje buxhetore</c:v>
                </c:pt>
              </c:strCache>
            </c:strRef>
          </c:tx>
          <c:spPr>
            <a:solidFill>
              <a:srgbClr val="C00000"/>
            </a:solidFill>
            <a:ln>
              <a:noFill/>
            </a:ln>
            <a:effectLst/>
          </c:spPr>
          <c:invertIfNegative val="0"/>
          <c:dLbls>
            <c:dLbl>
              <c:idx val="0"/>
              <c:layout>
                <c:manualLayout>
                  <c:x val="0"/>
                  <c:y val="1.3888888888888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D5-4306-9A98-07FE9996DBD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6"/>
                <c:pt idx="0">
                  <c:v>2017</c:v>
                </c:pt>
                <c:pt idx="1">
                  <c:v>2018</c:v>
                </c:pt>
                <c:pt idx="2">
                  <c:v>2019</c:v>
                </c:pt>
                <c:pt idx="3">
                  <c:v>2020</c:v>
                </c:pt>
                <c:pt idx="4">
                  <c:v>2021</c:v>
                </c:pt>
                <c:pt idx="5">
                  <c:v>Mar.2022</c:v>
                </c:pt>
              </c:strCache>
            </c:strRef>
          </c:cat>
          <c:val>
            <c:numRef>
              <c:f>'B.Jashtem sipas instr'!$C$14:$H$14</c:f>
              <c:numCache>
                <c:formatCode>0.0%</c:formatCode>
                <c:ptCount val="6"/>
                <c:pt idx="0">
                  <c:v>0.23820938393569469</c:v>
                </c:pt>
                <c:pt idx="1">
                  <c:v>0.21987866803136147</c:v>
                </c:pt>
                <c:pt idx="2">
                  <c:v>0.21888377858205368</c:v>
                </c:pt>
                <c:pt idx="3">
                  <c:v>0.2219431347783323</c:v>
                </c:pt>
                <c:pt idx="4">
                  <c:v>0.23567850988798214</c:v>
                </c:pt>
                <c:pt idx="5">
                  <c:v>0.23810781256688457</c:v>
                </c:pt>
              </c:numCache>
            </c:numRef>
          </c:val>
          <c:extLst>
            <c:ext xmlns:c16="http://schemas.microsoft.com/office/drawing/2014/chart" uri="{C3380CC4-5D6E-409C-BE32-E72D297353CC}">
              <c16:uniqueId val="{00000002-0ED5-4306-9A98-07FE9996DBD4}"/>
            </c:ext>
          </c:extLst>
        </c:ser>
        <c:ser>
          <c:idx val="2"/>
          <c:order val="2"/>
          <c:tx>
            <c:strRef>
              <c:f>'B.Jashtem sipas instr'!$A$15</c:f>
              <c:strCache>
                <c:ptCount val="1"/>
                <c:pt idx="0">
                  <c:v>Eurobond</c:v>
                </c:pt>
              </c:strCache>
            </c:strRef>
          </c:tx>
          <c:spPr>
            <a:solidFill>
              <a:schemeClr val="bg1">
                <a:lumMod val="65000"/>
              </a:schemeClr>
            </a:solidFill>
            <a:ln>
              <a:noFill/>
            </a:ln>
            <a:effectLst/>
          </c:spPr>
          <c:invertIfNegative val="0"/>
          <c:dLbls>
            <c:dLbl>
              <c:idx val="4"/>
              <c:layout>
                <c:manualLayout>
                  <c:x val="0"/>
                  <c:y val="1.3888888888888888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3-0ED5-4306-9A98-07FE9996DBD4}"/>
                </c:ext>
              </c:extLst>
            </c:dLbl>
            <c:dLbl>
              <c:idx val="5"/>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4-0ED5-4306-9A98-07FE9996DBD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6"/>
                <c:pt idx="0">
                  <c:v>2017</c:v>
                </c:pt>
                <c:pt idx="1">
                  <c:v>2018</c:v>
                </c:pt>
                <c:pt idx="2">
                  <c:v>2019</c:v>
                </c:pt>
                <c:pt idx="3">
                  <c:v>2020</c:v>
                </c:pt>
                <c:pt idx="4">
                  <c:v>2021</c:v>
                </c:pt>
                <c:pt idx="5">
                  <c:v>Mar.2022</c:v>
                </c:pt>
              </c:strCache>
            </c:strRef>
          </c:cat>
          <c:val>
            <c:numRef>
              <c:f>'B.Jashtem sipas instr'!$C$15:$H$15</c:f>
              <c:numCache>
                <c:formatCode>0.0%</c:formatCode>
                <c:ptCount val="6"/>
                <c:pt idx="0">
                  <c:v>0.12196801398765489</c:v>
                </c:pt>
                <c:pt idx="1">
                  <c:v>0.18632059066111512</c:v>
                </c:pt>
                <c:pt idx="2">
                  <c:v>0.18712472137128988</c:v>
                </c:pt>
                <c:pt idx="3">
                  <c:v>0.26128946578573492</c:v>
                </c:pt>
                <c:pt idx="4">
                  <c:v>0.33498711509282586</c:v>
                </c:pt>
                <c:pt idx="5">
                  <c:v>0.33355440578116496</c:v>
                </c:pt>
              </c:numCache>
            </c:numRef>
          </c:val>
          <c:extLst>
            <c:ext xmlns:c16="http://schemas.microsoft.com/office/drawing/2014/chart" uri="{C3380CC4-5D6E-409C-BE32-E72D297353CC}">
              <c16:uniqueId val="{00000005-0ED5-4306-9A98-07FE9996DBD4}"/>
            </c:ext>
          </c:extLst>
        </c:ser>
        <c:ser>
          <c:idx val="3"/>
          <c:order val="3"/>
          <c:tx>
            <c:strRef>
              <c:f>'B.Jashtem sipas instr'!$A$16</c:f>
              <c:strCache>
                <c:ptCount val="1"/>
                <c:pt idx="0">
                  <c:v>PBG</c:v>
                </c:pt>
              </c:strCache>
            </c:strRef>
          </c:tx>
          <c:spPr>
            <a:solidFill>
              <a:schemeClr val="accent6"/>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0ED5-4306-9A98-07FE9996DBD4}"/>
                </c:ext>
              </c:extLst>
            </c:dLbl>
            <c:dLbl>
              <c:idx val="2"/>
              <c:layout>
                <c:manualLayout>
                  <c:x val="-1.0303123017562329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D5-4306-9A98-07FE9996DBD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6"/>
                <c:pt idx="0">
                  <c:v>2017</c:v>
                </c:pt>
                <c:pt idx="1">
                  <c:v>2018</c:v>
                </c:pt>
                <c:pt idx="2">
                  <c:v>2019</c:v>
                </c:pt>
                <c:pt idx="3">
                  <c:v>2020</c:v>
                </c:pt>
                <c:pt idx="4">
                  <c:v>2021</c:v>
                </c:pt>
                <c:pt idx="5">
                  <c:v>Mar.2022</c:v>
                </c:pt>
              </c:strCache>
            </c:strRef>
          </c:cat>
          <c:val>
            <c:numRef>
              <c:f>'B.Jashtem sipas instr'!$C$16:$H$16</c:f>
              <c:numCache>
                <c:formatCode>0.0%</c:formatCode>
                <c:ptCount val="6"/>
                <c:pt idx="0">
                  <c:v>6.3694407304664219E-2</c:v>
                </c:pt>
                <c:pt idx="1">
                  <c:v>5.465403992726043E-2</c:v>
                </c:pt>
                <c:pt idx="2">
                  <c:v>4.9899925699010632E-2</c:v>
                </c:pt>
                <c:pt idx="3">
                  <c:v>4.5441646223606073E-2</c:v>
                </c:pt>
                <c:pt idx="4">
                  <c:v>3.7220790565869535E-2</c:v>
                </c:pt>
                <c:pt idx="5">
                  <c:v>3.7061600642351658E-2</c:v>
                </c:pt>
              </c:numCache>
            </c:numRef>
          </c:val>
          <c:extLst>
            <c:ext xmlns:c16="http://schemas.microsoft.com/office/drawing/2014/chart" uri="{C3380CC4-5D6E-409C-BE32-E72D297353CC}">
              <c16:uniqueId val="{00000008-0ED5-4306-9A98-07FE9996DBD4}"/>
            </c:ext>
          </c:extLst>
        </c:ser>
        <c:dLbls>
          <c:showLegendKey val="0"/>
          <c:showVal val="0"/>
          <c:showCatName val="0"/>
          <c:showSerName val="0"/>
          <c:showPercent val="0"/>
          <c:showBubbleSize val="0"/>
        </c:dLbls>
        <c:gapWidth val="90"/>
        <c:overlap val="100"/>
        <c:axId val="2085550048"/>
        <c:axId val="2085552224"/>
      </c:barChart>
      <c:catAx>
        <c:axId val="20855500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2085552224"/>
        <c:crosses val="autoZero"/>
        <c:auto val="1"/>
        <c:lblAlgn val="ctr"/>
        <c:lblOffset val="100"/>
        <c:noMultiLvlLbl val="0"/>
      </c:catAx>
      <c:valAx>
        <c:axId val="2085552224"/>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2085550048"/>
        <c:crosses val="autoZero"/>
        <c:crossBetween val="between"/>
        <c:majorUnit val="0.2"/>
      </c:valAx>
      <c:spPr>
        <a:noFill/>
        <a:ln>
          <a:noFill/>
        </a:ln>
        <a:effectLst/>
      </c:spPr>
    </c:plotArea>
    <c:legend>
      <c:legendPos val="b"/>
      <c:layout>
        <c:manualLayout>
          <c:xMode val="edge"/>
          <c:yMode val="edge"/>
          <c:x val="5.4509494092268893E-2"/>
          <c:y val="0.86976875542137067"/>
          <c:w val="0.9"/>
          <c:h val="6.760670714623523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33608071869368"/>
          <c:y val="9.012699713232282E-2"/>
          <c:w val="0.79718957133460466"/>
          <c:h val="0.57334382772001913"/>
        </c:manualLayout>
      </c:layout>
      <c:barChart>
        <c:barDir val="col"/>
        <c:grouping val="clustered"/>
        <c:varyColors val="0"/>
        <c:ser>
          <c:idx val="0"/>
          <c:order val="0"/>
          <c:tx>
            <c:strRef>
              <c:f>' Huamarrja e Brendshme'!$A$68</c:f>
              <c:strCache>
                <c:ptCount val="1"/>
                <c:pt idx="0">
                  <c:v>Emetime</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 Huamarrja e Brendshme'!$B$67:$H$67</c15:sqref>
                  </c15:fullRef>
                </c:ext>
              </c:extLst>
              <c:f>' Huamarrja e Brendshme'!$C$67:$H$67</c:f>
              <c:strCache>
                <c:ptCount val="6"/>
                <c:pt idx="0">
                  <c:v>TM1 2017</c:v>
                </c:pt>
                <c:pt idx="1">
                  <c:v>TM1 2018</c:v>
                </c:pt>
                <c:pt idx="2">
                  <c:v>TM1 2019</c:v>
                </c:pt>
                <c:pt idx="3">
                  <c:v>TM1 2020</c:v>
                </c:pt>
                <c:pt idx="4">
                  <c:v>TM1 2021</c:v>
                </c:pt>
                <c:pt idx="5">
                  <c:v>TM1 2022</c:v>
                </c:pt>
              </c:strCache>
            </c:strRef>
          </c:cat>
          <c:val>
            <c:numRef>
              <c:extLst>
                <c:ext xmlns:c15="http://schemas.microsoft.com/office/drawing/2012/chart" uri="{02D57815-91ED-43cb-92C2-25804820EDAC}">
                  <c15:fullRef>
                    <c15:sqref>' Huamarrja e Brendshme'!$B$68:$H$68</c15:sqref>
                  </c15:fullRef>
                </c:ext>
              </c:extLst>
              <c:f>' Huamarrja e Brendshme'!$C$68:$H$68</c:f>
              <c:numCache>
                <c:formatCode>_(* #,##0.0_);_(* \(#,##0.0\);_(* "-"??_);_(@_)</c:formatCode>
                <c:ptCount val="6"/>
                <c:pt idx="0">
                  <c:v>103.33194041266</c:v>
                </c:pt>
                <c:pt idx="1">
                  <c:v>95.618297023769998</c:v>
                </c:pt>
                <c:pt idx="2">
                  <c:v>88.840797242899995</c:v>
                </c:pt>
                <c:pt idx="3">
                  <c:v>91.094808723440011</c:v>
                </c:pt>
                <c:pt idx="4">
                  <c:v>95.172830505109999</c:v>
                </c:pt>
                <c:pt idx="5">
                  <c:v>111.01727422220998</c:v>
                </c:pt>
              </c:numCache>
            </c:numRef>
          </c:val>
          <c:extLst>
            <c:ext xmlns:c16="http://schemas.microsoft.com/office/drawing/2014/chart" uri="{C3380CC4-5D6E-409C-BE32-E72D297353CC}">
              <c16:uniqueId val="{00000000-8181-418C-AB85-2A2962A0C4B5}"/>
            </c:ext>
          </c:extLst>
        </c:ser>
        <c:dLbls>
          <c:showLegendKey val="0"/>
          <c:showVal val="0"/>
          <c:showCatName val="0"/>
          <c:showSerName val="0"/>
          <c:showPercent val="0"/>
          <c:showBubbleSize val="0"/>
        </c:dLbls>
        <c:gapWidth val="219"/>
        <c:overlap val="-27"/>
        <c:axId val="2085556032"/>
        <c:axId val="2085556576"/>
      </c:barChart>
      <c:lineChart>
        <c:grouping val="standard"/>
        <c:varyColors val="0"/>
        <c:ser>
          <c:idx val="1"/>
          <c:order val="1"/>
          <c:tx>
            <c:strRef>
              <c:f>' Huamarrja e Brendshme'!$A$70</c:f>
              <c:strCache>
                <c:ptCount val="1"/>
                <c:pt idx="0">
                  <c:v>Emetime/Të ardhura tatimore</c:v>
                </c:pt>
              </c:strCache>
            </c:strRef>
          </c:tx>
          <c:spPr>
            <a:ln w="28575" cap="rnd">
              <a:solidFill>
                <a:srgbClr val="FF0000"/>
              </a:solidFill>
              <a:round/>
            </a:ln>
            <a:effectLst/>
          </c:spPr>
          <c:marker>
            <c:symbol val="circle"/>
            <c:size val="5"/>
            <c:spPr>
              <a:solidFill>
                <a:schemeClr val="bg1">
                  <a:lumMod val="50000"/>
                </a:schemeClr>
              </a:solidFill>
              <a:ln w="9525">
                <a:solidFill>
                  <a:srgbClr val="FF0000"/>
                </a:solidFill>
              </a:ln>
              <a:effectLst/>
            </c:spPr>
          </c:marker>
          <c:dLbls>
            <c:dLbl>
              <c:idx val="0"/>
              <c:layout>
                <c:manualLayout>
                  <c:x val="2.0232672548054988E-3"/>
                  <c:y val="-2.3148148148148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81-418C-AB85-2A2962A0C4B5}"/>
                </c:ext>
              </c:extLst>
            </c:dLbl>
            <c:dLbl>
              <c:idx val="1"/>
              <c:layout>
                <c:manualLayout>
                  <c:x val="-2.8912101697458436E-3"/>
                  <c:y val="-3.703729341524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81-418C-AB85-2A2962A0C4B5}"/>
                </c:ext>
              </c:extLst>
            </c:dLbl>
            <c:dLbl>
              <c:idx val="2"/>
              <c:layout>
                <c:manualLayout>
                  <c:x val="-1.7246589467696995E-2"/>
                  <c:y val="-6.4814975051195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181-418C-AB85-2A2962A0C4B5}"/>
                </c:ext>
              </c:extLst>
            </c:dLbl>
            <c:dLbl>
              <c:idx val="3"/>
              <c:layout>
                <c:manualLayout>
                  <c:x val="-6.9377877732046183E-3"/>
                  <c:y val="-4.16665224539240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181-418C-AB85-2A2962A0C4B5}"/>
                </c:ext>
              </c:extLst>
            </c:dLbl>
            <c:dLbl>
              <c:idx val="4"/>
              <c:layout>
                <c:manualLayout>
                  <c:x val="0"/>
                  <c:y val="-2.9304029304029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C5-4CB2-818B-4EFFFBC03699}"/>
                </c:ext>
              </c:extLst>
            </c:dLbl>
            <c:dLbl>
              <c:idx val="5"/>
              <c:layout>
                <c:manualLayout>
                  <c:x val="0"/>
                  <c:y val="-2.9304029304029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C5-4CB2-818B-4EFFFBC0369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extLst>
                <c:ext xmlns:c15="http://schemas.microsoft.com/office/drawing/2012/chart" uri="{02D57815-91ED-43cb-92C2-25804820EDAC}">
                  <c15:fullRef>
                    <c15:sqref>' Huamarrja e Brendshme'!$B$67:$H$67</c15:sqref>
                  </c15:fullRef>
                </c:ext>
              </c:extLst>
              <c:f>' Huamarrja e Brendshme'!$C$67:$H$67</c:f>
              <c:strCache>
                <c:ptCount val="6"/>
                <c:pt idx="0">
                  <c:v>TM1 2017</c:v>
                </c:pt>
                <c:pt idx="1">
                  <c:v>TM1 2018</c:v>
                </c:pt>
                <c:pt idx="2">
                  <c:v>TM1 2019</c:v>
                </c:pt>
                <c:pt idx="3">
                  <c:v>TM1 2020</c:v>
                </c:pt>
                <c:pt idx="4">
                  <c:v>TM1 2021</c:v>
                </c:pt>
                <c:pt idx="5">
                  <c:v>TM1 2022</c:v>
                </c:pt>
              </c:strCache>
            </c:strRef>
          </c:cat>
          <c:val>
            <c:numRef>
              <c:extLst>
                <c:ext xmlns:c15="http://schemas.microsoft.com/office/drawing/2012/chart" uri="{02D57815-91ED-43cb-92C2-25804820EDAC}">
                  <c15:fullRef>
                    <c15:sqref>' Huamarrja e Brendshme'!$B$70:$H$70</c15:sqref>
                  </c15:fullRef>
                </c:ext>
              </c:extLst>
              <c:f>' Huamarrja e Brendshme'!$C$70:$H$70</c:f>
              <c:numCache>
                <c:formatCode>0.0%</c:formatCode>
                <c:ptCount val="6"/>
                <c:pt idx="0">
                  <c:v>1.0934944010144239</c:v>
                </c:pt>
                <c:pt idx="1">
                  <c:v>0.97117795790779637</c:v>
                </c:pt>
                <c:pt idx="2">
                  <c:v>0.87483060149381586</c:v>
                </c:pt>
                <c:pt idx="3">
                  <c:v>0.93911205784930063</c:v>
                </c:pt>
                <c:pt idx="4">
                  <c:v>0.91530819208792158</c:v>
                </c:pt>
                <c:pt idx="5">
                  <c:v>0.83774609091684948</c:v>
                </c:pt>
              </c:numCache>
            </c:numRef>
          </c:val>
          <c:smooth val="1"/>
          <c:extLst>
            <c:ext xmlns:c16="http://schemas.microsoft.com/office/drawing/2014/chart" uri="{C3380CC4-5D6E-409C-BE32-E72D297353CC}">
              <c16:uniqueId val="{00000006-8181-418C-AB85-2A2962A0C4B5}"/>
            </c:ext>
          </c:extLst>
        </c:ser>
        <c:dLbls>
          <c:showLegendKey val="0"/>
          <c:showVal val="0"/>
          <c:showCatName val="0"/>
          <c:showSerName val="0"/>
          <c:showPercent val="0"/>
          <c:showBubbleSize val="0"/>
        </c:dLbls>
        <c:marker val="1"/>
        <c:smooth val="0"/>
        <c:axId val="2085559296"/>
        <c:axId val="2085544064"/>
      </c:lineChart>
      <c:catAx>
        <c:axId val="20855560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56576"/>
        <c:crosses val="autoZero"/>
        <c:auto val="1"/>
        <c:lblAlgn val="ctr"/>
        <c:lblOffset val="100"/>
        <c:noMultiLvlLbl val="0"/>
      </c:catAx>
      <c:valAx>
        <c:axId val="2085556576"/>
        <c:scaling>
          <c:orientation val="minMax"/>
          <c:max val="12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9256705475520414E-2"/>
              <c:y val="6.343745493351792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56032"/>
        <c:crosses val="autoZero"/>
        <c:crossBetween val="between"/>
        <c:majorUnit val="50"/>
      </c:valAx>
      <c:valAx>
        <c:axId val="2085544064"/>
        <c:scaling>
          <c:orientation val="minMax"/>
          <c:max val="1.2"/>
          <c:min val="0.4"/>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59296"/>
        <c:crosses val="max"/>
        <c:crossBetween val="between"/>
        <c:majorUnit val="0.4"/>
      </c:valAx>
      <c:catAx>
        <c:axId val="2085559296"/>
        <c:scaling>
          <c:orientation val="minMax"/>
        </c:scaling>
        <c:delete val="1"/>
        <c:axPos val="b"/>
        <c:numFmt formatCode="General" sourceLinked="1"/>
        <c:majorTickMark val="out"/>
        <c:minorTickMark val="none"/>
        <c:tickLblPos val="nextTo"/>
        <c:crossAx val="2085544064"/>
        <c:crosses val="autoZero"/>
        <c:auto val="1"/>
        <c:lblAlgn val="ctr"/>
        <c:lblOffset val="100"/>
        <c:noMultiLvlLbl val="0"/>
      </c:catAx>
      <c:spPr>
        <a:noFill/>
        <a:ln>
          <a:noFill/>
        </a:ln>
        <a:effectLst/>
      </c:spPr>
    </c:plotArea>
    <c:legend>
      <c:legendPos val="b"/>
      <c:layout>
        <c:manualLayout>
          <c:xMode val="edge"/>
          <c:yMode val="edge"/>
          <c:x val="0.24594653066992817"/>
          <c:y val="0.86173602531555737"/>
          <c:w val="0.50810693866014367"/>
          <c:h val="0.138263974684442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5911853300216"/>
          <c:y val="4.1666666666666664E-2"/>
          <c:w val="0.81095654318377985"/>
          <c:h val="0.71065715842123511"/>
        </c:manualLayout>
      </c:layout>
      <c:barChart>
        <c:barDir val="col"/>
        <c:grouping val="clustered"/>
        <c:varyColors val="0"/>
        <c:ser>
          <c:idx val="0"/>
          <c:order val="0"/>
          <c:tx>
            <c:strRef>
              <c:f>'Sherbimi i Borxhit'!$A$21</c:f>
              <c:strCache>
                <c:ptCount val="1"/>
                <c:pt idx="0">
                  <c:v>Borxhi Shtetëror</c:v>
                </c:pt>
              </c:strCache>
            </c:strRef>
          </c:tx>
          <c:spPr>
            <a:solidFill>
              <a:srgbClr val="00B0F0"/>
            </a:solidFill>
            <a:ln>
              <a:noFill/>
            </a:ln>
            <a:effectLst/>
          </c:spPr>
          <c:invertIfNegative val="0"/>
          <c:dLbls>
            <c:dLbl>
              <c:idx val="5"/>
              <c:layout>
                <c:manualLayout>
                  <c:x val="4.3542825284951271E-3"/>
                  <c:y val="0.25656262569184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05-4D73-ADA2-7882BED373AD}"/>
                </c:ext>
              </c:extLst>
            </c:dLbl>
            <c:numFmt formatCode="#,##0.0" sourceLinked="0"/>
            <c:spPr>
              <a:noFill/>
              <a:ln>
                <a:noFill/>
              </a:ln>
              <a:effectLst/>
            </c:spPr>
            <c:txPr>
              <a:bodyPr rot="-5400000" spcFirstLastPara="1" vertOverflow="ellipsis" wrap="square" anchor="ctr" anchorCtr="1"/>
              <a:lstStyle/>
              <a:p>
                <a:pPr>
                  <a:defRPr sz="8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Borxhit'!$C$20:$H$20</c:f>
              <c:strCache>
                <c:ptCount val="6"/>
                <c:pt idx="0">
                  <c:v>TM1 2017</c:v>
                </c:pt>
                <c:pt idx="1">
                  <c:v>TM1 2018</c:v>
                </c:pt>
                <c:pt idx="2">
                  <c:v>TM1 2019</c:v>
                </c:pt>
                <c:pt idx="3">
                  <c:v>TM1 2020</c:v>
                </c:pt>
                <c:pt idx="4">
                  <c:v>TM1 2021</c:v>
                </c:pt>
                <c:pt idx="5">
                  <c:v>TM1 2022</c:v>
                </c:pt>
              </c:strCache>
            </c:strRef>
          </c:cat>
          <c:val>
            <c:numRef>
              <c:f>'Sherbimi i Borxhit'!$C$21:$H$21</c:f>
              <c:numCache>
                <c:formatCode>_-* #,##0.00_L_e_k_-;\-* #,##0.00_L_e_k_-;_-* "-"??_L_e_k_-;_-@_-</c:formatCode>
                <c:ptCount val="6"/>
                <c:pt idx="0">
                  <c:v>1037.9153550000001</c:v>
                </c:pt>
                <c:pt idx="1">
                  <c:v>1036.96382804</c:v>
                </c:pt>
                <c:pt idx="2">
                  <c:v>1071.2833191361037</c:v>
                </c:pt>
                <c:pt idx="3">
                  <c:v>1117.8424769905716</c:v>
                </c:pt>
                <c:pt idx="4">
                  <c:v>1220.9222143074981</c:v>
                </c:pt>
                <c:pt idx="5" formatCode="_-* #,##0.0_L_e_k_-;\-* #,##0.0_L_e_k_-;_-* &quot;-&quot;??_L_e_k_-;_-@_-">
                  <c:v>1340.5258102611765</c:v>
                </c:pt>
              </c:numCache>
            </c:numRef>
          </c:val>
          <c:extLst>
            <c:ext xmlns:c16="http://schemas.microsoft.com/office/drawing/2014/chart" uri="{C3380CC4-5D6E-409C-BE32-E72D297353CC}">
              <c16:uniqueId val="{00000000-E244-40EC-888F-4991029DEC1B}"/>
            </c:ext>
          </c:extLst>
        </c:ser>
        <c:ser>
          <c:idx val="1"/>
          <c:order val="1"/>
          <c:tx>
            <c:strRef>
              <c:f>'Sherbimi i Borxhit'!$A$22</c:f>
              <c:strCache>
                <c:ptCount val="1"/>
                <c:pt idx="0">
                  <c:v>Interesa</c:v>
                </c:pt>
              </c:strCache>
            </c:strRef>
          </c:tx>
          <c:spPr>
            <a:solidFill>
              <a:srgbClr val="C00000"/>
            </a:solidFill>
            <a:ln>
              <a:noFill/>
            </a:ln>
            <a:effectLst/>
          </c:spPr>
          <c:invertIfNegative val="0"/>
          <c:dLbls>
            <c:dLbl>
              <c:idx val="0"/>
              <c:layout>
                <c:manualLayout>
                  <c:x val="1.0926573426573426E-2"/>
                  <c:y val="2.6748951899658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44-40EC-888F-4991029DEC1B}"/>
                </c:ext>
              </c:extLst>
            </c:dLbl>
            <c:dLbl>
              <c:idx val="1"/>
              <c:layout>
                <c:manualLayout>
                  <c:x val="1.3111888111888112E-2"/>
                  <c:y val="2.67489518996587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44-40EC-888F-4991029DEC1B}"/>
                </c:ext>
              </c:extLst>
            </c:dLbl>
            <c:dLbl>
              <c:idx val="2"/>
              <c:layout>
                <c:manualLayout>
                  <c:x val="0"/>
                  <c:y val="2.0481307500867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44-40EC-888F-4991029DEC1B}"/>
                </c:ext>
              </c:extLst>
            </c:dLbl>
            <c:dLbl>
              <c:idx val="3"/>
              <c:layout>
                <c:manualLayout>
                  <c:x val="-1.2437809727170277E-3"/>
                  <c:y val="2.4577569001041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244-40EC-888F-4991029DEC1B}"/>
                </c:ext>
              </c:extLst>
            </c:dLbl>
            <c:dLbl>
              <c:idx val="4"/>
              <c:layout>
                <c:manualLayout>
                  <c:x val="0"/>
                  <c:y val="2.04813075008676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44-40EC-888F-4991029DEC1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Borxhit'!$C$20:$H$20</c:f>
              <c:strCache>
                <c:ptCount val="6"/>
                <c:pt idx="0">
                  <c:v>TM1 2017</c:v>
                </c:pt>
                <c:pt idx="1">
                  <c:v>TM1 2018</c:v>
                </c:pt>
                <c:pt idx="2">
                  <c:v>TM1 2019</c:v>
                </c:pt>
                <c:pt idx="3">
                  <c:v>TM1 2020</c:v>
                </c:pt>
                <c:pt idx="4">
                  <c:v>TM1 2021</c:v>
                </c:pt>
                <c:pt idx="5">
                  <c:v>TM1 2022</c:v>
                </c:pt>
              </c:strCache>
            </c:strRef>
          </c:cat>
          <c:val>
            <c:numRef>
              <c:f>'Sherbimi i Borxhit'!$C$22:$H$22</c:f>
              <c:numCache>
                <c:formatCode>_-* #,##0.00_L_e_k_-;\-* #,##0.00_L_e_k_-;_-* "-"??_L_e_k_-;_-@_-</c:formatCode>
                <c:ptCount val="6"/>
                <c:pt idx="0">
                  <c:v>7.8230000000000004</c:v>
                </c:pt>
                <c:pt idx="1">
                  <c:v>8.4881000000000011</c:v>
                </c:pt>
                <c:pt idx="2">
                  <c:v>9.5246438075489976</c:v>
                </c:pt>
                <c:pt idx="3">
                  <c:v>9.0629600565800015</c:v>
                </c:pt>
                <c:pt idx="4">
                  <c:v>9.6599716872807999</c:v>
                </c:pt>
                <c:pt idx="5">
                  <c:v>11.029023915668699</c:v>
                </c:pt>
              </c:numCache>
            </c:numRef>
          </c:val>
          <c:extLst>
            <c:ext xmlns:c16="http://schemas.microsoft.com/office/drawing/2014/chart" uri="{C3380CC4-5D6E-409C-BE32-E72D297353CC}">
              <c16:uniqueId val="{00000006-E244-40EC-888F-4991029DEC1B}"/>
            </c:ext>
          </c:extLst>
        </c:ser>
        <c:dLbls>
          <c:showLegendKey val="0"/>
          <c:showVal val="0"/>
          <c:showCatName val="0"/>
          <c:showSerName val="0"/>
          <c:showPercent val="0"/>
          <c:showBubbleSize val="0"/>
        </c:dLbls>
        <c:gapWidth val="219"/>
        <c:overlap val="-27"/>
        <c:axId val="2085558208"/>
        <c:axId val="2085553856"/>
      </c:barChart>
      <c:lineChart>
        <c:grouping val="standard"/>
        <c:varyColors val="0"/>
        <c:ser>
          <c:idx val="2"/>
          <c:order val="2"/>
          <c:tx>
            <c:strRef>
              <c:f>'Sherbimi i Borxhit'!$A$23</c:f>
              <c:strCache>
                <c:ptCount val="1"/>
                <c:pt idx="0">
                  <c:v>Interesa/PBB</c:v>
                </c:pt>
              </c:strCache>
            </c:strRef>
          </c:tx>
          <c:spPr>
            <a:ln w="25400" cap="rnd">
              <a:solidFill>
                <a:sysClr val="windowText" lastClr="000000"/>
              </a:solidFill>
              <a:round/>
            </a:ln>
            <a:effectLst/>
          </c:spPr>
          <c:marker>
            <c:symbol val="diamond"/>
            <c:size val="5"/>
            <c:spPr>
              <a:solidFill>
                <a:schemeClr val="bg1">
                  <a:lumMod val="50000"/>
                </a:schemeClr>
              </a:solidFill>
              <a:ln w="9525">
                <a:solidFill>
                  <a:sysClr val="windowText" lastClr="000000"/>
                </a:solidFill>
              </a:ln>
              <a:effectLst/>
            </c:spPr>
          </c:marker>
          <c:dLbls>
            <c:dLbl>
              <c:idx val="0"/>
              <c:layout>
                <c:manualLayout>
                  <c:x val="-1.5676965750784689E-2"/>
                  <c:y val="-6.5098937217617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244-40EC-888F-4991029DEC1B}"/>
                </c:ext>
              </c:extLst>
            </c:dLbl>
            <c:dLbl>
              <c:idx val="1"/>
              <c:layout>
                <c:manualLayout>
                  <c:x val="-1.1705715544298261E-2"/>
                  <c:y val="-6.96293956674406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244-40EC-888F-4991029DEC1B}"/>
                </c:ext>
              </c:extLst>
            </c:dLbl>
            <c:dLbl>
              <c:idx val="2"/>
              <c:layout>
                <c:manualLayout>
                  <c:x val="-1.4544731842960189E-2"/>
                  <c:y val="-6.54848651596395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244-40EC-888F-4991029DEC1B}"/>
                </c:ext>
              </c:extLst>
            </c:dLbl>
            <c:dLbl>
              <c:idx val="3"/>
              <c:layout>
                <c:manualLayout>
                  <c:x val="-9.500784648422524E-3"/>
                  <c:y val="-6.35818752051167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244-40EC-888F-4991029DEC1B}"/>
                </c:ext>
              </c:extLst>
            </c:dLbl>
            <c:dLbl>
              <c:idx val="4"/>
              <c:layout>
                <c:manualLayout>
                  <c:x val="-1.0554725786024999E-2"/>
                  <c:y val="-7.0511305171779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244-40EC-888F-4991029DEC1B}"/>
                </c:ext>
              </c:extLst>
            </c:dLbl>
            <c:dLbl>
              <c:idx val="5"/>
              <c:layout>
                <c:manualLayout>
                  <c:x val="-8.7412587412587419E-3"/>
                  <c:y val="-8.1479160137887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05-4D73-ADA2-7882BED373A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Borxhit'!$C$20:$H$20</c:f>
              <c:strCache>
                <c:ptCount val="6"/>
                <c:pt idx="0">
                  <c:v>TM1 2017</c:v>
                </c:pt>
                <c:pt idx="1">
                  <c:v>TM1 2018</c:v>
                </c:pt>
                <c:pt idx="2">
                  <c:v>TM1 2019</c:v>
                </c:pt>
                <c:pt idx="3">
                  <c:v>TM1 2020</c:v>
                </c:pt>
                <c:pt idx="4">
                  <c:v>TM1 2021</c:v>
                </c:pt>
                <c:pt idx="5">
                  <c:v>TM1 2022</c:v>
                </c:pt>
              </c:strCache>
            </c:strRef>
          </c:cat>
          <c:val>
            <c:numRef>
              <c:f>'Sherbimi i Borxhit'!$C$23:$H$23</c:f>
              <c:numCache>
                <c:formatCode>0.00%</c:formatCode>
                <c:ptCount val="6"/>
                <c:pt idx="0">
                  <c:v>5.0449958100997026E-3</c:v>
                </c:pt>
                <c:pt idx="1">
                  <c:v>5.186012373775196E-3</c:v>
                </c:pt>
                <c:pt idx="2">
                  <c:v>5.6295448424342276E-3</c:v>
                </c:pt>
                <c:pt idx="3">
                  <c:v>5.5124912376853406E-3</c:v>
                </c:pt>
                <c:pt idx="4">
                  <c:v>5.1103390435706881E-3</c:v>
                </c:pt>
                <c:pt idx="5">
                  <c:v>5.4836308904746417E-3</c:v>
                </c:pt>
              </c:numCache>
            </c:numRef>
          </c:val>
          <c:smooth val="1"/>
          <c:extLst>
            <c:ext xmlns:c16="http://schemas.microsoft.com/office/drawing/2014/chart" uri="{C3380CC4-5D6E-409C-BE32-E72D297353CC}">
              <c16:uniqueId val="{0000000C-E244-40EC-888F-4991029DEC1B}"/>
            </c:ext>
          </c:extLst>
        </c:ser>
        <c:ser>
          <c:idx val="3"/>
          <c:order val="3"/>
          <c:tx>
            <c:strRef>
              <c:f>'Sherbimi i Borxhit'!$A$24</c:f>
              <c:strCache>
                <c:ptCount val="1"/>
                <c:pt idx="0">
                  <c:v>Interesa/Të Ardhura Tatimore</c:v>
                </c:pt>
              </c:strCache>
            </c:strRef>
          </c:tx>
          <c:spPr>
            <a:ln w="28575" cap="rnd">
              <a:solidFill>
                <a:srgbClr val="FF0000"/>
              </a:solidFill>
              <a:round/>
            </a:ln>
            <a:effectLst/>
          </c:spPr>
          <c:marker>
            <c:symbol val="diamond"/>
            <c:size val="5"/>
            <c:spPr>
              <a:solidFill>
                <a:srgbClr val="C00000"/>
              </a:solidFill>
              <a:ln w="9525">
                <a:solidFill>
                  <a:srgbClr val="FF0000"/>
                </a:solidFill>
              </a:ln>
              <a:effectLst/>
            </c:spPr>
          </c:marker>
          <c:dLbls>
            <c:dLbl>
              <c:idx val="0"/>
              <c:layout>
                <c:manualLayout>
                  <c:x val="-8.7412587412587419E-3"/>
                  <c:y val="-4.8544503858045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244-40EC-888F-4991029DEC1B}"/>
                </c:ext>
              </c:extLst>
            </c:dLbl>
            <c:dLbl>
              <c:idx val="1"/>
              <c:layout>
                <c:manualLayout>
                  <c:x val="-1.4924494796542081E-2"/>
                  <c:y val="-5.4812131560960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244-40EC-888F-4991029DEC1B}"/>
                </c:ext>
              </c:extLst>
            </c:dLbl>
            <c:dLbl>
              <c:idx val="2"/>
              <c:layout>
                <c:manualLayout>
                  <c:x val="-1.7482517482517484E-2"/>
                  <c:y val="-5.1643278216045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244-40EC-888F-4991029DEC1B}"/>
                </c:ext>
              </c:extLst>
            </c:dLbl>
            <c:dLbl>
              <c:idx val="3"/>
              <c:layout>
                <c:manualLayout>
                  <c:x val="-2.3479571609492871E-2"/>
                  <c:y val="-5.63380768253232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244-40EC-888F-4991029DEC1B}"/>
                </c:ext>
              </c:extLst>
            </c:dLbl>
            <c:dLbl>
              <c:idx val="4"/>
              <c:layout>
                <c:manualLayout>
                  <c:x val="-2.1107902923847805E-2"/>
                  <c:y val="-5.6338076825323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244-40EC-888F-4991029DEC1B}"/>
                </c:ext>
              </c:extLst>
            </c:dLbl>
            <c:dLbl>
              <c:idx val="5"/>
              <c:layout>
                <c:manualLayout>
                  <c:x val="-2.1853146853146852E-2"/>
                  <c:y val="-2.5070510811657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05-4D73-ADA2-7882BED373A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Borxhit'!$C$20:$H$20</c:f>
              <c:strCache>
                <c:ptCount val="6"/>
                <c:pt idx="0">
                  <c:v>TM1 2017</c:v>
                </c:pt>
                <c:pt idx="1">
                  <c:v>TM1 2018</c:v>
                </c:pt>
                <c:pt idx="2">
                  <c:v>TM1 2019</c:v>
                </c:pt>
                <c:pt idx="3">
                  <c:v>TM1 2020</c:v>
                </c:pt>
                <c:pt idx="4">
                  <c:v>TM1 2021</c:v>
                </c:pt>
                <c:pt idx="5">
                  <c:v>TM1 2022</c:v>
                </c:pt>
              </c:strCache>
            </c:strRef>
          </c:cat>
          <c:val>
            <c:numRef>
              <c:f>'Sherbimi i Borxhit'!$C$24:$H$24</c:f>
              <c:numCache>
                <c:formatCode>0.00%</c:formatCode>
                <c:ptCount val="6"/>
                <c:pt idx="0">
                  <c:v>8.2785696900430708E-2</c:v>
                </c:pt>
                <c:pt idx="1">
                  <c:v>8.621211505647193E-2</c:v>
                </c:pt>
                <c:pt idx="2">
                  <c:v>9.3790804785223308E-2</c:v>
                </c:pt>
                <c:pt idx="3">
                  <c:v>9.3431614690364026E-2</c:v>
                </c:pt>
                <c:pt idx="4">
                  <c:v>9.2903102427228573E-2</c:v>
                </c:pt>
                <c:pt idx="5">
                  <c:v>8.3225982052903352E-2</c:v>
                </c:pt>
              </c:numCache>
            </c:numRef>
          </c:val>
          <c:smooth val="1"/>
          <c:extLst>
            <c:ext xmlns:c16="http://schemas.microsoft.com/office/drawing/2014/chart" uri="{C3380CC4-5D6E-409C-BE32-E72D297353CC}">
              <c16:uniqueId val="{00000012-E244-40EC-888F-4991029DEC1B}"/>
            </c:ext>
          </c:extLst>
        </c:ser>
        <c:dLbls>
          <c:showLegendKey val="0"/>
          <c:showVal val="0"/>
          <c:showCatName val="0"/>
          <c:showSerName val="0"/>
          <c:showPercent val="0"/>
          <c:showBubbleSize val="0"/>
        </c:dLbls>
        <c:marker val="1"/>
        <c:smooth val="0"/>
        <c:axId val="2085546240"/>
        <c:axId val="2085554400"/>
      </c:lineChart>
      <c:catAx>
        <c:axId val="20855582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2085553856"/>
        <c:crosses val="autoZero"/>
        <c:auto val="1"/>
        <c:lblAlgn val="ctr"/>
        <c:lblOffset val="100"/>
        <c:noMultiLvlLbl val="0"/>
      </c:catAx>
      <c:valAx>
        <c:axId val="2085553856"/>
        <c:scaling>
          <c:orientation val="minMax"/>
          <c:max val="1000"/>
        </c:scaling>
        <c:delete val="0"/>
        <c:axPos val="l"/>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a:t>në miliard Lekë</a:t>
                </a:r>
              </a:p>
            </c:rich>
          </c:tx>
          <c:layout>
            <c:manualLayout>
              <c:xMode val="edge"/>
              <c:yMode val="edge"/>
              <c:x val="2.7362597291115256E-2"/>
              <c:y val="0.17554981199869099"/>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2085558208"/>
        <c:crosses val="autoZero"/>
        <c:crossBetween val="between"/>
        <c:majorUnit val="250"/>
      </c:valAx>
      <c:valAx>
        <c:axId val="2085554400"/>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crossAx val="2085546240"/>
        <c:crosses val="max"/>
        <c:crossBetween val="between"/>
        <c:majorUnit val="3.0000000000000006E-2"/>
      </c:valAx>
      <c:catAx>
        <c:axId val="2085546240"/>
        <c:scaling>
          <c:orientation val="minMax"/>
        </c:scaling>
        <c:delete val="1"/>
        <c:axPos val="b"/>
        <c:numFmt formatCode="General" sourceLinked="1"/>
        <c:majorTickMark val="none"/>
        <c:minorTickMark val="none"/>
        <c:tickLblPos val="nextTo"/>
        <c:crossAx val="2085554400"/>
        <c:crosses val="autoZero"/>
        <c:auto val="1"/>
        <c:lblAlgn val="ctr"/>
        <c:lblOffset val="100"/>
        <c:noMultiLvlLbl val="0"/>
      </c:catAx>
      <c:spPr>
        <a:noFill/>
        <a:ln>
          <a:noFill/>
        </a:ln>
        <a:effectLst/>
      </c:spPr>
    </c:plotArea>
    <c:legend>
      <c:legendPos val="b"/>
      <c:layout>
        <c:manualLayout>
          <c:xMode val="edge"/>
          <c:yMode val="edge"/>
          <c:x val="0.10280838747866305"/>
          <c:y val="0.89390041381148255"/>
          <c:w val="0.82487738024613511"/>
          <c:h val="7.9225906620827333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1"/>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4382604811259"/>
          <c:y val="0.16096576076601113"/>
          <c:w val="0.79152746718733524"/>
          <c:h val="0.59538916689310695"/>
        </c:manualLayout>
      </c:layout>
      <c:lineChart>
        <c:grouping val="standard"/>
        <c:varyColors val="0"/>
        <c:ser>
          <c:idx val="0"/>
          <c:order val="0"/>
          <c:tx>
            <c:strRef>
              <c:f>'Sherbimi i Borxhit'!$A$46</c:f>
              <c:strCache>
                <c:ptCount val="1"/>
                <c:pt idx="0">
                  <c:v>Yield</c:v>
                </c:pt>
              </c:strCache>
            </c:strRef>
          </c:tx>
          <c:spPr>
            <a:ln w="28575" cap="rnd">
              <a:solidFill>
                <a:schemeClr val="accent1"/>
              </a:solidFill>
              <a:round/>
            </a:ln>
            <a:effectLst/>
          </c:spPr>
          <c:marker>
            <c:symbol val="diamond"/>
            <c:size val="5"/>
            <c:spPr>
              <a:solidFill>
                <a:schemeClr val="accent1"/>
              </a:solidFill>
              <a:ln w="9525">
                <a:solidFill>
                  <a:schemeClr val="accent1"/>
                </a:solidFill>
              </a:ln>
              <a:effectLst/>
            </c:spPr>
          </c:marker>
          <c:dLbls>
            <c:dLbl>
              <c:idx val="17"/>
              <c:layout>
                <c:manualLayout>
                  <c:x val="-3.9164968057143322E-17"/>
                  <c:y val="8.01282051282050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28-4B78-9883-87E6F92795E8}"/>
                </c:ext>
              </c:extLst>
            </c:dLbl>
            <c:dLbl>
              <c:idx val="18"/>
              <c:layout>
                <c:manualLayout>
                  <c:x val="-6.4088869899594104E-3"/>
                  <c:y val="0.1041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28-4B78-9883-87E6F92795E8}"/>
                </c:ext>
              </c:extLst>
            </c:dLbl>
            <c:dLbl>
              <c:idx val="19"/>
              <c:layout>
                <c:manualLayout>
                  <c:x val="-4.2725913266396069E-3"/>
                  <c:y val="5.60897435897435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28-4B78-9883-87E6F92795E8}"/>
                </c:ext>
              </c:extLst>
            </c:dLbl>
            <c:dLbl>
              <c:idx val="20"/>
              <c:layout>
                <c:manualLayout>
                  <c:x val="2.1362956633198035E-3"/>
                  <c:y val="-4.8076923076923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28-4B78-9883-87E6F92795E8}"/>
                </c:ext>
              </c:extLst>
            </c:dLbl>
            <c:dLbl>
              <c:idx val="21"/>
              <c:layout>
                <c:manualLayout>
                  <c:x val="-2.4771609808120279E-2"/>
                  <c:y val="-6.7235766202301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28-4B78-9883-87E6F92795E8}"/>
                </c:ext>
              </c:extLst>
            </c:dLbl>
            <c:dLbl>
              <c:idx val="22"/>
              <c:layout>
                <c:manualLayout>
                  <c:x val="-3.9884808246437843E-2"/>
                  <c:y val="-5.203853725015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C28-4B78-9883-87E6F92795E8}"/>
                </c:ext>
              </c:extLst>
            </c:dLbl>
            <c:dLbl>
              <c:idx val="23"/>
              <c:layout>
                <c:manualLayout>
                  <c:x val="-3.9884777309993354E-2"/>
                  <c:y val="3.93258426966292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C28-4B78-9883-87E6F92795E8}"/>
                </c:ext>
              </c:extLst>
            </c:dLbl>
            <c:dLbl>
              <c:idx val="24"/>
              <c:layout>
                <c:manualLayout>
                  <c:x val="-5.3179703079991217E-2"/>
                  <c:y val="3.9325842696629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C28-4B78-9883-87E6F92795E8}"/>
                </c:ext>
              </c:extLst>
            </c:dLbl>
            <c:dLbl>
              <c:idx val="25"/>
              <c:layout>
                <c:manualLayout>
                  <c:x val="-4.2100598271659566E-2"/>
                  <c:y val="2.8089887640449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C28-4B78-9883-87E6F92795E8}"/>
                </c:ext>
              </c:extLst>
            </c:dLbl>
            <c:dLbl>
              <c:idx val="26"/>
              <c:layout>
                <c:manualLayout>
                  <c:x val="-4.9066666666666668E-2"/>
                  <c:y val="3.2193152153202211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0-EC7D-449D-9418-7703AD0CD8FF}"/>
                </c:ext>
              </c:extLst>
            </c:dLbl>
            <c:dLbl>
              <c:idx val="27"/>
              <c:layout>
                <c:manualLayout>
                  <c:x val="-4.48E-2"/>
                  <c:y val="5.9020778947537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7D-449D-9418-7703AD0CD8FF}"/>
                </c:ext>
              </c:extLst>
            </c:dLbl>
            <c:dLbl>
              <c:idx val="28"/>
              <c:layout>
                <c:manualLayout>
                  <c:x val="-4.48E-2"/>
                  <c:y val="6.4386304306404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7D-449D-9418-7703AD0CD8FF}"/>
                </c:ext>
              </c:extLst>
            </c:dLbl>
            <c:dLbl>
              <c:idx val="29"/>
              <c:layout>
                <c:manualLayout>
                  <c:x val="-4.0533333333333331E-2"/>
                  <c:y val="4.82897282298033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7D-449D-9418-7703AD0CD8FF}"/>
                </c:ext>
              </c:extLst>
            </c:dLbl>
            <c:dLbl>
              <c:idx val="30"/>
              <c:layout>
                <c:manualLayout>
                  <c:x val="-4.6933333333333487E-2"/>
                  <c:y val="4.8289728229803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7D-449D-9418-7703AD0CD8FF}"/>
                </c:ext>
              </c:extLst>
            </c:dLbl>
            <c:dLbl>
              <c:idx val="31"/>
              <c:layout>
                <c:manualLayout>
                  <c:x val="-2.805048675324966E-2"/>
                  <c:y val="3.219315215320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C28-4B78-9883-87E6F92795E8}"/>
                </c:ext>
              </c:extLst>
            </c:dLbl>
            <c:dLbl>
              <c:idx val="32"/>
              <c:layout>
                <c:manualLayout>
                  <c:x val="-2.0570356952383084E-2"/>
                  <c:y val="3.219315215320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C28-4B78-9883-87E6F92795E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'Sherbimi i Borxhit'!$B$45:$H$45</c15:sqref>
                  </c15:fullRef>
                </c:ext>
              </c:extLst>
              <c:f>'Sherbimi i Borxhit'!$C$45:$H$45</c:f>
              <c:numCache>
                <c:formatCode>General</c:formatCode>
                <c:ptCount val="6"/>
                <c:pt idx="0">
                  <c:v>2017</c:v>
                </c:pt>
                <c:pt idx="1">
                  <c:v>2018</c:v>
                </c:pt>
                <c:pt idx="2">
                  <c:v>2019</c:v>
                </c:pt>
                <c:pt idx="3">
                  <c:v>2020</c:v>
                </c:pt>
                <c:pt idx="4">
                  <c:v>2021</c:v>
                </c:pt>
                <c:pt idx="5" formatCode="mmm\-yy">
                  <c:v>44621</c:v>
                </c:pt>
              </c:numCache>
            </c:numRef>
          </c:cat>
          <c:val>
            <c:numRef>
              <c:extLst>
                <c:ext xmlns:c15="http://schemas.microsoft.com/office/drawing/2012/chart" uri="{02D57815-91ED-43cb-92C2-25804820EDAC}">
                  <c15:fullRef>
                    <c15:sqref>'Sherbimi i Borxhit'!$B$46:$H$46</c15:sqref>
                  </c15:fullRef>
                </c:ext>
              </c:extLst>
              <c:f>'Sherbimi i Borxhit'!$C$46:$H$46</c:f>
              <c:numCache>
                <c:formatCode>0.00%</c:formatCode>
                <c:ptCount val="6"/>
                <c:pt idx="0">
                  <c:v>4.3299999999999998E-2</c:v>
                </c:pt>
                <c:pt idx="1">
                  <c:v>4.1829999999999999E-2</c:v>
                </c:pt>
                <c:pt idx="2">
                  <c:v>3.8350000000000002E-2</c:v>
                </c:pt>
                <c:pt idx="3">
                  <c:v>3.6500999999999999E-2</c:v>
                </c:pt>
                <c:pt idx="4">
                  <c:v>3.5249999999999997E-2</c:v>
                </c:pt>
                <c:pt idx="5">
                  <c:v>3.4979999999999997E-2</c:v>
                </c:pt>
              </c:numCache>
            </c:numRef>
          </c:val>
          <c:smooth val="1"/>
          <c:extLst>
            <c:ext xmlns:c16="http://schemas.microsoft.com/office/drawing/2014/chart" uri="{C3380CC4-5D6E-409C-BE32-E72D297353CC}">
              <c16:uniqueId val="{00000005-EC7D-449D-9418-7703AD0CD8FF}"/>
            </c:ext>
          </c:extLst>
        </c:ser>
        <c:dLbls>
          <c:showLegendKey val="0"/>
          <c:showVal val="0"/>
          <c:showCatName val="0"/>
          <c:showSerName val="0"/>
          <c:showPercent val="0"/>
          <c:showBubbleSize val="0"/>
        </c:dLbls>
        <c:marker val="1"/>
        <c:smooth val="0"/>
        <c:axId val="2085558752"/>
        <c:axId val="2085544608"/>
      </c:lineChart>
      <c:lineChart>
        <c:grouping val="standard"/>
        <c:varyColors val="0"/>
        <c:ser>
          <c:idx val="1"/>
          <c:order val="1"/>
          <c:tx>
            <c:strRef>
              <c:f>'Sherbimi i Borxhit'!$A$47</c:f>
              <c:strCache>
                <c:ptCount val="1"/>
                <c:pt idx="0">
                  <c:v>DMM</c:v>
                </c:pt>
              </c:strCache>
            </c:strRef>
          </c:tx>
          <c:spPr>
            <a:ln w="28575" cap="rnd">
              <a:solidFill>
                <a:srgbClr val="C00000"/>
              </a:solidFill>
              <a:round/>
            </a:ln>
            <a:effectLst/>
          </c:spPr>
          <c:marker>
            <c:symbol val="square"/>
            <c:size val="5"/>
            <c:spPr>
              <a:solidFill>
                <a:srgbClr val="C00000"/>
              </a:solidFill>
              <a:ln w="9525">
                <a:solidFill>
                  <a:srgbClr val="C00000"/>
                </a:solidFill>
              </a:ln>
              <a:effectLst/>
            </c:spPr>
          </c:marker>
          <c:dLbls>
            <c:dLbl>
              <c:idx val="17"/>
              <c:layout>
                <c:manualLayout>
                  <c:x val="4.2725913266396069E-3"/>
                  <c:y val="-6.4102564102564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C28-4B78-9883-87E6F92795E8}"/>
                </c:ext>
              </c:extLst>
            </c:dLbl>
            <c:dLbl>
              <c:idx val="18"/>
              <c:layout>
                <c:manualLayout>
                  <c:x val="0"/>
                  <c:y val="-5.60897435897435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C28-4B78-9883-87E6F92795E8}"/>
                </c:ext>
              </c:extLst>
            </c:dLbl>
            <c:dLbl>
              <c:idx val="19"/>
              <c:layout>
                <c:manualLayout>
                  <c:x val="0"/>
                  <c:y val="-7.21153846153846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C28-4B78-9883-87E6F92795E8}"/>
                </c:ext>
              </c:extLst>
            </c:dLbl>
            <c:dLbl>
              <c:idx val="20"/>
              <c:layout>
                <c:manualLayout>
                  <c:x val="0"/>
                  <c:y val="-8.0128205128205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C28-4B78-9883-87E6F92795E8}"/>
                </c:ext>
              </c:extLst>
            </c:dLbl>
            <c:dLbl>
              <c:idx val="21"/>
              <c:layout>
                <c:manualLayout>
                  <c:x val="-1.9942388654996698E-2"/>
                  <c:y val="-6.25909450345461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C28-4B78-9883-87E6F92795E8}"/>
                </c:ext>
              </c:extLst>
            </c:dLbl>
            <c:dLbl>
              <c:idx val="22"/>
              <c:layout>
                <c:manualLayout>
                  <c:x val="-2.8805672501661866E-2"/>
                  <c:y val="-7.8100832587861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C28-4B78-9883-87E6F92795E8}"/>
                </c:ext>
              </c:extLst>
            </c:dLbl>
            <c:dLbl>
              <c:idx val="23"/>
              <c:layout>
                <c:manualLayout>
                  <c:x val="-2.6589851539995567E-2"/>
                  <c:y val="-7.2482467415497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C28-4B78-9883-87E6F92795E8}"/>
                </c:ext>
              </c:extLst>
            </c:dLbl>
            <c:dLbl>
              <c:idx val="24"/>
              <c:layout>
                <c:manualLayout>
                  <c:x val="-2.658985153999565E-2"/>
                  <c:y val="-8.02374111921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C28-4B78-9883-87E6F92795E8}"/>
                </c:ext>
              </c:extLst>
            </c:dLbl>
            <c:dLbl>
              <c:idx val="25"/>
              <c:layout>
                <c:manualLayout>
                  <c:x val="-3.7668956348326975E-2"/>
                  <c:y val="-9.36107201411766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C28-4B78-9883-87E6F92795E8}"/>
                </c:ext>
              </c:extLst>
            </c:dLbl>
            <c:dLbl>
              <c:idx val="26"/>
              <c:layout>
                <c:manualLayout>
                  <c:x val="-2.3466666666666667E-2"/>
                  <c:y val="-6.9751829665271534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6-EC7D-449D-9418-7703AD0CD8FF}"/>
                </c:ext>
              </c:extLst>
            </c:dLbl>
            <c:dLbl>
              <c:idx val="27"/>
              <c:layout>
                <c:manualLayout>
                  <c:x val="-1.2800000000000001E-2"/>
                  <c:y val="-9.1213931100739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7D-449D-9418-7703AD0CD8FF}"/>
                </c:ext>
              </c:extLst>
            </c:dLbl>
            <c:dLbl>
              <c:idx val="28"/>
              <c:layout>
                <c:manualLayout>
                  <c:x val="-3.2000000000000077E-2"/>
                  <c:y val="-6.4386304306404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7D-449D-9418-7703AD0CD8FF}"/>
                </c:ext>
              </c:extLst>
            </c:dLbl>
            <c:dLbl>
              <c:idx val="29"/>
              <c:layout>
                <c:manualLayout>
                  <c:x val="-2.3466666666666743E-2"/>
                  <c:y val="-7.5117355024138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7D-449D-9418-7703AD0CD8FF}"/>
                </c:ext>
              </c:extLst>
            </c:dLbl>
            <c:dLbl>
              <c:idx val="30"/>
              <c:layout>
                <c:manualLayout>
                  <c:x val="-3.2000000000000153E-2"/>
                  <c:y val="-5.9020778947537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7D-449D-9418-7703AD0CD8FF}"/>
                </c:ext>
              </c:extLst>
            </c:dLbl>
            <c:dLbl>
              <c:idx val="31"/>
              <c:layout>
                <c:manualLayout>
                  <c:x val="-3.3660584103899591E-2"/>
                  <c:y val="-4.29242028709363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C28-4B78-9883-87E6F92795E8}"/>
                </c:ext>
              </c:extLst>
            </c:dLbl>
            <c:dLbl>
              <c:idx val="32"/>
              <c:layout>
                <c:manualLayout>
                  <c:x val="-3.3660584103899729E-2"/>
                  <c:y val="-4.8289728229803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C28-4B78-9883-87E6F92795E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extLst>
                <c:ext xmlns:c15="http://schemas.microsoft.com/office/drawing/2012/chart" uri="{02D57815-91ED-43cb-92C2-25804820EDAC}">
                  <c15:fullRef>
                    <c15:sqref>'Sherbimi i Borxhit'!$B$45:$H$45</c15:sqref>
                  </c15:fullRef>
                </c:ext>
              </c:extLst>
              <c:f>'Sherbimi i Borxhit'!$C$45:$H$45</c:f>
              <c:numCache>
                <c:formatCode>General</c:formatCode>
                <c:ptCount val="6"/>
                <c:pt idx="0">
                  <c:v>2017</c:v>
                </c:pt>
                <c:pt idx="1">
                  <c:v>2018</c:v>
                </c:pt>
                <c:pt idx="2">
                  <c:v>2019</c:v>
                </c:pt>
                <c:pt idx="3">
                  <c:v>2020</c:v>
                </c:pt>
                <c:pt idx="4">
                  <c:v>2021</c:v>
                </c:pt>
                <c:pt idx="5" formatCode="mmm\-yy">
                  <c:v>44621</c:v>
                </c:pt>
              </c:numCache>
            </c:numRef>
          </c:cat>
          <c:val>
            <c:numRef>
              <c:extLst>
                <c:ext xmlns:c15="http://schemas.microsoft.com/office/drawing/2012/chart" uri="{02D57815-91ED-43cb-92C2-25804820EDAC}">
                  <c15:fullRef>
                    <c15:sqref>'Sherbimi i Borxhit'!$B$47:$H$47</c15:sqref>
                  </c15:fullRef>
                </c:ext>
              </c:extLst>
              <c:f>'Sherbimi i Borxhit'!$C$47:$H$47</c:f>
              <c:numCache>
                <c:formatCode>General</c:formatCode>
                <c:ptCount val="6"/>
                <c:pt idx="0">
                  <c:v>780</c:v>
                </c:pt>
                <c:pt idx="1">
                  <c:v>783</c:v>
                </c:pt>
                <c:pt idx="2" formatCode="#,##0">
                  <c:v>787</c:v>
                </c:pt>
                <c:pt idx="3" formatCode="#,##0">
                  <c:v>783</c:v>
                </c:pt>
                <c:pt idx="4" formatCode="#,##0">
                  <c:v>793</c:v>
                </c:pt>
                <c:pt idx="5" formatCode="#,##0">
                  <c:v>847</c:v>
                </c:pt>
              </c:numCache>
            </c:numRef>
          </c:val>
          <c:smooth val="1"/>
          <c:extLst>
            <c:ext xmlns:c16="http://schemas.microsoft.com/office/drawing/2014/chart" uri="{C3380CC4-5D6E-409C-BE32-E72D297353CC}">
              <c16:uniqueId val="{0000000B-EC7D-449D-9418-7703AD0CD8FF}"/>
            </c:ext>
          </c:extLst>
        </c:ser>
        <c:dLbls>
          <c:showLegendKey val="0"/>
          <c:showVal val="0"/>
          <c:showCatName val="0"/>
          <c:showSerName val="0"/>
          <c:showPercent val="0"/>
          <c:showBubbleSize val="0"/>
        </c:dLbls>
        <c:marker val="1"/>
        <c:smooth val="0"/>
        <c:axId val="2085547328"/>
        <c:axId val="2085545152"/>
      </c:lineChart>
      <c:catAx>
        <c:axId val="20855587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085544608"/>
        <c:crosses val="autoZero"/>
        <c:auto val="1"/>
        <c:lblAlgn val="ctr"/>
        <c:lblOffset val="100"/>
        <c:noMultiLvlLbl val="0"/>
      </c:catAx>
      <c:valAx>
        <c:axId val="2085544608"/>
        <c:scaling>
          <c:orientation val="minMax"/>
          <c:max val="5.5000000000000007E-2"/>
          <c:min val="3.0000000000000006E-2"/>
        </c:scaling>
        <c:delete val="0"/>
        <c:axPos val="l"/>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NMP</a:t>
                </a:r>
              </a:p>
            </c:rich>
          </c:tx>
          <c:layout>
            <c:manualLayout>
              <c:xMode val="edge"/>
              <c:yMode val="edge"/>
              <c:x val="6.2349586130739675E-2"/>
              <c:y val="3.7817659169154735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58752"/>
        <c:crosses val="autoZero"/>
        <c:crossBetween val="between"/>
      </c:valAx>
      <c:valAx>
        <c:axId val="2085545152"/>
        <c:scaling>
          <c:orientation val="minMax"/>
          <c:min val="600"/>
        </c:scaling>
        <c:delete val="0"/>
        <c:axPos val="r"/>
        <c:title>
          <c:tx>
            <c:rich>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DMM</a:t>
                </a:r>
              </a:p>
            </c:rich>
          </c:tx>
          <c:layout>
            <c:manualLayout>
              <c:xMode val="edge"/>
              <c:yMode val="edge"/>
              <c:x val="0.90033459780397518"/>
              <c:y val="2.7086608451420659E-2"/>
            </c:manualLayout>
          </c:layout>
          <c:overlay val="0"/>
          <c:spPr>
            <a:noFill/>
            <a:ln>
              <a:noFill/>
            </a:ln>
            <a:effectLst/>
          </c:spPr>
          <c:txPr>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47328"/>
        <c:crosses val="max"/>
        <c:crossBetween val="between"/>
        <c:majorUnit val="50"/>
      </c:valAx>
      <c:catAx>
        <c:axId val="2085547328"/>
        <c:scaling>
          <c:orientation val="minMax"/>
        </c:scaling>
        <c:delete val="1"/>
        <c:axPos val="b"/>
        <c:numFmt formatCode="General" sourceLinked="1"/>
        <c:majorTickMark val="out"/>
        <c:minorTickMark val="none"/>
        <c:tickLblPos val="nextTo"/>
        <c:crossAx val="2085545152"/>
        <c:crosses val="autoZero"/>
        <c:auto val="1"/>
        <c:lblAlgn val="ctr"/>
        <c:lblOffset val="100"/>
        <c:noMultiLvlLbl val="0"/>
      </c:catAx>
      <c:spPr>
        <a:noFill/>
        <a:ln>
          <a:noFill/>
        </a:ln>
        <a:effectLst/>
      </c:spPr>
    </c:plotArea>
    <c:legend>
      <c:legendPos val="b"/>
      <c:layout>
        <c:manualLayout>
          <c:xMode val="edge"/>
          <c:yMode val="edge"/>
          <c:x val="0.39745540426852344"/>
          <c:y val="0.89335954976905008"/>
          <c:w val="0.20508919146295307"/>
          <c:h val="9.0543874154348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1714785651793"/>
          <c:y val="0.17171296296296296"/>
          <c:w val="0.82469291338582662"/>
          <c:h val="0.60854297586967243"/>
        </c:manualLayout>
      </c:layout>
      <c:lineChart>
        <c:grouping val="standard"/>
        <c:varyColors val="0"/>
        <c:ser>
          <c:idx val="0"/>
          <c:order val="0"/>
          <c:tx>
            <c:strRef>
              <c:f>Sheet1!$C$24</c:f>
              <c:strCache>
                <c:ptCount val="1"/>
                <c:pt idx="0">
                  <c:v>Realizim 2021</c:v>
                </c:pt>
              </c:strCache>
            </c:strRef>
          </c:tx>
          <c:spPr>
            <a:ln w="28575" cap="rnd">
              <a:solidFill>
                <a:schemeClr val="accent1"/>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Sheet1!$C$25:$C$36</c:f>
              <c:numCache>
                <c:formatCode>_(* #,##0_);_(* \(#,##0\);_(* "-"??_);_(@_)</c:formatCode>
                <c:ptCount val="12"/>
                <c:pt idx="0">
                  <c:v>11490.235000000001</c:v>
                </c:pt>
                <c:pt idx="1">
                  <c:v>12305.325000000001</c:v>
                </c:pt>
                <c:pt idx="2">
                  <c:v>14453.740000000002</c:v>
                </c:pt>
                <c:pt idx="3">
                  <c:v>14578.699999999997</c:v>
                </c:pt>
                <c:pt idx="4">
                  <c:v>14981.959518999996</c:v>
                </c:pt>
                <c:pt idx="5">
                  <c:v>16857.040481000004</c:v>
                </c:pt>
                <c:pt idx="6">
                  <c:v>17127</c:v>
                </c:pt>
                <c:pt idx="7">
                  <c:v>17261</c:v>
                </c:pt>
                <c:pt idx="8">
                  <c:v>16868</c:v>
                </c:pt>
                <c:pt idx="9">
                  <c:v>17897.200000000012</c:v>
                </c:pt>
                <c:pt idx="10">
                  <c:v>18508.298641000001</c:v>
                </c:pt>
                <c:pt idx="11">
                  <c:v>20511.501358999987</c:v>
                </c:pt>
              </c:numCache>
            </c:numRef>
          </c:val>
          <c:smooth val="0"/>
          <c:extLst>
            <c:ext xmlns:c16="http://schemas.microsoft.com/office/drawing/2014/chart" uri="{C3380CC4-5D6E-409C-BE32-E72D297353CC}">
              <c16:uniqueId val="{00000000-FAE6-4C2A-A83D-6CCA36DF4692}"/>
            </c:ext>
          </c:extLst>
        </c:ser>
        <c:ser>
          <c:idx val="1"/>
          <c:order val="1"/>
          <c:tx>
            <c:strRef>
              <c:f>Sheet1!$D$24</c:f>
              <c:strCache>
                <c:ptCount val="1"/>
                <c:pt idx="0">
                  <c:v>Realizim 2022</c:v>
                </c:pt>
              </c:strCache>
            </c:strRef>
          </c:tx>
          <c:spPr>
            <a:ln w="28575" cap="rnd">
              <a:solidFill>
                <a:schemeClr val="accent3"/>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Sheet1!$D$25:$D$36</c:f>
              <c:numCache>
                <c:formatCode>#,##0</c:formatCode>
                <c:ptCount val="12"/>
                <c:pt idx="0">
                  <c:v>13396</c:v>
                </c:pt>
                <c:pt idx="1">
                  <c:v>16173</c:v>
                </c:pt>
                <c:pt idx="2">
                  <c:v>18700</c:v>
                </c:pt>
                <c:pt idx="3">
                  <c:v>17218</c:v>
                </c:pt>
                <c:pt idx="4">
                  <c:v>18301</c:v>
                </c:pt>
              </c:numCache>
            </c:numRef>
          </c:val>
          <c:smooth val="0"/>
          <c:extLst>
            <c:ext xmlns:c16="http://schemas.microsoft.com/office/drawing/2014/chart" uri="{C3380CC4-5D6E-409C-BE32-E72D297353CC}">
              <c16:uniqueId val="{00000001-FAE6-4C2A-A83D-6CCA36DF4692}"/>
            </c:ext>
          </c:extLst>
        </c:ser>
        <c:ser>
          <c:idx val="2"/>
          <c:order val="2"/>
          <c:tx>
            <c:strRef>
              <c:f>Sheet1!$E$24</c:f>
              <c:strCache>
                <c:ptCount val="1"/>
                <c:pt idx="0">
                  <c:v>Plan 2022</c:v>
                </c:pt>
              </c:strCache>
            </c:strRef>
          </c:tx>
          <c:spPr>
            <a:ln w="28575" cap="rnd">
              <a:solidFill>
                <a:schemeClr val="accent5"/>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Sheet1!$E$25:$E$36</c:f>
              <c:numCache>
                <c:formatCode>#,##0</c:formatCode>
                <c:ptCount val="12"/>
                <c:pt idx="0">
                  <c:v>13396.06</c:v>
                </c:pt>
                <c:pt idx="1">
                  <c:v>16173.140000000001</c:v>
                </c:pt>
                <c:pt idx="2">
                  <c:v>18521.999999999996</c:v>
                </c:pt>
                <c:pt idx="3">
                  <c:v>15500</c:v>
                </c:pt>
                <c:pt idx="4">
                  <c:v>16750</c:v>
                </c:pt>
                <c:pt idx="5">
                  <c:v>17974</c:v>
                </c:pt>
                <c:pt idx="6">
                  <c:v>18850</c:v>
                </c:pt>
                <c:pt idx="7">
                  <c:v>19230.000000000015</c:v>
                </c:pt>
                <c:pt idx="8">
                  <c:v>17048</c:v>
                </c:pt>
                <c:pt idx="9">
                  <c:v>17000</c:v>
                </c:pt>
                <c:pt idx="10">
                  <c:v>19000</c:v>
                </c:pt>
                <c:pt idx="11">
                  <c:v>20743</c:v>
                </c:pt>
              </c:numCache>
            </c:numRef>
          </c:val>
          <c:smooth val="0"/>
          <c:extLst>
            <c:ext xmlns:c16="http://schemas.microsoft.com/office/drawing/2014/chart" uri="{C3380CC4-5D6E-409C-BE32-E72D297353CC}">
              <c16:uniqueId val="{00000002-FAE6-4C2A-A83D-6CCA36DF4692}"/>
            </c:ext>
          </c:extLst>
        </c:ser>
        <c:dLbls>
          <c:showLegendKey val="0"/>
          <c:showVal val="0"/>
          <c:showCatName val="0"/>
          <c:showSerName val="0"/>
          <c:showPercent val="0"/>
          <c:showBubbleSize val="0"/>
        </c:dLbls>
        <c:smooth val="0"/>
        <c:axId val="1548330256"/>
        <c:axId val="1548329712"/>
      </c:lineChart>
      <c:catAx>
        <c:axId val="1548330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548329712"/>
        <c:crosses val="autoZero"/>
        <c:auto val="1"/>
        <c:lblAlgn val="ctr"/>
        <c:lblOffset val="100"/>
        <c:noMultiLvlLbl val="0"/>
      </c:catAx>
      <c:valAx>
        <c:axId val="154832971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8330256"/>
        <c:crosses val="autoZero"/>
        <c:crossBetween val="between"/>
      </c:valAx>
      <c:spPr>
        <a:solidFill>
          <a:sysClr val="window" lastClr="FFFFFF"/>
        </a:solidFill>
        <a:ln>
          <a:noFill/>
        </a:ln>
        <a:effectLst/>
      </c:spPr>
    </c:plotArea>
    <c:legend>
      <c:legendPos val="b"/>
      <c:layout>
        <c:manualLayout>
          <c:xMode val="edge"/>
          <c:yMode val="edge"/>
          <c:x val="0.15866894899007186"/>
          <c:y val="0.66550123942840467"/>
          <c:w val="0.84133119282419799"/>
          <c:h val="9.037837152778151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712803971792685E-2"/>
          <c:y val="5.3527980535279802E-2"/>
          <c:w val="0.85513882300856969"/>
          <c:h val="0.63701927423824889"/>
        </c:manualLayout>
      </c:layout>
      <c:barChart>
        <c:barDir val="col"/>
        <c:grouping val="clustered"/>
        <c:varyColors val="0"/>
        <c:ser>
          <c:idx val="0"/>
          <c:order val="0"/>
          <c:tx>
            <c:strRef>
              <c:f>'Tregu primar ankandet'!$H$86</c:f>
              <c:strCache>
                <c:ptCount val="1"/>
                <c:pt idx="0">
                  <c:v>Kërkesa</c:v>
                </c:pt>
              </c:strCache>
            </c:strRef>
          </c:tx>
          <c:spPr>
            <a:solidFill>
              <a:srgbClr val="00B0F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ankandet'!$A$120:$A$122</c:f>
              <c:strCache>
                <c:ptCount val="3"/>
                <c:pt idx="0">
                  <c:v>Janar</c:v>
                </c:pt>
                <c:pt idx="1">
                  <c:v>Shkurt</c:v>
                </c:pt>
                <c:pt idx="2">
                  <c:v>Mars</c:v>
                </c:pt>
              </c:strCache>
            </c:strRef>
          </c:cat>
          <c:val>
            <c:numRef>
              <c:f>'Tregu primar ankandet'!$H$120:$H$122</c:f>
              <c:numCache>
                <c:formatCode>_-* #,##0.0_L_e_k_-;\-* #,##0.0_L_e_k_-;_-* "-"??_L_e_k_-;_-@_-</c:formatCode>
                <c:ptCount val="3"/>
                <c:pt idx="0">
                  <c:v>41.288170000000001</c:v>
                </c:pt>
                <c:pt idx="1">
                  <c:v>54.706829999999997</c:v>
                </c:pt>
                <c:pt idx="2">
                  <c:v>44.04842</c:v>
                </c:pt>
              </c:numCache>
            </c:numRef>
          </c:val>
          <c:extLst>
            <c:ext xmlns:c16="http://schemas.microsoft.com/office/drawing/2014/chart" uri="{C3380CC4-5D6E-409C-BE32-E72D297353CC}">
              <c16:uniqueId val="{00000000-37C8-4F2A-BF15-0D0F9AE11A10}"/>
            </c:ext>
          </c:extLst>
        </c:ser>
        <c:ser>
          <c:idx val="1"/>
          <c:order val="1"/>
          <c:tx>
            <c:strRef>
              <c:f>'Tregu primar ankandet'!$I$86</c:f>
              <c:strCache>
                <c:ptCount val="1"/>
                <c:pt idx="0">
                  <c:v>Oferta</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ankandet'!$A$120:$A$122</c:f>
              <c:strCache>
                <c:ptCount val="3"/>
                <c:pt idx="0">
                  <c:v>Janar</c:v>
                </c:pt>
                <c:pt idx="1">
                  <c:v>Shkurt</c:v>
                </c:pt>
                <c:pt idx="2">
                  <c:v>Mars</c:v>
                </c:pt>
              </c:strCache>
            </c:strRef>
          </c:cat>
          <c:val>
            <c:numRef>
              <c:f>'Tregu primar ankandet'!$I$120:$I$122</c:f>
              <c:numCache>
                <c:formatCode>_-* #,##0.0_L_e_k_-;\-* #,##0.0_L_e_k_-;_-* "-"??_L_e_k_-;_-@_-</c:formatCode>
                <c:ptCount val="3"/>
                <c:pt idx="0">
                  <c:v>31.7</c:v>
                </c:pt>
                <c:pt idx="1">
                  <c:v>40.9</c:v>
                </c:pt>
                <c:pt idx="2">
                  <c:v>44.1</c:v>
                </c:pt>
              </c:numCache>
            </c:numRef>
          </c:val>
          <c:extLst>
            <c:ext xmlns:c16="http://schemas.microsoft.com/office/drawing/2014/chart" uri="{C3380CC4-5D6E-409C-BE32-E72D297353CC}">
              <c16:uniqueId val="{00000001-37C8-4F2A-BF15-0D0F9AE11A10}"/>
            </c:ext>
          </c:extLst>
        </c:ser>
        <c:dLbls>
          <c:showLegendKey val="0"/>
          <c:showVal val="0"/>
          <c:showCatName val="0"/>
          <c:showSerName val="0"/>
          <c:showPercent val="0"/>
          <c:showBubbleSize val="0"/>
        </c:dLbls>
        <c:gapWidth val="336"/>
        <c:axId val="2085549504"/>
        <c:axId val="2085550592"/>
      </c:barChart>
      <c:lineChart>
        <c:grouping val="standard"/>
        <c:varyColors val="0"/>
        <c:ser>
          <c:idx val="2"/>
          <c:order val="2"/>
          <c:tx>
            <c:strRef>
              <c:f>'Tregu primar ankandet'!$J$86</c:f>
              <c:strCache>
                <c:ptCount val="1"/>
                <c:pt idx="0">
                  <c:v>Raporti i Mbulimit</c:v>
                </c:pt>
              </c:strCache>
            </c:strRef>
          </c:tx>
          <c:spPr>
            <a:ln w="25400" cap="rnd">
              <a:solidFill>
                <a:srgbClr val="FF0000"/>
              </a:solidFill>
              <a:round/>
            </a:ln>
            <a:effectLst/>
          </c:spPr>
          <c:marker>
            <c:symbol val="diamond"/>
            <c:size val="5"/>
            <c:spPr>
              <a:solidFill>
                <a:schemeClr val="bg1">
                  <a:lumMod val="50000"/>
                </a:schemeClr>
              </a:solidFill>
              <a:ln w="9525">
                <a:solidFill>
                  <a:srgbClr val="FF0000"/>
                </a:solidFill>
              </a:ln>
              <a:effectLst/>
            </c:spPr>
          </c:marker>
          <c:dLbls>
            <c:dLbl>
              <c:idx val="0"/>
              <c:layout>
                <c:manualLayout>
                  <c:x val="-9.4205837906625005E-3"/>
                  <c:y val="-5.9269503076821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C8-4F2A-BF15-0D0F9AE11A10}"/>
                </c:ext>
              </c:extLst>
            </c:dLbl>
            <c:dLbl>
              <c:idx val="1"/>
              <c:layout>
                <c:manualLayout>
                  <c:x val="-1.271892149844912E-2"/>
                  <c:y val="-3.85575332495202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61-4A31-BB5E-1A56EFABAE98}"/>
                </c:ext>
              </c:extLst>
            </c:dLbl>
            <c:dLbl>
              <c:idx val="2"/>
              <c:layout>
                <c:manualLayout>
                  <c:x val="-2.5352872557596967E-2"/>
                  <c:y val="-6.41430115353227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C8-4F2A-BF15-0D0F9AE11A10}"/>
                </c:ext>
              </c:extLst>
            </c:dLbl>
            <c:dLbl>
              <c:idx val="3"/>
              <c:layout>
                <c:manualLayout>
                  <c:x val="-2.4483430799220274E-2"/>
                  <c:y val="-0.1128216256432512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C8-4F2A-BF15-0D0F9AE11A10}"/>
                </c:ext>
              </c:extLst>
            </c:dLbl>
            <c:dLbl>
              <c:idx val="4"/>
              <c:layout>
                <c:manualLayout>
                  <c:x val="-5.3723196881091617E-2"/>
                  <c:y val="-3.40814681629363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C8-4F2A-BF15-0D0F9AE11A10}"/>
                </c:ext>
              </c:extLst>
            </c:dLbl>
            <c:dLbl>
              <c:idx val="5"/>
              <c:layout>
                <c:manualLayout>
                  <c:x val="-2.9622603992682732E-2"/>
                  <c:y val="-4.16250909812744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C8-4F2A-BF15-0D0F9AE11A1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'Tregu primar ankandet'!$A$120:$A$122</c:f>
              <c:strCache>
                <c:ptCount val="3"/>
                <c:pt idx="0">
                  <c:v>Janar</c:v>
                </c:pt>
                <c:pt idx="1">
                  <c:v>Shkurt</c:v>
                </c:pt>
                <c:pt idx="2">
                  <c:v>Mars</c:v>
                </c:pt>
              </c:strCache>
            </c:strRef>
          </c:cat>
          <c:val>
            <c:numRef>
              <c:f>'Tregu primar ankandet'!$J$120:$J$122</c:f>
              <c:numCache>
                <c:formatCode>_-* #,##0.00_L_e_k_-;\-* #,##0.00_L_e_k_-;_-* "-"??_L_e_k_-;_-@_-</c:formatCode>
                <c:ptCount val="3"/>
                <c:pt idx="0">
                  <c:v>1.3024659305993691</c:v>
                </c:pt>
                <c:pt idx="1">
                  <c:v>1.3375753056234718</c:v>
                </c:pt>
                <c:pt idx="2">
                  <c:v>0.99883038548752834</c:v>
                </c:pt>
              </c:numCache>
            </c:numRef>
          </c:val>
          <c:smooth val="1"/>
          <c:extLst>
            <c:ext xmlns:c16="http://schemas.microsoft.com/office/drawing/2014/chart" uri="{C3380CC4-5D6E-409C-BE32-E72D297353CC}">
              <c16:uniqueId val="{00000007-37C8-4F2A-BF15-0D0F9AE11A10}"/>
            </c:ext>
          </c:extLst>
        </c:ser>
        <c:dLbls>
          <c:showLegendKey val="0"/>
          <c:showVal val="0"/>
          <c:showCatName val="0"/>
          <c:showSerName val="0"/>
          <c:showPercent val="0"/>
          <c:showBubbleSize val="0"/>
        </c:dLbls>
        <c:marker val="1"/>
        <c:smooth val="0"/>
        <c:axId val="2091764000"/>
        <c:axId val="2085551136"/>
      </c:lineChart>
      <c:catAx>
        <c:axId val="20855495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085550592"/>
        <c:crosses val="autoZero"/>
        <c:auto val="1"/>
        <c:lblAlgn val="ctr"/>
        <c:lblOffset val="100"/>
        <c:noMultiLvlLbl val="0"/>
      </c:catAx>
      <c:valAx>
        <c:axId val="2085550592"/>
        <c:scaling>
          <c:orientation val="minMax"/>
          <c:max val="8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9028493363877932E-2"/>
              <c:y val="6.7398115425287272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85549504"/>
        <c:crosses val="autoZero"/>
        <c:crossBetween val="between"/>
        <c:majorUnit val="20"/>
      </c:valAx>
      <c:valAx>
        <c:axId val="2085551136"/>
        <c:scaling>
          <c:orientation val="minMax"/>
          <c:max val="2"/>
          <c:min val="0.5"/>
        </c:scaling>
        <c:delete val="0"/>
        <c:axPos val="r"/>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91764000"/>
        <c:crosses val="max"/>
        <c:crossBetween val="between"/>
        <c:majorUnit val="0.4"/>
      </c:valAx>
      <c:catAx>
        <c:axId val="2091764000"/>
        <c:scaling>
          <c:orientation val="minMax"/>
        </c:scaling>
        <c:delete val="1"/>
        <c:axPos val="b"/>
        <c:numFmt formatCode="General" sourceLinked="1"/>
        <c:majorTickMark val="out"/>
        <c:minorTickMark val="none"/>
        <c:tickLblPos val="nextTo"/>
        <c:crossAx val="2085551136"/>
        <c:crosses val="autoZero"/>
        <c:auto val="1"/>
        <c:lblAlgn val="ctr"/>
        <c:lblOffset val="100"/>
        <c:noMultiLvlLbl val="0"/>
      </c:catAx>
      <c:spPr>
        <a:noFill/>
        <a:ln>
          <a:noFill/>
        </a:ln>
        <a:effectLst/>
      </c:spPr>
    </c:plotArea>
    <c:legend>
      <c:legendPos val="b"/>
      <c:layout>
        <c:manualLayout>
          <c:xMode val="edge"/>
          <c:yMode val="edge"/>
          <c:x val="0.27279652308030516"/>
          <c:y val="0.8682102830006958"/>
          <c:w val="0.44660956854077449"/>
          <c:h val="8.2117363066842919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68935060237611645"/>
        </c:manualLayout>
      </c:layout>
      <c:lineChart>
        <c:grouping val="standard"/>
        <c:varyColors val="0"/>
        <c:ser>
          <c:idx val="0"/>
          <c:order val="0"/>
          <c:tx>
            <c:strRef>
              <c:f>'Yeld Mesatar i Ponderuar'!$F$4</c:f>
              <c:strCache>
                <c:ptCount val="1"/>
                <c:pt idx="0">
                  <c:v>2020</c:v>
                </c:pt>
              </c:strCache>
            </c:strRef>
          </c:tx>
          <c:spPr>
            <a:ln w="25400" cap="rnd">
              <a:solidFill>
                <a:srgbClr val="C00000"/>
              </a:solidFill>
              <a:round/>
            </a:ln>
            <a:effectLst/>
          </c:spPr>
          <c:marker>
            <c:symbol val="diamond"/>
            <c:size val="5"/>
            <c:spPr>
              <a:solidFill>
                <a:srgbClr val="C00000"/>
              </a:solidFill>
              <a:ln w="9525">
                <a:noFill/>
              </a:ln>
              <a:effectLst/>
            </c:spPr>
          </c:marker>
          <c:dLbls>
            <c:dLbl>
              <c:idx val="3"/>
              <c:layout>
                <c:manualLayout>
                  <c:x val="-3.0233281908463795E-2"/>
                  <c:y val="1.1255448008269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07-41F0-96D0-E6968ADBB461}"/>
                </c:ext>
              </c:extLst>
            </c:dLbl>
            <c:dLbl>
              <c:idx val="4"/>
              <c:layout>
                <c:manualLayout>
                  <c:x val="3.0106923657437364E-4"/>
                  <c:y val="1.12554480082695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07-41F0-96D0-E6968ADBB461}"/>
                </c:ext>
              </c:extLst>
            </c:dLbl>
            <c:dLbl>
              <c:idx val="6"/>
              <c:layout>
                <c:manualLayout>
                  <c:x val="3.6937749193564546E-3"/>
                  <c:y val="1.4464431950463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07-41F0-96D0-E6968ADBB461}"/>
                </c:ext>
              </c:extLst>
            </c:dLbl>
            <c:spPr>
              <a:noFill/>
              <a:ln>
                <a:noFill/>
              </a:ln>
              <a:effectLst/>
            </c:spPr>
            <c:txPr>
              <a:bodyPr rot="0" spcFirstLastPara="1" vertOverflow="ellipsis" vert="horz" wrap="square" lIns="38100" tIns="19050" rIns="38100" bIns="19050" anchor="t" anchorCtr="0">
                <a:spAutoFit/>
              </a:bodyPr>
              <a:lstStyle/>
              <a:p>
                <a:pPr>
                  <a:defRPr sz="8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Ponderuar'!$F$5:$F$13</c:f>
              <c:numCache>
                <c:formatCode>0.00%</c:formatCode>
                <c:ptCount val="9"/>
                <c:pt idx="0">
                  <c:v>1.0999999999999999E-2</c:v>
                </c:pt>
                <c:pt idx="1">
                  <c:v>1.5599999999999999E-2</c:v>
                </c:pt>
                <c:pt idx="2">
                  <c:v>1.8599999999999998E-2</c:v>
                </c:pt>
                <c:pt idx="3">
                  <c:v>2.2200000000000001E-2</c:v>
                </c:pt>
                <c:pt idx="4">
                  <c:v>2.69E-2</c:v>
                </c:pt>
                <c:pt idx="5">
                  <c:v>3.9899999999999998E-2</c:v>
                </c:pt>
                <c:pt idx="6">
                  <c:v>4.2000000000000003E-2</c:v>
                </c:pt>
                <c:pt idx="7">
                  <c:v>5.1999999999999998E-2</c:v>
                </c:pt>
              </c:numCache>
            </c:numRef>
          </c:val>
          <c:smooth val="1"/>
          <c:extLst>
            <c:ext xmlns:c16="http://schemas.microsoft.com/office/drawing/2014/chart" uri="{C3380CC4-5D6E-409C-BE32-E72D297353CC}">
              <c16:uniqueId val="{00000008-9352-463B-9848-05799531EE10}"/>
            </c:ext>
          </c:extLst>
        </c:ser>
        <c:ser>
          <c:idx val="1"/>
          <c:order val="1"/>
          <c:tx>
            <c:strRef>
              <c:f>'Yeld Mesatar i Ponderuar'!$G$4</c:f>
              <c:strCache>
                <c:ptCount val="1"/>
                <c:pt idx="0">
                  <c:v>2021</c:v>
                </c:pt>
              </c:strCache>
            </c:strRef>
          </c:tx>
          <c:spPr>
            <a:ln w="25400" cap="rnd">
              <a:solidFill>
                <a:sysClr val="windowText" lastClr="000000"/>
              </a:solidFill>
              <a:round/>
            </a:ln>
            <a:effectLst/>
          </c:spPr>
          <c:marker>
            <c:symbol val="diamond"/>
            <c:size val="5"/>
            <c:spPr>
              <a:solidFill>
                <a:schemeClr val="bg1">
                  <a:lumMod val="50000"/>
                </a:schemeClr>
              </a:solidFill>
              <a:ln w="9525">
                <a:solidFill>
                  <a:sysClr val="windowText" lastClr="000000"/>
                </a:solidFill>
              </a:ln>
              <a:effectLst/>
            </c:spPr>
          </c:marker>
          <c:dLbls>
            <c:dLbl>
              <c:idx val="0"/>
              <c:layout>
                <c:manualLayout>
                  <c:x val="-5.2065342977166036E-2"/>
                  <c:y val="1.580487760505695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07-41F0-96D0-E6968ADBB461}"/>
                </c:ext>
              </c:extLst>
            </c:dLbl>
            <c:dLbl>
              <c:idx val="1"/>
              <c:layout>
                <c:manualLayout>
                  <c:x val="-4.6976284452992997E-2"/>
                  <c:y val="-2.08823998348511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D07-41F0-96D0-E6968ADBB461}"/>
                </c:ext>
              </c:extLst>
            </c:dLbl>
            <c:dLbl>
              <c:idx val="2"/>
              <c:layout>
                <c:manualLayout>
                  <c:x val="-3.510181456325593E-2"/>
                  <c:y val="1.7625407471474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07-41F0-96D0-E6968ADBB461}"/>
                </c:ext>
              </c:extLst>
            </c:dLbl>
            <c:dLbl>
              <c:idx val="3"/>
              <c:layout>
                <c:manualLayout>
                  <c:x val="-4.0190873087428955E-2"/>
                  <c:y val="-3.69273195458201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07-41F0-96D0-E6968ADBB461}"/>
                </c:ext>
              </c:extLst>
            </c:dLbl>
            <c:dLbl>
              <c:idx val="4"/>
              <c:layout>
                <c:manualLayout>
                  <c:x val="-2.8316403197691953E-2"/>
                  <c:y val="-1.76734158926572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07-41F0-96D0-E6968ADBB461}"/>
                </c:ext>
              </c:extLst>
            </c:dLbl>
            <c:dLbl>
              <c:idx val="5"/>
              <c:layout>
                <c:manualLayout>
                  <c:x val="-1.6441933307954827E-2"/>
                  <c:y val="-1.76734158926572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07-41F0-96D0-E6968ADBB461}"/>
                </c:ext>
              </c:extLst>
            </c:dLbl>
            <c:dLbl>
              <c:idx val="6"/>
              <c:layout>
                <c:manualLayout>
                  <c:x val="-7.9601691009997793E-3"/>
                  <c:y val="4.00882950668315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07-41F0-96D0-E6968ADBB461}"/>
                </c:ext>
              </c:extLst>
            </c:dLbl>
            <c:dLbl>
              <c:idx val="7"/>
              <c:layout>
                <c:manualLayout>
                  <c:x val="-2.3227344673518988E-2"/>
                  <c:y val="4.00882950668315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D07-41F0-96D0-E6968ADBB461}"/>
                </c:ext>
              </c:extLst>
            </c:dLbl>
            <c:dLbl>
              <c:idx val="8"/>
              <c:layout>
                <c:manualLayout>
                  <c:x val="-1.8138286149345834E-2"/>
                  <c:y val="2.08343914136686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D07-41F0-96D0-E6968ADBB46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Ponderuar'!$G$5:$G$13</c:f>
              <c:numCache>
                <c:formatCode>0.00%</c:formatCode>
                <c:ptCount val="9"/>
                <c:pt idx="0">
                  <c:v>1.07038231737743E-2</c:v>
                </c:pt>
                <c:pt idx="1">
                  <c:v>1.44148696718552E-2</c:v>
                </c:pt>
                <c:pt idx="2">
                  <c:v>1.7801615213184699E-2</c:v>
                </c:pt>
                <c:pt idx="3">
                  <c:v>2.26018483115152E-2</c:v>
                </c:pt>
                <c:pt idx="4">
                  <c:v>2.6911267441860499E-2</c:v>
                </c:pt>
                <c:pt idx="5">
                  <c:v>3.6181434829957899E-2</c:v>
                </c:pt>
                <c:pt idx="6">
                  <c:v>3.9764857585310544E-2</c:v>
                </c:pt>
                <c:pt idx="7">
                  <c:v>5.0122785211632846E-2</c:v>
                </c:pt>
                <c:pt idx="8">
                  <c:v>5.8799999999999998E-2</c:v>
                </c:pt>
              </c:numCache>
            </c:numRef>
          </c:val>
          <c:smooth val="1"/>
          <c:extLst>
            <c:ext xmlns:c16="http://schemas.microsoft.com/office/drawing/2014/chart" uri="{C3380CC4-5D6E-409C-BE32-E72D297353CC}">
              <c16:uniqueId val="{00000011-9352-463B-9848-05799531EE10}"/>
            </c:ext>
          </c:extLst>
        </c:ser>
        <c:ser>
          <c:idx val="2"/>
          <c:order val="2"/>
          <c:tx>
            <c:strRef>
              <c:f>'Yeld Mesatar i Ponderuar'!$H$4</c:f>
              <c:strCache>
                <c:ptCount val="1"/>
                <c:pt idx="0">
                  <c:v>Mar.22</c:v>
                </c:pt>
              </c:strCache>
            </c:strRef>
          </c:tx>
          <c:spPr>
            <a:ln w="28575" cap="rnd">
              <a:solidFill>
                <a:srgbClr val="00B0F0"/>
              </a:solidFill>
              <a:round/>
            </a:ln>
            <a:effectLst/>
          </c:spPr>
          <c:marker>
            <c:symbol val="circle"/>
            <c:size val="5"/>
            <c:spPr>
              <a:solidFill>
                <a:schemeClr val="accent3"/>
              </a:solidFill>
              <a:ln w="9525">
                <a:solidFill>
                  <a:srgbClr val="00B0F0"/>
                </a:solidFill>
              </a:ln>
              <a:effectLst/>
            </c:spPr>
          </c:marker>
          <c:dLbls>
            <c:dLbl>
              <c:idx val="0"/>
              <c:layout>
                <c:manualLayout>
                  <c:x val="-2.5445292620865156E-2"/>
                  <c:y val="2.5671871537550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D07-41F0-96D0-E6968ADBB461}"/>
                </c:ext>
              </c:extLst>
            </c:dLbl>
            <c:dLbl>
              <c:idx val="1"/>
              <c:layout>
                <c:manualLayout>
                  <c:x val="-3.3927056827820157E-2"/>
                  <c:y val="1.9253903653162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D07-41F0-96D0-E6968ADBB461}"/>
                </c:ext>
              </c:extLst>
            </c:dLbl>
            <c:dLbl>
              <c:idx val="2"/>
              <c:layout>
                <c:manualLayout>
                  <c:x val="-1.3570822731128074E-2"/>
                  <c:y val="4.171679124851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1D07-41F0-96D0-E6968ADBB461}"/>
                </c:ext>
              </c:extLst>
            </c:dLbl>
            <c:dLbl>
              <c:idx val="3"/>
              <c:layout>
                <c:manualLayout>
                  <c:x val="-1.0178117048346117E-2"/>
                  <c:y val="1.9253903653162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D07-41F0-96D0-E6968ADBB461}"/>
                </c:ext>
              </c:extLst>
            </c:dLbl>
            <c:dLbl>
              <c:idx val="4"/>
              <c:layout>
                <c:manualLayout>
                  <c:x val="-5.0890585241730339E-2"/>
                  <c:y val="-4.49257751907134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D07-41F0-96D0-E6968ADBB461}"/>
                </c:ext>
              </c:extLst>
            </c:dLbl>
            <c:dLbl>
              <c:idx val="5"/>
              <c:layout>
                <c:manualLayout>
                  <c:x val="0"/>
                  <c:y val="5.1343743075101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1D07-41F0-96D0-E6968ADBB461}"/>
                </c:ext>
              </c:extLst>
            </c:dLbl>
            <c:dLbl>
              <c:idx val="6"/>
              <c:layout>
                <c:manualLayout>
                  <c:x val="-2.5445292620865138E-2"/>
                  <c:y val="-6.73886627860702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1D07-41F0-96D0-E6968ADBB461}"/>
                </c:ext>
              </c:extLst>
            </c:dLbl>
            <c:dLbl>
              <c:idx val="7"/>
              <c:layout>
                <c:manualLayout>
                  <c:x val="-1.2439777131500452E-16"/>
                  <c:y val="1.2835935768775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1D07-41F0-96D0-E6968ADBB461}"/>
                </c:ext>
              </c:extLst>
            </c:dLbl>
            <c:dLbl>
              <c:idx val="8"/>
              <c:layout>
                <c:manualLayout>
                  <c:x val="-8.481764206955171E-3"/>
                  <c:y val="4.1716791248519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1D07-41F0-96D0-E6968ADBB46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B0F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Ponderuar'!$H$5:$H$13</c:f>
              <c:numCache>
                <c:formatCode>0.00%</c:formatCode>
                <c:ptCount val="9"/>
                <c:pt idx="0">
                  <c:v>9.3465283492966504E-3</c:v>
                </c:pt>
                <c:pt idx="1">
                  <c:v>1.2225E-2</c:v>
                </c:pt>
                <c:pt idx="2">
                  <c:v>1.6860260678534699E-2</c:v>
                </c:pt>
                <c:pt idx="3">
                  <c:v>1.9368787860896301E-2</c:v>
                </c:pt>
                <c:pt idx="4">
                  <c:v>2.8389999999999999E-2</c:v>
                </c:pt>
                <c:pt idx="5">
                  <c:v>3.4053429636683501E-2</c:v>
                </c:pt>
                <c:pt idx="6">
                  <c:v>4.2299999999999997E-2</c:v>
                </c:pt>
                <c:pt idx="7">
                  <c:v>5.0999999999999997E-2</c:v>
                </c:pt>
                <c:pt idx="8">
                  <c:v>5.6219999999999999E-2</c:v>
                </c:pt>
              </c:numCache>
            </c:numRef>
          </c:val>
          <c:smooth val="0"/>
          <c:extLst>
            <c:ext xmlns:c16="http://schemas.microsoft.com/office/drawing/2014/chart" uri="{C3380CC4-5D6E-409C-BE32-E72D297353CC}">
              <c16:uniqueId val="{00000015-1D07-41F0-96D0-E6968ADBB461}"/>
            </c:ext>
          </c:extLst>
        </c:ser>
        <c:dLbls>
          <c:showLegendKey val="0"/>
          <c:showVal val="0"/>
          <c:showCatName val="0"/>
          <c:showSerName val="0"/>
          <c:showPercent val="0"/>
          <c:showBubbleSize val="0"/>
        </c:dLbls>
        <c:marker val="1"/>
        <c:smooth val="0"/>
        <c:axId val="2091756928"/>
        <c:axId val="2091757472"/>
      </c:lineChart>
      <c:catAx>
        <c:axId val="2091756928"/>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j-lt"/>
                <a:ea typeface="+mn-ea"/>
                <a:cs typeface="+mn-cs"/>
              </a:defRPr>
            </a:pPr>
            <a:endParaRPr lang="en-US"/>
          </a:p>
        </c:txPr>
        <c:crossAx val="2091757472"/>
        <c:crosses val="autoZero"/>
        <c:auto val="1"/>
        <c:lblAlgn val="ctr"/>
        <c:lblOffset val="100"/>
        <c:noMultiLvlLbl val="0"/>
      </c:catAx>
      <c:valAx>
        <c:axId val="2091757472"/>
        <c:scaling>
          <c:orientation val="minMax"/>
          <c:max val="6.0000000000000012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91756928"/>
        <c:crosses val="autoZero"/>
        <c:crossBetween val="between"/>
        <c:majorUnit val="2.0000000000000004E-2"/>
      </c:valAx>
      <c:spPr>
        <a:noFill/>
        <a:ln>
          <a:noFill/>
        </a:ln>
        <a:effectLst/>
      </c:spPr>
    </c:plotArea>
    <c:legend>
      <c:legendPos val="b"/>
      <c:layout>
        <c:manualLayout>
          <c:xMode val="edge"/>
          <c:yMode val="edge"/>
          <c:x val="0.29650207786526683"/>
          <c:y val="0.90730456887927835"/>
          <c:w val="0.37233591147882494"/>
          <c:h val="8.2873460145032621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12F3-4360-80BB-71702443C869}"/>
              </c:ext>
            </c:extLst>
          </c:dPt>
          <c:dPt>
            <c:idx val="1"/>
            <c:invertIfNegative val="0"/>
            <c:bubble3D val="0"/>
            <c:extLst>
              <c:ext xmlns:c16="http://schemas.microsoft.com/office/drawing/2014/chart" uri="{C3380CC4-5D6E-409C-BE32-E72D297353CC}">
                <c16:uniqueId val="{00000001-12F3-4360-80BB-71702443C869}"/>
              </c:ext>
            </c:extLst>
          </c:dPt>
          <c:dPt>
            <c:idx val="2"/>
            <c:invertIfNegative val="0"/>
            <c:bubble3D val="0"/>
            <c:extLst>
              <c:ext xmlns:c16="http://schemas.microsoft.com/office/drawing/2014/chart" uri="{C3380CC4-5D6E-409C-BE32-E72D297353CC}">
                <c16:uniqueId val="{00000002-12F3-4360-80BB-71702443C869}"/>
              </c:ext>
            </c:extLst>
          </c:dPt>
          <c:dPt>
            <c:idx val="3"/>
            <c:invertIfNegative val="0"/>
            <c:bubble3D val="0"/>
            <c:extLst>
              <c:ext xmlns:c16="http://schemas.microsoft.com/office/drawing/2014/chart" uri="{C3380CC4-5D6E-409C-BE32-E72D297353CC}">
                <c16:uniqueId val="{00000003-12F3-4360-80BB-71702443C86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Sheet1!$A$4:$A$7</c:f>
              <c:strCache>
                <c:ptCount val="4"/>
                <c:pt idx="0">
                  <c:v>4M 2019</c:v>
                </c:pt>
                <c:pt idx="1">
                  <c:v>4M 2020</c:v>
                </c:pt>
                <c:pt idx="2">
                  <c:v>4M 2021</c:v>
                </c:pt>
                <c:pt idx="3">
                  <c:v>4M 2022</c:v>
                </c:pt>
              </c:strCache>
            </c:strRef>
          </c:cat>
          <c:val>
            <c:numRef>
              <c:f>Sheet1!$D$4:$D$7</c:f>
              <c:numCache>
                <c:formatCode>0.00</c:formatCode>
                <c:ptCount val="4"/>
                <c:pt idx="0" formatCode="General">
                  <c:v>23.66</c:v>
                </c:pt>
                <c:pt idx="1">
                  <c:v>21.88</c:v>
                </c:pt>
                <c:pt idx="2" formatCode="General">
                  <c:v>23.41</c:v>
                </c:pt>
                <c:pt idx="3" formatCode="General">
                  <c:v>28.24</c:v>
                </c:pt>
              </c:numCache>
            </c:numRef>
          </c:val>
          <c:extLst>
            <c:ext xmlns:c16="http://schemas.microsoft.com/office/drawing/2014/chart" uri="{C3380CC4-5D6E-409C-BE32-E72D297353CC}">
              <c16:uniqueId val="{00000004-12F3-4360-80BB-71702443C869}"/>
            </c:ext>
          </c:extLst>
        </c:ser>
        <c:dLbls>
          <c:dLblPos val="inEnd"/>
          <c:showLegendKey val="0"/>
          <c:showVal val="1"/>
          <c:showCatName val="0"/>
          <c:showSerName val="0"/>
          <c:showPercent val="0"/>
          <c:showBubbleSize val="0"/>
        </c:dLbls>
        <c:gapWidth val="65"/>
        <c:axId val="2091768896"/>
        <c:axId val="2091768352"/>
      </c:barChart>
      <c:valAx>
        <c:axId val="209176835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091768896"/>
        <c:crosses val="autoZero"/>
        <c:crossBetween val="between"/>
      </c:valAx>
      <c:catAx>
        <c:axId val="209176889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9176835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CAFE-4AF5-834C-489A51BCCFA9}"/>
              </c:ext>
            </c:extLst>
          </c:dPt>
          <c:dPt>
            <c:idx val="1"/>
            <c:invertIfNegative val="0"/>
            <c:bubble3D val="0"/>
            <c:extLst>
              <c:ext xmlns:c16="http://schemas.microsoft.com/office/drawing/2014/chart" uri="{C3380CC4-5D6E-409C-BE32-E72D297353CC}">
                <c16:uniqueId val="{00000001-CAFE-4AF5-834C-489A51BCCFA9}"/>
              </c:ext>
            </c:extLst>
          </c:dPt>
          <c:dPt>
            <c:idx val="2"/>
            <c:invertIfNegative val="0"/>
            <c:bubble3D val="0"/>
            <c:extLst>
              <c:ext xmlns:c16="http://schemas.microsoft.com/office/drawing/2014/chart" uri="{C3380CC4-5D6E-409C-BE32-E72D297353CC}">
                <c16:uniqueId val="{00000002-CAFE-4AF5-834C-489A51BCCFA9}"/>
              </c:ext>
            </c:extLst>
          </c:dPt>
          <c:dPt>
            <c:idx val="3"/>
            <c:invertIfNegative val="0"/>
            <c:bubble3D val="0"/>
            <c:extLst>
              <c:ext xmlns:c16="http://schemas.microsoft.com/office/drawing/2014/chart" uri="{C3380CC4-5D6E-409C-BE32-E72D297353CC}">
                <c16:uniqueId val="{00000003-CAFE-4AF5-834C-489A51BCCFA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Sheet1!$A$4:$A$7</c:f>
              <c:strCache>
                <c:ptCount val="4"/>
                <c:pt idx="0">
                  <c:v>4M 2019</c:v>
                </c:pt>
                <c:pt idx="1">
                  <c:v>4M 2020</c:v>
                </c:pt>
                <c:pt idx="2">
                  <c:v>4M 2021</c:v>
                </c:pt>
                <c:pt idx="3">
                  <c:v>4M 2022</c:v>
                </c:pt>
              </c:strCache>
            </c:strRef>
          </c:cat>
          <c:val>
            <c:numRef>
              <c:f>Sheet1!$D$4:$D$7</c:f>
              <c:numCache>
                <c:formatCode>General</c:formatCode>
                <c:ptCount val="4"/>
                <c:pt idx="0">
                  <c:v>25.23</c:v>
                </c:pt>
                <c:pt idx="1">
                  <c:v>24.34</c:v>
                </c:pt>
                <c:pt idx="2">
                  <c:v>23.91</c:v>
                </c:pt>
                <c:pt idx="3">
                  <c:v>22.81</c:v>
                </c:pt>
              </c:numCache>
            </c:numRef>
          </c:val>
          <c:extLst>
            <c:ext xmlns:c16="http://schemas.microsoft.com/office/drawing/2014/chart" uri="{C3380CC4-5D6E-409C-BE32-E72D297353CC}">
              <c16:uniqueId val="{00000004-CAFE-4AF5-834C-489A51BCCFA9}"/>
            </c:ext>
          </c:extLst>
        </c:ser>
        <c:dLbls>
          <c:dLblPos val="inEnd"/>
          <c:showLegendKey val="0"/>
          <c:showVal val="1"/>
          <c:showCatName val="0"/>
          <c:showSerName val="0"/>
          <c:showPercent val="0"/>
          <c:showBubbleSize val="0"/>
        </c:dLbls>
        <c:gapWidth val="65"/>
        <c:axId val="2091754208"/>
        <c:axId val="2091759648"/>
      </c:barChart>
      <c:valAx>
        <c:axId val="2091759648"/>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091754208"/>
        <c:crosses val="autoZero"/>
        <c:crossBetween val="between"/>
      </c:valAx>
      <c:catAx>
        <c:axId val="20917542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09175964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Detyrimet e Prapambetura Qendrore &amp; Vendore</a:t>
            </a:r>
            <a:endParaRPr lang="sq-AL"/>
          </a:p>
        </c:rich>
      </c:tx>
      <c:layout>
        <c:manualLayout>
          <c:xMode val="edge"/>
          <c:yMode val="edge"/>
          <c:x val="0.25086460683642609"/>
          <c:y val="1.8426283992607432E-2"/>
        </c:manualLayout>
      </c:layout>
      <c:overlay val="0"/>
      <c:spPr>
        <a:noFill/>
        <a:ln>
          <a:noFill/>
        </a:ln>
        <a:effectLst/>
      </c:spPr>
    </c:title>
    <c:autoTitleDeleted val="0"/>
    <c:plotArea>
      <c:layout>
        <c:manualLayout>
          <c:layoutTarget val="inner"/>
          <c:xMode val="edge"/>
          <c:yMode val="edge"/>
          <c:x val="3.4390741890419761E-2"/>
          <c:y val="0.1450563294972744"/>
          <c:w val="0.63650289327869114"/>
          <c:h val="0.6950120624574313"/>
        </c:manualLayout>
      </c:layout>
      <c:barChart>
        <c:barDir val="col"/>
        <c:grouping val="stacked"/>
        <c:varyColors val="0"/>
        <c:ser>
          <c:idx val="0"/>
          <c:order val="0"/>
          <c:tx>
            <c:strRef>
              <c:f>'Detyrimet Tot'!$B$4</c:f>
              <c:strCache>
                <c:ptCount val="1"/>
                <c:pt idx="0">
                  <c:v>Vendime Gjyqësore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Tot'!$C$4:$K$4</c:f>
            </c:numRef>
          </c:val>
          <c:extLst>
            <c:ext xmlns:c16="http://schemas.microsoft.com/office/drawing/2014/chart" uri="{C3380CC4-5D6E-409C-BE32-E72D297353CC}">
              <c16:uniqueId val="{00000000-E1F4-436D-8CBA-85F41C06097F}"/>
            </c:ext>
          </c:extLst>
        </c:ser>
        <c:ser>
          <c:idx val="1"/>
          <c:order val="1"/>
          <c:tx>
            <c:strRef>
              <c:f>'Detyrimet Tot'!$B$5</c:f>
              <c:strCache>
                <c:ptCount val="1"/>
                <c:pt idx="0">
                  <c:v>Mirëmbajtje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Tot'!$C$5:$K$5</c:f>
            </c:numRef>
          </c:val>
          <c:extLst>
            <c:ext xmlns:c16="http://schemas.microsoft.com/office/drawing/2014/chart" uri="{C3380CC4-5D6E-409C-BE32-E72D297353CC}">
              <c16:uniqueId val="{00000001-E1F4-436D-8CBA-85F41C06097F}"/>
            </c:ext>
          </c:extLst>
        </c:ser>
        <c:ser>
          <c:idx val="2"/>
          <c:order val="2"/>
          <c:tx>
            <c:strRef>
              <c:f>'Detyrimet Tot'!$B$6</c:f>
              <c:strCache>
                <c:ptCount val="1"/>
                <c:pt idx="0">
                  <c:v>Investime (infrastrukturë)</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Tot'!$C$6:$K$6</c:f>
            </c:numRef>
          </c:val>
          <c:extLst>
            <c:ext xmlns:c16="http://schemas.microsoft.com/office/drawing/2014/chart" uri="{C3380CC4-5D6E-409C-BE32-E72D297353CC}">
              <c16:uniqueId val="{00000002-E1F4-436D-8CBA-85F41C06097F}"/>
            </c:ext>
          </c:extLst>
        </c:ser>
        <c:ser>
          <c:idx val="3"/>
          <c:order val="3"/>
          <c:tx>
            <c:strRef>
              <c:f>'Detyrimet Tot'!$B$7</c:f>
              <c:strCache>
                <c:ptCount val="1"/>
                <c:pt idx="0">
                  <c:v>Te tjera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Tot'!$C$7:$K$7</c:f>
            </c:numRef>
          </c:val>
          <c:extLst>
            <c:ext xmlns:c16="http://schemas.microsoft.com/office/drawing/2014/chart" uri="{C3380CC4-5D6E-409C-BE32-E72D297353CC}">
              <c16:uniqueId val="{00000003-E1F4-436D-8CBA-85F41C06097F}"/>
            </c:ext>
          </c:extLst>
        </c:ser>
        <c:ser>
          <c:idx val="4"/>
          <c:order val="4"/>
          <c:tx>
            <c:strRef>
              <c:f>'Detyrimet Tot'!$B$8</c:f>
              <c:strCache>
                <c:ptCount val="1"/>
                <c:pt idx="0">
                  <c:v>Totali Detyrimeve të Qeverisë Qendrore</c:v>
                </c:pt>
              </c:strCache>
            </c:strRef>
          </c:tx>
          <c:spPr>
            <a:solidFill>
              <a:schemeClr val="accent5"/>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2021</c:v>
                </c:pt>
                <c:pt idx="1">
                  <c:v>6M 2021</c:v>
                </c:pt>
                <c:pt idx="2">
                  <c:v>9M 2021</c:v>
                </c:pt>
                <c:pt idx="3">
                  <c:v>2021</c:v>
                </c:pt>
                <c:pt idx="4">
                  <c:v>3M 2022</c:v>
                </c:pt>
              </c:strCache>
            </c:strRef>
          </c:cat>
          <c:val>
            <c:numRef>
              <c:f>'Detyrimet Tot'!$C$8:$O$8</c:f>
              <c:numCache>
                <c:formatCode>_-* #,##0_L_e_k_-;\-* #,##0_L_e_k_-;_-* "-"??_L_e_k_-;_-@_-</c:formatCode>
                <c:ptCount val="5"/>
                <c:pt idx="0">
                  <c:v>7953.7090634099995</c:v>
                </c:pt>
                <c:pt idx="1">
                  <c:v>9727.5</c:v>
                </c:pt>
                <c:pt idx="2">
                  <c:v>11940.682551</c:v>
                </c:pt>
                <c:pt idx="3">
                  <c:v>6149.7587629100008</c:v>
                </c:pt>
                <c:pt idx="4">
                  <c:v>6759.4054827599994</c:v>
                </c:pt>
              </c:numCache>
            </c:numRef>
          </c:val>
          <c:extLst>
            <c:ext xmlns:c16="http://schemas.microsoft.com/office/drawing/2014/chart" uri="{C3380CC4-5D6E-409C-BE32-E72D297353CC}">
              <c16:uniqueId val="{00000004-E1F4-436D-8CBA-85F41C06097F}"/>
            </c:ext>
          </c:extLst>
        </c:ser>
        <c:ser>
          <c:idx val="5"/>
          <c:order val="5"/>
          <c:tx>
            <c:strRef>
              <c:f>'Detyrimet Tot'!$B$9</c:f>
              <c:strCache>
                <c:ptCount val="1"/>
                <c:pt idx="0">
                  <c:v>Totali Detyrimeve të Qeverisë Vendore</c:v>
                </c:pt>
              </c:strCache>
            </c:strRef>
          </c:tx>
          <c:spPr>
            <a:solidFill>
              <a:schemeClr val="accent6"/>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2021</c:v>
                </c:pt>
                <c:pt idx="1">
                  <c:v>6M 2021</c:v>
                </c:pt>
                <c:pt idx="2">
                  <c:v>9M 2021</c:v>
                </c:pt>
                <c:pt idx="3">
                  <c:v>2021</c:v>
                </c:pt>
                <c:pt idx="4">
                  <c:v>3M 2022</c:v>
                </c:pt>
              </c:strCache>
            </c:strRef>
          </c:cat>
          <c:val>
            <c:numRef>
              <c:f>'Detyrimet Tot'!$C$9:$O$9</c:f>
              <c:numCache>
                <c:formatCode>_-* #,##0_L_e_k_-;\-* #,##0_L_e_k_-;_-* "-"??_L_e_k_-;_-@_-</c:formatCode>
                <c:ptCount val="5"/>
                <c:pt idx="0">
                  <c:v>6879.0983227499974</c:v>
                </c:pt>
                <c:pt idx="1">
                  <c:v>6635.5</c:v>
                </c:pt>
                <c:pt idx="2">
                  <c:v>7305.1040409999987</c:v>
                </c:pt>
                <c:pt idx="3">
                  <c:v>6604.1740495399999</c:v>
                </c:pt>
                <c:pt idx="4">
                  <c:v>7302.3664616100004</c:v>
                </c:pt>
              </c:numCache>
            </c:numRef>
          </c:val>
          <c:extLst>
            <c:ext xmlns:c16="http://schemas.microsoft.com/office/drawing/2014/chart" uri="{C3380CC4-5D6E-409C-BE32-E72D297353CC}">
              <c16:uniqueId val="{00000005-E1F4-436D-8CBA-85F41C06097F}"/>
            </c:ext>
          </c:extLst>
        </c:ser>
        <c:ser>
          <c:idx val="6"/>
          <c:order val="6"/>
          <c:tx>
            <c:strRef>
              <c:f>'Detyrimet Tot'!$B$10</c:f>
              <c:strCache>
                <c:ptCount val="1"/>
                <c:pt idx="0">
                  <c:v>Rimbursim i TVSH</c:v>
                </c:pt>
              </c:strCache>
            </c:strRef>
          </c:tx>
          <c:spPr>
            <a:solidFill>
              <a:schemeClr val="accent1">
                <a:lumMod val="60000"/>
              </a:schemeClr>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2021</c:v>
                </c:pt>
                <c:pt idx="1">
                  <c:v>6M 2021</c:v>
                </c:pt>
                <c:pt idx="2">
                  <c:v>9M 2021</c:v>
                </c:pt>
                <c:pt idx="3">
                  <c:v>2021</c:v>
                </c:pt>
                <c:pt idx="4">
                  <c:v>3M 2022</c:v>
                </c:pt>
              </c:strCache>
            </c:strRef>
          </c:cat>
          <c:val>
            <c:numRef>
              <c:f>'Detyrimet Tot'!$C$10:$O$10</c:f>
              <c:numCache>
                <c:formatCode>_-* #,##0_L_e_k_-;\-* #,##0_L_e_k_-;_-* "-"??_L_e_k_-;_-@_-</c:formatCode>
                <c:ptCount val="5"/>
                <c:pt idx="0">
                  <c:v>5921.7783589999999</c:v>
                </c:pt>
                <c:pt idx="1">
                  <c:v>1725</c:v>
                </c:pt>
                <c:pt idx="2">
                  <c:v>476.65039000000002</c:v>
                </c:pt>
                <c:pt idx="3">
                  <c:v>476.65039000000002</c:v>
                </c:pt>
                <c:pt idx="4">
                  <c:v>476.65039000000002</c:v>
                </c:pt>
              </c:numCache>
            </c:numRef>
          </c:val>
          <c:extLst>
            <c:ext xmlns:c16="http://schemas.microsoft.com/office/drawing/2014/chart" uri="{C3380CC4-5D6E-409C-BE32-E72D297353CC}">
              <c16:uniqueId val="{00000006-E1F4-436D-8CBA-85F41C06097F}"/>
            </c:ext>
          </c:extLst>
        </c:ser>
        <c:dLbls>
          <c:dLblPos val="ctr"/>
          <c:showLegendKey val="0"/>
          <c:showVal val="1"/>
          <c:showCatName val="0"/>
          <c:showSerName val="0"/>
          <c:showPercent val="0"/>
          <c:showBubbleSize val="0"/>
        </c:dLbls>
        <c:gapWidth val="79"/>
        <c:overlap val="100"/>
        <c:axId val="2091760192"/>
        <c:axId val="2091758016"/>
      </c:barChart>
      <c:lineChart>
        <c:grouping val="standard"/>
        <c:varyColors val="0"/>
        <c:ser>
          <c:idx val="7"/>
          <c:order val="7"/>
          <c:tx>
            <c:strRef>
              <c:f>'Detyrimet Tot'!$B$11</c:f>
              <c:strCache>
                <c:ptCount val="1"/>
                <c:pt idx="0">
                  <c:v>Total</c:v>
                </c:pt>
              </c:strCache>
            </c:strRef>
          </c:tx>
          <c:spPr>
            <a:ln w="19050" cap="rnd">
              <a:solidFill>
                <a:schemeClr val="accent2">
                  <a:lumMod val="60000"/>
                </a:schemeClr>
              </a:solidFill>
              <a:round/>
            </a:ln>
            <a:effectLst/>
          </c:spPr>
          <c:marker>
            <c:symbol val="none"/>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Tot'!$C$3:$K$3</c:f>
              <c:strCache>
                <c:ptCount val="1"/>
                <c:pt idx="0">
                  <c:v>3M 2021</c:v>
                </c:pt>
              </c:strCache>
            </c:strRef>
          </c:cat>
          <c:val>
            <c:numRef>
              <c:f>'Detyrimet Tot'!$C$11:$O$11</c:f>
              <c:numCache>
                <c:formatCode>_-* #,##0_L_e_k_-;\-* #,##0_L_e_k_-;_-* "-"??_L_e_k_-;_-@_-</c:formatCode>
                <c:ptCount val="5"/>
                <c:pt idx="0">
                  <c:v>20754.585745159995</c:v>
                </c:pt>
                <c:pt idx="1">
                  <c:v>18088</c:v>
                </c:pt>
                <c:pt idx="2">
                  <c:v>19722.436981999996</c:v>
                </c:pt>
                <c:pt idx="3">
                  <c:v>13230.583202450001</c:v>
                </c:pt>
                <c:pt idx="4">
                  <c:v>14538.422334370001</c:v>
                </c:pt>
              </c:numCache>
            </c:numRef>
          </c:val>
          <c:smooth val="0"/>
          <c:extLst>
            <c:ext xmlns:c16="http://schemas.microsoft.com/office/drawing/2014/chart" uri="{C3380CC4-5D6E-409C-BE32-E72D297353CC}">
              <c16:uniqueId val="{00000007-E1F4-436D-8CBA-85F41C06097F}"/>
            </c:ext>
          </c:extLst>
        </c:ser>
        <c:dLbls>
          <c:showLegendKey val="0"/>
          <c:showVal val="0"/>
          <c:showCatName val="0"/>
          <c:showSerName val="0"/>
          <c:showPercent val="0"/>
          <c:showBubbleSize val="0"/>
        </c:dLbls>
        <c:marker val="1"/>
        <c:smooth val="0"/>
        <c:axId val="2091766720"/>
        <c:axId val="2091766176"/>
      </c:lineChart>
      <c:catAx>
        <c:axId val="20917601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2091758016"/>
        <c:crosses val="autoZero"/>
        <c:auto val="1"/>
        <c:lblAlgn val="ctr"/>
        <c:lblOffset val="100"/>
        <c:noMultiLvlLbl val="0"/>
      </c:catAx>
      <c:valAx>
        <c:axId val="2091758016"/>
        <c:scaling>
          <c:orientation val="minMax"/>
        </c:scaling>
        <c:delete val="1"/>
        <c:axPos val="l"/>
        <c:numFmt formatCode="_-* #,##0_L_e_k_-;\-* #,##0_L_e_k_-;_-* &quot;-&quot;??_L_e_k_-;_-@_-" sourceLinked="1"/>
        <c:majorTickMark val="none"/>
        <c:minorTickMark val="none"/>
        <c:tickLblPos val="nextTo"/>
        <c:crossAx val="2091760192"/>
        <c:crosses val="autoZero"/>
        <c:crossBetween val="between"/>
      </c:valAx>
      <c:valAx>
        <c:axId val="2091766176"/>
        <c:scaling>
          <c:orientation val="minMax"/>
        </c:scaling>
        <c:delete val="0"/>
        <c:axPos val="r"/>
        <c:numFmt formatCode="_-* #,##0_L_e_k_-;\-* #,##0_L_e_k_-;_-* &quot;-&quot;??_L_e_k_-;_-@_-" sourceLinked="1"/>
        <c:majorTickMark val="out"/>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2091766720"/>
        <c:crosses val="max"/>
        <c:crossBetween val="between"/>
      </c:valAx>
      <c:catAx>
        <c:axId val="2091766720"/>
        <c:scaling>
          <c:orientation val="minMax"/>
        </c:scaling>
        <c:delete val="1"/>
        <c:axPos val="b"/>
        <c:numFmt formatCode="General" sourceLinked="1"/>
        <c:majorTickMark val="out"/>
        <c:minorTickMark val="none"/>
        <c:tickLblPos val="nextTo"/>
        <c:crossAx val="2091766176"/>
        <c:crosses val="autoZero"/>
        <c:auto val="1"/>
        <c:lblAlgn val="ctr"/>
        <c:lblOffset val="100"/>
        <c:noMultiLvlLbl val="0"/>
      </c:catAx>
      <c:spPr>
        <a:solidFill>
          <a:srgbClr val="DBEFF9"/>
        </a:solidFill>
        <a:ln w="9525" cap="flat" cmpd="sng" algn="ctr">
          <a:noFill/>
          <a:prstDash val="solid"/>
        </a:ln>
        <a:effectLst/>
      </c:spPr>
    </c:plotArea>
    <c:legend>
      <c:legendPos val="r"/>
      <c:layout>
        <c:manualLayout>
          <c:xMode val="edge"/>
          <c:yMode val="edge"/>
          <c:x val="0.75456800356095854"/>
          <c:y val="0.16253583686654552"/>
          <c:w val="0.23641248791269512"/>
          <c:h val="0.73082226260179017"/>
        </c:manualLayout>
      </c:layout>
      <c:overlay val="0"/>
      <c:spPr>
        <a:noFill/>
        <a:ln>
          <a:noFill/>
        </a:ln>
        <a:effectLst/>
      </c:spPr>
      <c:txPr>
        <a:bodyPr rot="0" vert="horz"/>
        <a:lstStyle/>
        <a:p>
          <a:pPr>
            <a:defRPr/>
          </a:pPr>
          <a:endParaRPr lang="en-US"/>
        </a:p>
      </c:txPr>
    </c:legend>
    <c:plotVisOnly val="1"/>
    <c:dispBlanksAs val="zero"/>
    <c:showDLblsOverMax val="0"/>
  </c:chart>
  <c:spPr>
    <a:solidFill>
      <a:srgbClr val="DBEFF9"/>
    </a:solidFill>
    <a:ln w="9525" cap="flat" cmpd="sng" algn="ctr">
      <a:solidFill>
        <a:schemeClr val="dk1"/>
      </a:solidFill>
      <a:prstDash val="solid"/>
      <a:round/>
    </a:ln>
    <a:effectLst/>
  </c:spPr>
  <c:txPr>
    <a:bodyPr/>
    <a:lstStyle/>
    <a:p>
      <a:pPr>
        <a:defRPr sz="700" b="1">
          <a:solidFill>
            <a:schemeClr val="dk1"/>
          </a:solidFill>
          <a:latin typeface="+mj-lt"/>
          <a:ea typeface="+mn-ea"/>
          <a:cs typeface="+mn-cs"/>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47067357786307"/>
          <c:y val="0.11342592592592593"/>
          <c:w val="0.39754327191513122"/>
          <c:h val="0.82407407407407407"/>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501F-4ACE-B939-4DECB452F020}"/>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501F-4ACE-B939-4DECB452F020}"/>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501F-4ACE-B939-4DECB452F020}"/>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501F-4ACE-B939-4DECB452F020}"/>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501F-4ACE-B939-4DECB452F020}"/>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501F-4ACE-B939-4DECB452F020}"/>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noFill/>
              </a:ln>
              <a:effectLst/>
            </c:spPr>
            <c:extLst>
              <c:ext xmlns:c16="http://schemas.microsoft.com/office/drawing/2014/chart" uri="{C3380CC4-5D6E-409C-BE32-E72D297353CC}">
                <c16:uniqueId val="{0000000D-501F-4ACE-B939-4DECB452F020}"/>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noFill/>
              </a:ln>
              <a:effectLst/>
            </c:spPr>
            <c:extLst>
              <c:ext xmlns:c16="http://schemas.microsoft.com/office/drawing/2014/chart" uri="{C3380CC4-5D6E-409C-BE32-E72D297353CC}">
                <c16:uniqueId val="{0000000F-501F-4ACE-B939-4DECB452F020}"/>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noFill/>
              </a:ln>
              <a:effectLst/>
            </c:spPr>
            <c:extLst>
              <c:ext xmlns:c16="http://schemas.microsoft.com/office/drawing/2014/chart" uri="{C3380CC4-5D6E-409C-BE32-E72D297353CC}">
                <c16:uniqueId val="{00000011-501F-4ACE-B939-4DECB452F020}"/>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noFill/>
              </a:ln>
              <a:effectLst/>
            </c:spPr>
            <c:extLst>
              <c:ext xmlns:c16="http://schemas.microsoft.com/office/drawing/2014/chart" uri="{C3380CC4-5D6E-409C-BE32-E72D297353CC}">
                <c16:uniqueId val="{00000013-501F-4ACE-B939-4DECB452F020}"/>
              </c:ext>
            </c:extLst>
          </c:dPt>
          <c:dLbls>
            <c:spPr>
              <a:noFill/>
              <a:ln>
                <a:noFill/>
              </a:ln>
              <a:effectLst/>
            </c:spPr>
            <c:txPr>
              <a:bodyPr rot="0" vert="horz"/>
              <a:lstStyle/>
              <a:p>
                <a:pPr>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'[Chart in Microsoft Word]Sheet1'!$A$3:$A$12</c:f>
              <c:strCache>
                <c:ptCount val="10"/>
                <c:pt idx="0">
                  <c:v>Vendime Gjyqësore</c:v>
                </c:pt>
                <c:pt idx="1">
                  <c:v>Investime</c:v>
                </c:pt>
                <c:pt idx="2">
                  <c:v>Detyrime të prapambetura të tjera</c:v>
                </c:pt>
                <c:pt idx="3">
                  <c:v>Rimbursimi i TVSH-së</c:v>
                </c:pt>
                <c:pt idx="4">
                  <c:v>Shërbimet</c:v>
                </c:pt>
                <c:pt idx="5">
                  <c:v>Detyrimet për sigurimet shoqërore</c:v>
                </c:pt>
                <c:pt idx="6">
                  <c:v>Mallra</c:v>
                </c:pt>
                <c:pt idx="7">
                  <c:v>Të Ardhurat Personale</c:v>
                </c:pt>
                <c:pt idx="8">
                  <c:v>Detyrimet për sigurimet shëndetsore</c:v>
                </c:pt>
                <c:pt idx="9">
                  <c:v>Mirëmbajtje</c:v>
                </c:pt>
              </c:strCache>
            </c:strRef>
          </c:cat>
          <c:val>
            <c:numRef>
              <c:f>'[Chart in Microsoft Word]Sheet1'!$D$3:$D$12</c:f>
              <c:numCache>
                <c:formatCode>0.00%</c:formatCode>
                <c:ptCount val="10"/>
                <c:pt idx="0">
                  <c:v>0.47799999999999998</c:v>
                </c:pt>
                <c:pt idx="1">
                  <c:v>0.21</c:v>
                </c:pt>
                <c:pt idx="2">
                  <c:v>0.153</c:v>
                </c:pt>
                <c:pt idx="3">
                  <c:v>5.7000000000000002E-2</c:v>
                </c:pt>
                <c:pt idx="4">
                  <c:v>5.3999999999999999E-2</c:v>
                </c:pt>
                <c:pt idx="5">
                  <c:v>2.3E-2</c:v>
                </c:pt>
                <c:pt idx="6">
                  <c:v>1.4E-2</c:v>
                </c:pt>
                <c:pt idx="7">
                  <c:v>6.0000000000000001E-3</c:v>
                </c:pt>
                <c:pt idx="8">
                  <c:v>3.0000000000000001E-3</c:v>
                </c:pt>
                <c:pt idx="9">
                  <c:v>2E-3</c:v>
                </c:pt>
              </c:numCache>
            </c:numRef>
          </c:val>
          <c:extLst>
            <c:ext xmlns:c16="http://schemas.microsoft.com/office/drawing/2014/chart" uri="{C3380CC4-5D6E-409C-BE32-E72D297353CC}">
              <c16:uniqueId val="{00000014-501F-4ACE-B939-4DECB452F02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7913170401438518"/>
          <c:y val="6.1252187226596679E-2"/>
          <c:w val="0.40420158535459449"/>
          <c:h val="0.88212489063867017"/>
        </c:manualLayout>
      </c:layout>
      <c:overlay val="0"/>
      <c:spPr>
        <a:noFill/>
        <a:ln w="22225">
          <a:noFill/>
        </a:ln>
        <a:effectLst/>
      </c:spPr>
      <c:txPr>
        <a:bodyPr rot="0" vert="horz"/>
        <a:lstStyle/>
        <a:p>
          <a:pPr>
            <a:defRPr/>
          </a:pPr>
          <a:endParaRPr lang="en-US"/>
        </a:p>
      </c:txPr>
    </c:legend>
    <c:plotVisOnly val="1"/>
    <c:dispBlanksAs val="gap"/>
    <c:showDLblsOverMax val="0"/>
  </c:chart>
  <c:spPr>
    <a:noFill/>
    <a:ln w="9525" cap="flat" cmpd="sng" algn="ctr">
      <a:noFill/>
      <a:round/>
    </a:ln>
    <a:effectLst/>
  </c:spPr>
  <c:txPr>
    <a:bodyPr/>
    <a:lstStyle/>
    <a:p>
      <a:pPr>
        <a:defRPr sz="800" b="1"/>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29622659076402"/>
          <c:y val="0.11342592592592593"/>
          <c:w val="0.37584459459459457"/>
          <c:h val="0.82407407407407407"/>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31C6-41AD-AA3E-31BF2E264140}"/>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31C6-41AD-AA3E-31BF2E264140}"/>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31C6-41AD-AA3E-31BF2E264140}"/>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31C6-41AD-AA3E-31BF2E264140}"/>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31C6-41AD-AA3E-31BF2E264140}"/>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31C6-41AD-AA3E-31BF2E264140}"/>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noFill/>
              </a:ln>
              <a:effectLst/>
            </c:spPr>
            <c:extLst>
              <c:ext xmlns:c16="http://schemas.microsoft.com/office/drawing/2014/chart" uri="{C3380CC4-5D6E-409C-BE32-E72D297353CC}">
                <c16:uniqueId val="{0000000D-31C6-41AD-AA3E-31BF2E264140}"/>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noFill/>
              </a:ln>
              <a:effectLst/>
            </c:spPr>
            <c:extLst>
              <c:ext xmlns:c16="http://schemas.microsoft.com/office/drawing/2014/chart" uri="{C3380CC4-5D6E-409C-BE32-E72D297353CC}">
                <c16:uniqueId val="{0000000F-31C6-41AD-AA3E-31BF2E264140}"/>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noFill/>
              </a:ln>
              <a:effectLst/>
            </c:spPr>
            <c:extLst>
              <c:ext xmlns:c16="http://schemas.microsoft.com/office/drawing/2014/chart" uri="{C3380CC4-5D6E-409C-BE32-E72D297353CC}">
                <c16:uniqueId val="{00000011-31C6-41AD-AA3E-31BF2E26414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'[Chart in Microsoft Word]Sheet1'!$A$3:$A$11</c:f>
              <c:strCache>
                <c:ptCount val="9"/>
                <c:pt idx="0">
                  <c:v>Investimet</c:v>
                </c:pt>
                <c:pt idx="1">
                  <c:v>Detyrime të prapambetura të tjera</c:v>
                </c:pt>
                <c:pt idx="2">
                  <c:v>Shërbimet</c:v>
                </c:pt>
                <c:pt idx="3">
                  <c:v>Vendime Gjyqësore</c:v>
                </c:pt>
                <c:pt idx="4">
                  <c:v>Mallra</c:v>
                </c:pt>
                <c:pt idx="5">
                  <c:v>Mirëmbajtje</c:v>
                </c:pt>
                <c:pt idx="6">
                  <c:v>Detyrime për sigurimet shoqërore</c:v>
                </c:pt>
                <c:pt idx="7">
                  <c:v>Të Ardhurat Personale</c:v>
                </c:pt>
                <c:pt idx="8">
                  <c:v>Detyrimet për sigurimet shëndetsore</c:v>
                </c:pt>
              </c:strCache>
            </c:strRef>
          </c:cat>
          <c:val>
            <c:numRef>
              <c:f>'[Chart in Microsoft Word]Sheet1'!$D$3:$D$11</c:f>
              <c:numCache>
                <c:formatCode>0.00%</c:formatCode>
                <c:ptCount val="9"/>
                <c:pt idx="0">
                  <c:v>0.53100000000000003</c:v>
                </c:pt>
                <c:pt idx="1">
                  <c:v>0.19400000000000001</c:v>
                </c:pt>
                <c:pt idx="2">
                  <c:v>0.105</c:v>
                </c:pt>
                <c:pt idx="3">
                  <c:v>9.4E-2</c:v>
                </c:pt>
                <c:pt idx="4">
                  <c:v>4.2999999999999997E-2</c:v>
                </c:pt>
                <c:pt idx="5">
                  <c:v>2.1999999999999999E-2</c:v>
                </c:pt>
                <c:pt idx="6">
                  <c:v>8.0000000000000002E-3</c:v>
                </c:pt>
                <c:pt idx="7">
                  <c:v>3.0000000000000001E-3</c:v>
                </c:pt>
                <c:pt idx="8">
                  <c:v>1E-3</c:v>
                </c:pt>
              </c:numCache>
            </c:numRef>
          </c:val>
          <c:extLst>
            <c:ext xmlns:c16="http://schemas.microsoft.com/office/drawing/2014/chart" uri="{C3380CC4-5D6E-409C-BE32-E72D297353CC}">
              <c16:uniqueId val="{00000012-31C6-41AD-AA3E-31BF2E26414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7073379974462646"/>
          <c:y val="8.0936497521143194E-2"/>
          <c:w val="0.40392836241753566"/>
          <c:h val="0.81034922717993585"/>
        </c:manualLayout>
      </c:layout>
      <c:overlay val="0"/>
      <c:spPr>
        <a:noFill/>
        <a:ln w="22225">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443709071249815"/>
          <c:y val="0.13827156909456748"/>
          <c:w val="0.77455515734951741"/>
          <c:h val="0.58397833278809297"/>
        </c:manualLayout>
      </c:layout>
      <c:bar3DChart>
        <c:barDir val="col"/>
        <c:grouping val="clustered"/>
        <c:varyColors val="0"/>
        <c:ser>
          <c:idx val="0"/>
          <c:order val="0"/>
          <c:spPr>
            <a:solidFill>
              <a:schemeClr val="accent1"/>
            </a:solidFill>
            <a:ln>
              <a:noFill/>
            </a:ln>
            <a:effectLst/>
            <a:sp3d/>
          </c:spPr>
          <c:invertIfNegative val="0"/>
          <c:cat>
            <c:strRef>
              <c:f>Sheet1!$C$39:$E$39</c:f>
              <c:strCache>
                <c:ptCount val="3"/>
                <c:pt idx="0">
                  <c:v>Fakt 5M 2021</c:v>
                </c:pt>
                <c:pt idx="1">
                  <c:v>Fakt 5m 2022</c:v>
                </c:pt>
                <c:pt idx="2">
                  <c:v>Plan 2022</c:v>
                </c:pt>
              </c:strCache>
            </c:strRef>
          </c:cat>
          <c:val>
            <c:numRef>
              <c:f>Sheet1!$C$40:$E$40</c:f>
              <c:numCache>
                <c:formatCode>#,##0</c:formatCode>
                <c:ptCount val="3"/>
                <c:pt idx="0">
                  <c:v>67810</c:v>
                </c:pt>
                <c:pt idx="1">
                  <c:v>83791</c:v>
                </c:pt>
                <c:pt idx="2">
                  <c:v>80341</c:v>
                </c:pt>
              </c:numCache>
            </c:numRef>
          </c:val>
          <c:extLst>
            <c:ext xmlns:c16="http://schemas.microsoft.com/office/drawing/2014/chart" uri="{C3380CC4-5D6E-409C-BE32-E72D297353CC}">
              <c16:uniqueId val="{00000000-8755-4134-ABC8-2BDA6CAE55AA}"/>
            </c:ext>
          </c:extLst>
        </c:ser>
        <c:dLbls>
          <c:showLegendKey val="0"/>
          <c:showVal val="0"/>
          <c:showCatName val="0"/>
          <c:showSerName val="0"/>
          <c:showPercent val="0"/>
          <c:showBubbleSize val="0"/>
        </c:dLbls>
        <c:gapWidth val="150"/>
        <c:shape val="box"/>
        <c:axId val="2085156352"/>
        <c:axId val="2085153632"/>
        <c:axId val="0"/>
      </c:bar3DChart>
      <c:catAx>
        <c:axId val="2085156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5153632"/>
        <c:crosses val="autoZero"/>
        <c:auto val="1"/>
        <c:lblAlgn val="ctr"/>
        <c:lblOffset val="100"/>
        <c:noMultiLvlLbl val="0"/>
      </c:catAx>
      <c:valAx>
        <c:axId val="20851536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5156352"/>
        <c:crosses val="autoZero"/>
        <c:crossBetween val="between"/>
      </c:valAx>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98729325500978"/>
          <c:y val="7.495523518743831E-2"/>
          <c:w val="0.79070457933927085"/>
          <c:h val="0.87698269138147433"/>
        </c:manualLayout>
      </c:layout>
      <c:barChart>
        <c:barDir val="bar"/>
        <c:grouping val="clustered"/>
        <c:varyColors val="0"/>
        <c:ser>
          <c:idx val="0"/>
          <c:order val="0"/>
          <c:spPr>
            <a:solidFill>
              <a:srgbClr val="963836"/>
            </a:solidFill>
          </c:spPr>
          <c:invertIfNegative val="0"/>
          <c:dPt>
            <c:idx val="5"/>
            <c:invertIfNegative val="0"/>
            <c:bubble3D val="0"/>
            <c:spPr>
              <a:solidFill>
                <a:srgbClr val="1F497D"/>
              </a:solidFill>
              <a:ln>
                <a:solidFill>
                  <a:srgbClr val="1F497D"/>
                </a:solidFill>
              </a:ln>
            </c:spPr>
            <c:extLst>
              <c:ext xmlns:c16="http://schemas.microsoft.com/office/drawing/2014/chart" uri="{C3380CC4-5D6E-409C-BE32-E72D297353CC}">
                <c16:uniqueId val="{00000001-CAE5-4E9F-BB77-732E2D1F5A01}"/>
              </c:ext>
            </c:extLst>
          </c:dPt>
          <c:dPt>
            <c:idx val="6"/>
            <c:invertIfNegative val="0"/>
            <c:bubble3D val="0"/>
            <c:spPr>
              <a:solidFill>
                <a:srgbClr val="1F497D"/>
              </a:solidFill>
            </c:spPr>
            <c:extLst>
              <c:ext xmlns:c16="http://schemas.microsoft.com/office/drawing/2014/chart" uri="{C3380CC4-5D6E-409C-BE32-E72D297353CC}">
                <c16:uniqueId val="{00000003-CAE5-4E9F-BB77-732E2D1F5A01}"/>
              </c:ext>
            </c:extLst>
          </c:dPt>
          <c:dPt>
            <c:idx val="7"/>
            <c:invertIfNegative val="0"/>
            <c:bubble3D val="0"/>
            <c:spPr>
              <a:solidFill>
                <a:srgbClr val="1F497D"/>
              </a:solidFill>
            </c:spPr>
            <c:extLst>
              <c:ext xmlns:c16="http://schemas.microsoft.com/office/drawing/2014/chart" uri="{C3380CC4-5D6E-409C-BE32-E72D297353CC}">
                <c16:uniqueId val="{00000005-CAE5-4E9F-BB77-732E2D1F5A01}"/>
              </c:ext>
            </c:extLst>
          </c:dPt>
          <c:dPt>
            <c:idx val="8"/>
            <c:invertIfNegative val="0"/>
            <c:bubble3D val="0"/>
            <c:spPr>
              <a:solidFill>
                <a:srgbClr val="1F497D"/>
              </a:solidFill>
            </c:spPr>
            <c:extLst>
              <c:ext xmlns:c16="http://schemas.microsoft.com/office/drawing/2014/chart" uri="{C3380CC4-5D6E-409C-BE32-E72D297353CC}">
                <c16:uniqueId val="{00000007-CAE5-4E9F-BB77-732E2D1F5A01}"/>
              </c:ext>
            </c:extLst>
          </c:dPt>
          <c:dPt>
            <c:idx val="9"/>
            <c:invertIfNegative val="0"/>
            <c:bubble3D val="0"/>
            <c:spPr>
              <a:solidFill>
                <a:srgbClr val="1F497D"/>
              </a:solidFill>
            </c:spPr>
            <c:extLst>
              <c:ext xmlns:c16="http://schemas.microsoft.com/office/drawing/2014/chart" uri="{C3380CC4-5D6E-409C-BE32-E72D297353CC}">
                <c16:uniqueId val="{00000009-CAE5-4E9F-BB77-732E2D1F5A01}"/>
              </c:ext>
            </c:extLst>
          </c:dPt>
          <c:dPt>
            <c:idx val="10"/>
            <c:invertIfNegative val="0"/>
            <c:bubble3D val="0"/>
            <c:spPr>
              <a:solidFill>
                <a:srgbClr val="1F497D"/>
              </a:solidFill>
            </c:spPr>
            <c:extLst>
              <c:ext xmlns:c16="http://schemas.microsoft.com/office/drawing/2014/chart" uri="{C3380CC4-5D6E-409C-BE32-E72D297353CC}">
                <c16:uniqueId val="{0000000B-CAE5-4E9F-BB77-732E2D1F5A01}"/>
              </c:ext>
            </c:extLst>
          </c:dPt>
          <c:dPt>
            <c:idx val="11"/>
            <c:invertIfNegative val="0"/>
            <c:bubble3D val="0"/>
            <c:spPr>
              <a:solidFill>
                <a:srgbClr val="1F497D"/>
              </a:solidFill>
            </c:spPr>
            <c:extLst>
              <c:ext xmlns:c16="http://schemas.microsoft.com/office/drawing/2014/chart" uri="{C3380CC4-5D6E-409C-BE32-E72D297353CC}">
                <c16:uniqueId val="{0000000D-CAE5-4E9F-BB77-732E2D1F5A01}"/>
              </c:ext>
            </c:extLst>
          </c:dPt>
          <c:dPt>
            <c:idx val="12"/>
            <c:invertIfNegative val="0"/>
            <c:bubble3D val="0"/>
            <c:spPr>
              <a:solidFill>
                <a:srgbClr val="1F497D"/>
              </a:solidFill>
            </c:spPr>
            <c:extLst>
              <c:ext xmlns:c16="http://schemas.microsoft.com/office/drawing/2014/chart" uri="{C3380CC4-5D6E-409C-BE32-E72D297353CC}">
                <c16:uniqueId val="{0000000F-CAE5-4E9F-BB77-732E2D1F5A01}"/>
              </c:ext>
            </c:extLst>
          </c:dPt>
          <c:dLbls>
            <c:dLbl>
              <c:idx val="0"/>
              <c:layout>
                <c:manualLayout>
                  <c:x val="-1.5038120234970628E-3"/>
                  <c:y val="1.6520335400552671E-2"/>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AE5-4E9F-BB77-732E2D1F5A01}"/>
                </c:ext>
              </c:extLst>
            </c:dLbl>
            <c:dLbl>
              <c:idx val="1"/>
              <c:layout>
                <c:manualLayout>
                  <c:x val="1.2772126111973229E-7"/>
                  <c:y val="2.3191179317120203E-3"/>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5CE-4590-82A5-ED97ABFE4C28}"/>
                </c:ext>
              </c:extLst>
            </c:dLbl>
            <c:dLbl>
              <c:idx val="2"/>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11-45CE-4590-82A5-ED97ABFE4C28}"/>
                </c:ext>
              </c:extLst>
            </c:dLbl>
            <c:dLbl>
              <c:idx val="3"/>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12-45CE-4590-82A5-ED97ABFE4C28}"/>
                </c:ext>
              </c:extLst>
            </c:dLbl>
            <c:dLbl>
              <c:idx val="4"/>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6="http://schemas.microsoft.com/office/drawing/2014/chart" uri="{C3380CC4-5D6E-409C-BE32-E72D297353CC}">
                  <c16:uniqueId val="{00000013-45CE-4590-82A5-ED97ABFE4C28}"/>
                </c:ext>
              </c:extLst>
            </c:dLbl>
            <c:dLbl>
              <c:idx val="14"/>
              <c:layout>
                <c:manualLayout>
                  <c:x val="-2.1178985548533247E-3"/>
                  <c:y val="-6.47296050562321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AE5-4E9F-BB77-732E2D1F5A01}"/>
                </c:ext>
              </c:extLst>
            </c:dLbl>
            <c:spPr>
              <a:noFill/>
            </c:spPr>
            <c:txPr>
              <a:bodyPr/>
              <a:lstStyle/>
              <a:p>
                <a:pPr>
                  <a:defRPr sz="800" b="1" i="1">
                    <a:solidFill>
                      <a:schemeClr val="tx2"/>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'Kontribuesit Kryesore (TR)'!$G$4:$G$13</c:f>
              <c:strCache>
                <c:ptCount val="10"/>
                <c:pt idx="0">
                  <c:v>Energji Elektrike </c:v>
                </c:pt>
                <c:pt idx="1">
                  <c:v>Mielli dhe Gruri</c:v>
                </c:pt>
                <c:pt idx="2">
                  <c:v>Sheqeri</c:v>
                </c:pt>
                <c:pt idx="3">
                  <c:v>Fruta Perime</c:v>
                </c:pt>
                <c:pt idx="4">
                  <c:v>Mishi</c:v>
                </c:pt>
                <c:pt idx="5">
                  <c:v>Cigare </c:v>
                </c:pt>
                <c:pt idx="6">
                  <c:v>Veshje, Tekstile </c:v>
                </c:pt>
                <c:pt idx="7">
                  <c:v>Metalet bazë dhe artikujt prej tyre</c:v>
                </c:pt>
                <c:pt idx="8">
                  <c:v>Automjeteve të perdorura </c:v>
                </c:pt>
                <c:pt idx="9">
                  <c:v>Karburante Import </c:v>
                </c:pt>
              </c:strCache>
            </c:strRef>
          </c:cat>
          <c:val>
            <c:numRef>
              <c:f>'Kontribuesit Kryesore (TR)'!$H$4:$H$13</c:f>
              <c:numCache>
                <c:formatCode>_(* #,##0_);_(* \(#,##0\);_(* "-"??_);_(@_)</c:formatCode>
                <c:ptCount val="10"/>
                <c:pt idx="0">
                  <c:v>-350.87063499999999</c:v>
                </c:pt>
                <c:pt idx="1">
                  <c:v>-227.15068100000005</c:v>
                </c:pt>
                <c:pt idx="2">
                  <c:v>-84.544506000000055</c:v>
                </c:pt>
                <c:pt idx="3">
                  <c:v>-61.841864000000058</c:v>
                </c:pt>
                <c:pt idx="4">
                  <c:v>-57.709079000000024</c:v>
                </c:pt>
                <c:pt idx="5">
                  <c:v>624.75398450000114</c:v>
                </c:pt>
                <c:pt idx="6">
                  <c:v>628.84252200000014</c:v>
                </c:pt>
                <c:pt idx="7">
                  <c:v>1213.7581410000003</c:v>
                </c:pt>
                <c:pt idx="8">
                  <c:v>1367.5254769999999</c:v>
                </c:pt>
                <c:pt idx="9">
                  <c:v>2855.1015899999998</c:v>
                </c:pt>
              </c:numCache>
            </c:numRef>
          </c:val>
          <c:extLst>
            <c:ext xmlns:c16="http://schemas.microsoft.com/office/drawing/2014/chart" uri="{C3380CC4-5D6E-409C-BE32-E72D297353CC}">
              <c16:uniqueId val="{00000019-CAE5-4E9F-BB77-732E2D1F5A01}"/>
            </c:ext>
          </c:extLst>
        </c:ser>
        <c:dLbls>
          <c:showLegendKey val="0"/>
          <c:showVal val="1"/>
          <c:showCatName val="0"/>
          <c:showSerName val="0"/>
          <c:showPercent val="0"/>
          <c:showBubbleSize val="0"/>
        </c:dLbls>
        <c:gapWidth val="150"/>
        <c:overlap val="-25"/>
        <c:axId val="2085152544"/>
        <c:axId val="2085154176"/>
      </c:barChart>
      <c:catAx>
        <c:axId val="2085152544"/>
        <c:scaling>
          <c:orientation val="minMax"/>
        </c:scaling>
        <c:delete val="0"/>
        <c:axPos val="l"/>
        <c:numFmt formatCode="General" sourceLinked="0"/>
        <c:majorTickMark val="none"/>
        <c:minorTickMark val="none"/>
        <c:tickLblPos val="low"/>
        <c:txPr>
          <a:bodyPr/>
          <a:lstStyle/>
          <a:p>
            <a:pPr>
              <a:defRPr sz="800" i="1"/>
            </a:pPr>
            <a:endParaRPr lang="en-US"/>
          </a:p>
        </c:txPr>
        <c:crossAx val="2085154176"/>
        <c:crosses val="autoZero"/>
        <c:auto val="1"/>
        <c:lblAlgn val="ctr"/>
        <c:lblOffset val="100"/>
        <c:noMultiLvlLbl val="0"/>
      </c:catAx>
      <c:valAx>
        <c:axId val="2085154176"/>
        <c:scaling>
          <c:orientation val="minMax"/>
        </c:scaling>
        <c:delete val="1"/>
        <c:axPos val="b"/>
        <c:numFmt formatCode="_(* #,##0_);_(* \(#,##0\);_(* &quot;-&quot;??_);_(@_)" sourceLinked="1"/>
        <c:majorTickMark val="none"/>
        <c:minorTickMark val="none"/>
        <c:tickLblPos val="nextTo"/>
        <c:crossAx val="2085152544"/>
        <c:crosses val="autoZero"/>
        <c:crossBetween val="between"/>
      </c:valAx>
      <c:spPr>
        <a:noFill/>
        <a:ln>
          <a:noFill/>
        </a:ln>
      </c:spPr>
    </c:plotArea>
    <c:plotVisOnly val="1"/>
    <c:dispBlanksAs val="gap"/>
    <c:showDLblsOverMax val="0"/>
  </c:chart>
  <c:spPr>
    <a:noFill/>
    <a:ln>
      <a:solidFill>
        <a:sysClr val="window" lastClr="FFFFFF">
          <a:lumMod val="75000"/>
        </a:sysClr>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8228150585655"/>
          <c:y val="7.0007937907920273E-2"/>
          <c:w val="0.81733662396678031"/>
          <c:h val="0.65151088859319417"/>
        </c:manualLayout>
      </c:layout>
      <c:lineChart>
        <c:grouping val="standard"/>
        <c:varyColors val="0"/>
        <c:ser>
          <c:idx val="0"/>
          <c:order val="0"/>
          <c:tx>
            <c:strRef>
              <c:f>Sheet1!$C$45</c:f>
              <c:strCache>
                <c:ptCount val="1"/>
                <c:pt idx="0">
                  <c:v>Realizim 2021</c:v>
                </c:pt>
              </c:strCache>
            </c:strRef>
          </c:tx>
          <c:spPr>
            <a:ln w="28575" cap="rnd">
              <a:solidFill>
                <a:schemeClr val="accent1"/>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Sheet1!$C$46:$C$57</c:f>
              <c:numCache>
                <c:formatCode>_(* #,##0_);_(* \(#,##0\);_(* "-"??_);_(@_)</c:formatCode>
                <c:ptCount val="12"/>
                <c:pt idx="0">
                  <c:v>20738.737000000001</c:v>
                </c:pt>
                <c:pt idx="1">
                  <c:v>18810.262999999999</c:v>
                </c:pt>
                <c:pt idx="2">
                  <c:v>20243</c:v>
                </c:pt>
                <c:pt idx="3">
                  <c:v>19323.420116735855</c:v>
                </c:pt>
                <c:pt idx="4">
                  <c:v>19698.896843264141</c:v>
                </c:pt>
                <c:pt idx="5">
                  <c:v>19444.683040000004</c:v>
                </c:pt>
                <c:pt idx="6">
                  <c:v>23348</c:v>
                </c:pt>
                <c:pt idx="7">
                  <c:v>21040</c:v>
                </c:pt>
                <c:pt idx="8">
                  <c:v>20479.874000000011</c:v>
                </c:pt>
                <c:pt idx="9">
                  <c:v>23682.085999999981</c:v>
                </c:pt>
                <c:pt idx="10">
                  <c:v>21215.036817000015</c:v>
                </c:pt>
                <c:pt idx="11">
                  <c:v>28143.003182999993</c:v>
                </c:pt>
              </c:numCache>
            </c:numRef>
          </c:val>
          <c:smooth val="0"/>
          <c:extLst>
            <c:ext xmlns:c16="http://schemas.microsoft.com/office/drawing/2014/chart" uri="{C3380CC4-5D6E-409C-BE32-E72D297353CC}">
              <c16:uniqueId val="{00000000-6DCF-4864-AD3D-66068D87A2B3}"/>
            </c:ext>
          </c:extLst>
        </c:ser>
        <c:ser>
          <c:idx val="1"/>
          <c:order val="1"/>
          <c:tx>
            <c:strRef>
              <c:f>Sheet1!$D$45</c:f>
              <c:strCache>
                <c:ptCount val="1"/>
                <c:pt idx="0">
                  <c:v>Realizim 2022</c:v>
                </c:pt>
              </c:strCache>
            </c:strRef>
          </c:tx>
          <c:spPr>
            <a:ln w="28575" cap="rnd">
              <a:solidFill>
                <a:schemeClr val="accent1">
                  <a:lumMod val="20000"/>
                  <a:lumOff val="80000"/>
                </a:schemeClr>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Sheet1!$D$46:$D$57</c:f>
              <c:numCache>
                <c:formatCode>_(* #,##0_);_(* \(#,##0\);_(* "-"??_);_(@_)</c:formatCode>
                <c:ptCount val="12"/>
                <c:pt idx="0">
                  <c:v>27087.8</c:v>
                </c:pt>
                <c:pt idx="1">
                  <c:v>20225.2</c:v>
                </c:pt>
                <c:pt idx="2">
                  <c:v>28101</c:v>
                </c:pt>
                <c:pt idx="3">
                  <c:v>24242</c:v>
                </c:pt>
                <c:pt idx="4">
                  <c:v>21230</c:v>
                </c:pt>
              </c:numCache>
            </c:numRef>
          </c:val>
          <c:smooth val="0"/>
          <c:extLst>
            <c:ext xmlns:c16="http://schemas.microsoft.com/office/drawing/2014/chart" uri="{C3380CC4-5D6E-409C-BE32-E72D297353CC}">
              <c16:uniqueId val="{00000001-6DCF-4864-AD3D-66068D87A2B3}"/>
            </c:ext>
          </c:extLst>
        </c:ser>
        <c:ser>
          <c:idx val="2"/>
          <c:order val="2"/>
          <c:tx>
            <c:strRef>
              <c:f>Sheet1!$E$45</c:f>
              <c:strCache>
                <c:ptCount val="1"/>
                <c:pt idx="0">
                  <c:v>Plan 2022</c:v>
                </c:pt>
              </c:strCache>
            </c:strRef>
          </c:tx>
          <c:spPr>
            <a:ln w="28575" cap="rnd">
              <a:solidFill>
                <a:schemeClr val="accent3"/>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Sheet1!$E$46:$E$57</c:f>
              <c:numCache>
                <c:formatCode>_(* #,##0_);_(* \(#,##0\);_(* "-"??_);_(@_)</c:formatCode>
                <c:ptCount val="12"/>
                <c:pt idx="0">
                  <c:v>26773</c:v>
                </c:pt>
                <c:pt idx="1">
                  <c:v>20540</c:v>
                </c:pt>
                <c:pt idx="2">
                  <c:v>22800</c:v>
                </c:pt>
                <c:pt idx="3">
                  <c:v>21374</c:v>
                </c:pt>
                <c:pt idx="4">
                  <c:v>20550</c:v>
                </c:pt>
                <c:pt idx="5">
                  <c:v>21074</c:v>
                </c:pt>
                <c:pt idx="6">
                  <c:v>23280</c:v>
                </c:pt>
                <c:pt idx="7">
                  <c:v>21913</c:v>
                </c:pt>
                <c:pt idx="8">
                  <c:v>21500</c:v>
                </c:pt>
                <c:pt idx="9">
                  <c:v>23655</c:v>
                </c:pt>
                <c:pt idx="10">
                  <c:v>21655</c:v>
                </c:pt>
                <c:pt idx="11">
                  <c:v>23334</c:v>
                </c:pt>
              </c:numCache>
            </c:numRef>
          </c:val>
          <c:smooth val="0"/>
          <c:extLst>
            <c:ext xmlns:c16="http://schemas.microsoft.com/office/drawing/2014/chart" uri="{C3380CC4-5D6E-409C-BE32-E72D297353CC}">
              <c16:uniqueId val="{00000002-6DCF-4864-AD3D-66068D87A2B3}"/>
            </c:ext>
          </c:extLst>
        </c:ser>
        <c:dLbls>
          <c:showLegendKey val="0"/>
          <c:showVal val="0"/>
          <c:showCatName val="0"/>
          <c:showSerName val="0"/>
          <c:showPercent val="0"/>
          <c:showBubbleSize val="0"/>
        </c:dLbls>
        <c:smooth val="0"/>
        <c:axId val="2085153088"/>
        <c:axId val="2085157440"/>
      </c:lineChart>
      <c:catAx>
        <c:axId val="208515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85157440"/>
        <c:crosses val="autoZero"/>
        <c:auto val="1"/>
        <c:lblAlgn val="ctr"/>
        <c:lblOffset val="100"/>
        <c:noMultiLvlLbl val="0"/>
      </c:catAx>
      <c:valAx>
        <c:axId val="2085157440"/>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2085153088"/>
        <c:crosses val="autoZero"/>
        <c:crossBetween val="between"/>
      </c:valAx>
      <c:spPr>
        <a:solidFill>
          <a:schemeClr val="bg1"/>
        </a:solidFill>
        <a:ln>
          <a:noFill/>
        </a:ln>
        <a:effectLst/>
      </c:spPr>
    </c:plotArea>
    <c:legend>
      <c:legendPos val="b"/>
      <c:layout>
        <c:manualLayout>
          <c:xMode val="edge"/>
          <c:yMode val="edge"/>
          <c:x val="0.12562196889567909"/>
          <c:y val="0.60496037564471727"/>
          <c:w val="0.83631825126336823"/>
          <c:h val="0.1073992928045671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8322709661293"/>
          <c:y val="0.12698412698412698"/>
          <c:w val="0.72041994750656169"/>
          <c:h val="0.60635920509936259"/>
        </c:manualLayout>
      </c:layout>
      <c:bar3DChart>
        <c:barDir val="col"/>
        <c:grouping val="stacked"/>
        <c:varyColors val="0"/>
        <c:ser>
          <c:idx val="0"/>
          <c:order val="0"/>
          <c:spPr>
            <a:solidFill>
              <a:schemeClr val="accent1"/>
            </a:solidFill>
            <a:ln>
              <a:noFill/>
            </a:ln>
            <a:effectLst/>
            <a:sp3d/>
          </c:spPr>
          <c:invertIfNegative val="0"/>
          <c:cat>
            <c:strRef>
              <c:f>Sheet1!$C$60:$E$60</c:f>
              <c:strCache>
                <c:ptCount val="3"/>
                <c:pt idx="0">
                  <c:v>Fakt 5M 2021</c:v>
                </c:pt>
                <c:pt idx="1">
                  <c:v>Fakt 5m 2022</c:v>
                </c:pt>
                <c:pt idx="2">
                  <c:v>Plan 5m 2022</c:v>
                </c:pt>
              </c:strCache>
            </c:strRef>
          </c:cat>
          <c:val>
            <c:numRef>
              <c:f>Sheet1!$C$61:$E$61</c:f>
              <c:numCache>
                <c:formatCode>#,##0</c:formatCode>
                <c:ptCount val="3"/>
                <c:pt idx="0">
                  <c:v>98814</c:v>
                </c:pt>
                <c:pt idx="1">
                  <c:v>120908</c:v>
                </c:pt>
                <c:pt idx="2">
                  <c:v>112037</c:v>
                </c:pt>
              </c:numCache>
            </c:numRef>
          </c:val>
          <c:extLst>
            <c:ext xmlns:c16="http://schemas.microsoft.com/office/drawing/2014/chart" uri="{C3380CC4-5D6E-409C-BE32-E72D297353CC}">
              <c16:uniqueId val="{00000000-E999-41B6-825C-25BD6DBE7AD8}"/>
            </c:ext>
          </c:extLst>
        </c:ser>
        <c:dLbls>
          <c:showLegendKey val="0"/>
          <c:showVal val="0"/>
          <c:showCatName val="0"/>
          <c:showSerName val="0"/>
          <c:showPercent val="0"/>
          <c:showBubbleSize val="0"/>
        </c:dLbls>
        <c:gapWidth val="150"/>
        <c:shape val="box"/>
        <c:axId val="2085157984"/>
        <c:axId val="2085150912"/>
        <c:axId val="0"/>
      </c:bar3DChart>
      <c:catAx>
        <c:axId val="2085157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5150912"/>
        <c:crosses val="autoZero"/>
        <c:auto val="1"/>
        <c:lblAlgn val="ctr"/>
        <c:lblOffset val="100"/>
        <c:noMultiLvlLbl val="0"/>
      </c:catAx>
      <c:valAx>
        <c:axId val="2085150912"/>
        <c:scaling>
          <c:orientation val="minMax"/>
        </c:scaling>
        <c:delete val="0"/>
        <c:axPos val="l"/>
        <c:majorGridlines>
          <c:spPr>
            <a:ln w="9525" cap="flat" cmpd="sng" algn="ctr">
              <a:solidFill>
                <a:schemeClr val="accent1">
                  <a:lumMod val="20000"/>
                  <a:lumOff val="8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5157984"/>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458994676138676E-2"/>
          <c:y val="7.7030812324929976E-2"/>
          <c:w val="0.88440746168558582"/>
          <c:h val="0.58637545306836636"/>
        </c:manualLayout>
      </c:layout>
      <c:barChart>
        <c:barDir val="col"/>
        <c:grouping val="clustered"/>
        <c:varyColors val="0"/>
        <c:ser>
          <c:idx val="2"/>
          <c:order val="2"/>
          <c:tx>
            <c:strRef>
              <c:f>'[Chart in Microsoft Word]Sheet3'!$F$4</c:f>
              <c:strCache>
                <c:ptCount val="1"/>
                <c:pt idx="0">
                  <c:v>Rimbursim Fakt</c:v>
                </c:pt>
              </c:strCache>
            </c:strRef>
          </c:tx>
          <c:spPr>
            <a:solidFill>
              <a:srgbClr val="00B0F0"/>
            </a:solidFill>
            <a:ln>
              <a:solidFill>
                <a:schemeClr val="accent1">
                  <a:lumMod val="40000"/>
                  <a:lumOff val="60000"/>
                </a:schemeClr>
              </a:solidFill>
            </a:ln>
            <a:effectLst/>
          </c:spPr>
          <c:invertIfNegative val="0"/>
          <c:dLbls>
            <c:dLbl>
              <c:idx val="1"/>
              <c:layout>
                <c:manualLayout>
                  <c:x val="0"/>
                  <c:y val="2.1008403361344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BA-4293-AAF1-0F0B5D36C221}"/>
                </c:ext>
              </c:extLst>
            </c:dLbl>
            <c:dLbl>
              <c:idx val="4"/>
              <c:layout>
                <c:manualLayout>
                  <c:x val="0"/>
                  <c:y val="2.10084033613444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BA-4293-AAF1-0F0B5D36C221}"/>
                </c:ext>
              </c:extLst>
            </c:dLbl>
            <c:dLbl>
              <c:idx val="5"/>
              <c:layout>
                <c:manualLayout>
                  <c:x val="-7.7110921335641591E-17"/>
                  <c:y val="2.100840336134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BA-4293-AAF1-0F0B5D36C221}"/>
                </c:ext>
              </c:extLst>
            </c:dLbl>
            <c:dLbl>
              <c:idx val="6"/>
              <c:layout>
                <c:manualLayout>
                  <c:x val="0"/>
                  <c:y val="2.10084033613444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DBA-4293-AAF1-0F0B5D36C221}"/>
                </c:ext>
              </c:extLst>
            </c:dLbl>
            <c:dLbl>
              <c:idx val="7"/>
              <c:layout>
                <c:manualLayout>
                  <c:x val="-2.103049421661409E-3"/>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DBA-4293-AAF1-0F0B5D36C22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'[Chart in Microsoft Word]Sheet3'!$F$5:$F$13</c:f>
              <c:numCache>
                <c:formatCode>_(* #,##0_);_(* \(#,##0\);_(* "-"??_);_(@_)</c:formatCode>
                <c:ptCount val="9"/>
                <c:pt idx="0">
                  <c:v>2212</c:v>
                </c:pt>
                <c:pt idx="1">
                  <c:v>2870</c:v>
                </c:pt>
                <c:pt idx="2">
                  <c:v>3004</c:v>
                </c:pt>
                <c:pt idx="3">
                  <c:v>4882</c:v>
                </c:pt>
                <c:pt idx="4">
                  <c:v>5454.48</c:v>
                </c:pt>
                <c:pt idx="5" formatCode="_-* #,##0_-;\-* #,##0_-;_-* &quot;-&quot;??_-;_-@_-">
                  <c:v>6953.7341580000002</c:v>
                </c:pt>
                <c:pt idx="6" formatCode="_-* #,##0_-;\-* #,##0_-;_-* &quot;-&quot;??_-;_-@_-">
                  <c:v>5921</c:v>
                </c:pt>
                <c:pt idx="7" formatCode="_-* #,##0_-;\-* #,##0_-;_-* &quot;-&quot;??_-;_-@_-">
                  <c:v>12349.180793</c:v>
                </c:pt>
                <c:pt idx="8" formatCode="_-* #,##0_-;\-* #,##0_-;_-* &quot;-&quot;??_-;_-@_-">
                  <c:v>5580</c:v>
                </c:pt>
              </c:numCache>
            </c:numRef>
          </c:val>
          <c:extLst>
            <c:ext xmlns:c16="http://schemas.microsoft.com/office/drawing/2014/chart" uri="{C3380CC4-5D6E-409C-BE32-E72D297353CC}">
              <c16:uniqueId val="{00000002-2EF3-46ED-BA07-98E420CEFC57}"/>
            </c:ext>
          </c:extLst>
        </c:ser>
        <c:dLbls>
          <c:showLegendKey val="0"/>
          <c:showVal val="0"/>
          <c:showCatName val="0"/>
          <c:showSerName val="0"/>
          <c:showPercent val="0"/>
          <c:showBubbleSize val="0"/>
        </c:dLbls>
        <c:gapWidth val="150"/>
        <c:axId val="1853003872"/>
        <c:axId val="1853006592"/>
      </c:barChart>
      <c:lineChart>
        <c:grouping val="standard"/>
        <c:varyColors val="0"/>
        <c:ser>
          <c:idx val="0"/>
          <c:order val="0"/>
          <c:tx>
            <c:strRef>
              <c:f>'[Chart in Microsoft Word]Sheet3'!$D$4</c:f>
              <c:strCache>
                <c:ptCount val="1"/>
                <c:pt idx="0">
                  <c:v>Fakt Tvsh Bruto</c:v>
                </c:pt>
              </c:strCache>
            </c:strRef>
          </c:tx>
          <c:spPr>
            <a:ln w="28575"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'[Chart in Microsoft Word]Sheet3'!$D$5:$D$13</c:f>
              <c:numCache>
                <c:formatCode>_(* #,##0_);_(* \(#,##0\);_(* "-"??_);_(@_)</c:formatCode>
                <c:ptCount val="9"/>
                <c:pt idx="0">
                  <c:v>14389</c:v>
                </c:pt>
                <c:pt idx="1">
                  <c:v>14738</c:v>
                </c:pt>
                <c:pt idx="2">
                  <c:v>17290</c:v>
                </c:pt>
                <c:pt idx="3">
                  <c:v>19602</c:v>
                </c:pt>
                <c:pt idx="4">
                  <c:v>19841.72</c:v>
                </c:pt>
                <c:pt idx="5">
                  <c:v>19675.734157999999</c:v>
                </c:pt>
                <c:pt idx="6">
                  <c:v>17765</c:v>
                </c:pt>
                <c:pt idx="7">
                  <c:v>21799.180793</c:v>
                </c:pt>
                <c:pt idx="8">
                  <c:v>22224</c:v>
                </c:pt>
              </c:numCache>
            </c:numRef>
          </c:val>
          <c:smooth val="0"/>
          <c:extLst>
            <c:ext xmlns:c16="http://schemas.microsoft.com/office/drawing/2014/chart" uri="{C3380CC4-5D6E-409C-BE32-E72D297353CC}">
              <c16:uniqueId val="{00000000-2EF3-46ED-BA07-98E420CEFC57}"/>
            </c:ext>
          </c:extLst>
        </c:ser>
        <c:ser>
          <c:idx val="1"/>
          <c:order val="1"/>
          <c:tx>
            <c:strRef>
              <c:f>'[Chart in Microsoft Word]Sheet3'!$E$4</c:f>
              <c:strCache>
                <c:ptCount val="1"/>
                <c:pt idx="0">
                  <c:v>Fakt Tvsh Neto</c:v>
                </c:pt>
              </c:strCache>
            </c:strRef>
          </c:tx>
          <c:spPr>
            <a:ln w="28575" cap="rnd">
              <a:solidFill>
                <a:schemeClr val="tx2">
                  <a:lumMod val="50000"/>
                </a:schemeClr>
              </a:solidFill>
              <a:round/>
            </a:ln>
            <a:effectLst/>
          </c:spPr>
          <c:marker>
            <c:symbol val="none"/>
          </c:marker>
          <c:dLbls>
            <c:dLbl>
              <c:idx val="5"/>
              <c:layout>
                <c:manualLayout>
                  <c:x val="-4.3196635120925343E-2"/>
                  <c:y val="2.72338874307378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BA-4293-AAF1-0F0B5D36C221}"/>
                </c:ext>
              </c:extLst>
            </c:dLbl>
            <c:dLbl>
              <c:idx val="6"/>
              <c:layout>
                <c:manualLayout>
                  <c:x val="-6.0021030494216691E-2"/>
                  <c:y val="3.64931466899970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DBA-4293-AAF1-0F0B5D36C221}"/>
                </c:ext>
              </c:extLst>
            </c:dLbl>
            <c:dLbl>
              <c:idx val="7"/>
              <c:layout>
                <c:manualLayout>
                  <c:x val="-4.944799092542454E-2"/>
                  <c:y val="-6.07290755322252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DBA-4293-AAF1-0F0B5D36C22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Word]Sheet3'!$C$5:$C$13</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'[Chart in Microsoft Word]Sheet3'!$E$5:$E$13</c:f>
              <c:numCache>
                <c:formatCode>_(* #,##0_);_(* \(#,##0\);_(* "-"??_);_(@_)</c:formatCode>
                <c:ptCount val="9"/>
                <c:pt idx="0">
                  <c:v>12177</c:v>
                </c:pt>
                <c:pt idx="1">
                  <c:v>11868</c:v>
                </c:pt>
                <c:pt idx="2">
                  <c:v>14286</c:v>
                </c:pt>
                <c:pt idx="3">
                  <c:v>14720</c:v>
                </c:pt>
                <c:pt idx="4">
                  <c:v>14387.240000000002</c:v>
                </c:pt>
                <c:pt idx="5">
                  <c:v>12722</c:v>
                </c:pt>
                <c:pt idx="6">
                  <c:v>11844</c:v>
                </c:pt>
                <c:pt idx="7">
                  <c:v>9450</c:v>
                </c:pt>
                <c:pt idx="8">
                  <c:v>16644</c:v>
                </c:pt>
              </c:numCache>
            </c:numRef>
          </c:val>
          <c:smooth val="0"/>
          <c:extLst>
            <c:ext xmlns:c16="http://schemas.microsoft.com/office/drawing/2014/chart" uri="{C3380CC4-5D6E-409C-BE32-E72D297353CC}">
              <c16:uniqueId val="{00000001-2EF3-46ED-BA07-98E420CEFC57}"/>
            </c:ext>
          </c:extLst>
        </c:ser>
        <c:dLbls>
          <c:showLegendKey val="0"/>
          <c:showVal val="0"/>
          <c:showCatName val="0"/>
          <c:showSerName val="0"/>
          <c:showPercent val="0"/>
          <c:showBubbleSize val="0"/>
        </c:dLbls>
        <c:marker val="1"/>
        <c:smooth val="0"/>
        <c:axId val="1853003872"/>
        <c:axId val="1853006592"/>
      </c:lineChart>
      <c:catAx>
        <c:axId val="185300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53006592"/>
        <c:crosses val="autoZero"/>
        <c:auto val="1"/>
        <c:lblAlgn val="ctr"/>
        <c:lblOffset val="100"/>
        <c:noMultiLvlLbl val="0"/>
      </c:catAx>
      <c:valAx>
        <c:axId val="185300659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0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4332529243093164"/>
        </c:manualLayout>
      </c:layout>
      <c:barChart>
        <c:barDir val="col"/>
        <c:grouping val="clustered"/>
        <c:varyColors val="0"/>
        <c:ser>
          <c:idx val="1"/>
          <c:order val="1"/>
          <c:tx>
            <c:strRef>
              <c:f>Sheet3!$E$38</c:f>
              <c:strCache>
                <c:ptCount val="1"/>
                <c:pt idx="0">
                  <c:v>Plan</c:v>
                </c:pt>
              </c:strCache>
            </c:strRef>
          </c:tx>
          <c:spPr>
            <a:solidFill>
              <a:srgbClr val="00B0F0"/>
            </a:solidFill>
            <a:ln>
              <a:solidFill>
                <a:schemeClr val="accent1">
                  <a:lumMod val="20000"/>
                  <a:lumOff val="80000"/>
                </a:schemeClr>
              </a:solidFill>
            </a:ln>
            <a:effectLst/>
          </c:spPr>
          <c:invertIfNegative val="0"/>
          <c:dLbls>
            <c:dLbl>
              <c:idx val="2"/>
              <c:layout>
                <c:manualLayout>
                  <c:x val="2.0736132711249352E-3"/>
                  <c:y val="0.240597364353846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756-43C9-8E40-7690EE0DD701}"/>
                </c:ext>
              </c:extLst>
            </c:dLbl>
            <c:dLbl>
              <c:idx val="3"/>
              <c:layout>
                <c:manualLayout>
                  <c:x val="0"/>
                  <c:y val="0.2101360805509067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756-43C9-8E40-7690EE0DD701}"/>
                </c:ext>
              </c:extLst>
            </c:dLbl>
            <c:dLbl>
              <c:idx val="4"/>
              <c:layout>
                <c:manualLayout>
                  <c:x val="-7.6031608284287355E-17"/>
                  <c:y val="0.225570889004728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756-43C9-8E40-7690EE0DD701}"/>
                </c:ext>
              </c:extLst>
            </c:dLbl>
            <c:dLbl>
              <c:idx val="5"/>
              <c:layout>
                <c:manualLayout>
                  <c:x val="0"/>
                  <c:y val="0.2555868016497937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756-43C9-8E40-7690EE0DD701}"/>
                </c:ext>
              </c:extLst>
            </c:dLbl>
            <c:dLbl>
              <c:idx val="6"/>
              <c:layout>
                <c:manualLayout>
                  <c:x val="0"/>
                  <c:y val="0.2754867531802427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756-43C9-8E40-7690EE0DD701}"/>
                </c:ext>
              </c:extLst>
            </c:dLbl>
            <c:dLbl>
              <c:idx val="7"/>
              <c:layout>
                <c:manualLayout>
                  <c:x val="-2.0736132711249352E-3"/>
                  <c:y val="0.219083742580957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756-43C9-8E40-7690EE0DD701}"/>
                </c:ext>
              </c:extLst>
            </c:dLbl>
            <c:dLbl>
              <c:idx val="8"/>
              <c:layout>
                <c:manualLayout>
                  <c:x val="-1.5206321656857471E-16"/>
                  <c:y val="0.265160452504412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756-43C9-8E40-7690EE0DD701}"/>
                </c:ext>
              </c:extLst>
            </c:dLbl>
            <c:dLbl>
              <c:idx val="9"/>
              <c:layout>
                <c:manualLayout>
                  <c:x val="0"/>
                  <c:y val="0.3095352410217015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56-43C9-8E40-7690EE0DD70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Sheet3!$E$39:$E$48</c:f>
              <c:numCache>
                <c:formatCode>_(* #,##0_);_(* \(#,##0\);_(* "-"??_);_(@_)</c:formatCode>
                <c:ptCount val="10"/>
                <c:pt idx="0">
                  <c:v>11600</c:v>
                </c:pt>
                <c:pt idx="1">
                  <c:v>11200</c:v>
                </c:pt>
                <c:pt idx="2">
                  <c:v>14455</c:v>
                </c:pt>
                <c:pt idx="3">
                  <c:v>13255</c:v>
                </c:pt>
                <c:pt idx="4">
                  <c:v>14141</c:v>
                </c:pt>
                <c:pt idx="5">
                  <c:v>15300</c:v>
                </c:pt>
                <c:pt idx="6">
                  <c:v>16596.890919256079</c:v>
                </c:pt>
                <c:pt idx="7">
                  <c:v>13544</c:v>
                </c:pt>
                <c:pt idx="8" formatCode="_-* #,##0_-;\-* #,##0_-;_-* &quot;-&quot;??_-;_-@_-">
                  <c:v>16181.041693650412</c:v>
                </c:pt>
                <c:pt idx="9" formatCode="_-* #,##0_-;\-* #,##0_-;_-* &quot;-&quot;??_-;_-@_-">
                  <c:v>18127</c:v>
                </c:pt>
              </c:numCache>
            </c:numRef>
          </c:val>
          <c:extLst>
            <c:ext xmlns:c16="http://schemas.microsoft.com/office/drawing/2014/chart" uri="{C3380CC4-5D6E-409C-BE32-E72D297353CC}">
              <c16:uniqueId val="{00000000-1013-4939-99C4-538E7DD4BF40}"/>
            </c:ext>
          </c:extLst>
        </c:ser>
        <c:dLbls>
          <c:showLegendKey val="0"/>
          <c:showVal val="0"/>
          <c:showCatName val="0"/>
          <c:showSerName val="0"/>
          <c:showPercent val="0"/>
          <c:showBubbleSize val="0"/>
        </c:dLbls>
        <c:gapWidth val="150"/>
        <c:axId val="1853006048"/>
        <c:axId val="1853007136"/>
      </c:barChart>
      <c:lineChart>
        <c:grouping val="standard"/>
        <c:varyColors val="0"/>
        <c:ser>
          <c:idx val="0"/>
          <c:order val="0"/>
          <c:tx>
            <c:strRef>
              <c:f>Sheet3!$D$38</c:f>
              <c:strCache>
                <c:ptCount val="1"/>
                <c:pt idx="0">
                  <c:v>Fakt</c:v>
                </c:pt>
              </c:strCache>
            </c:strRef>
          </c:tx>
          <c:spPr>
            <a:ln w="28575" cap="rnd">
              <a:solidFill>
                <a:srgbClr val="FF0000"/>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Sheet3!$D$39:$D$48</c:f>
              <c:numCache>
                <c:formatCode>_(* #,##0_);_(* \(#,##0\);_(* "-"??_);_(@_)</c:formatCode>
                <c:ptCount val="10"/>
                <c:pt idx="0">
                  <c:v>11988</c:v>
                </c:pt>
                <c:pt idx="1">
                  <c:v>10902</c:v>
                </c:pt>
                <c:pt idx="2">
                  <c:v>11252</c:v>
                </c:pt>
                <c:pt idx="3">
                  <c:v>13429</c:v>
                </c:pt>
                <c:pt idx="4">
                  <c:v>12914</c:v>
                </c:pt>
                <c:pt idx="5">
                  <c:v>14243.61</c:v>
                </c:pt>
                <c:pt idx="6" formatCode="_-* #,##0_-;\-* #,##0_-;_-* &quot;-&quot;??_-;_-@_-">
                  <c:v>18449</c:v>
                </c:pt>
                <c:pt idx="7" formatCode="_-* #,##0_-;\-* #,##0_-;_-* &quot;-&quot;??_-;_-@_-">
                  <c:v>13544</c:v>
                </c:pt>
                <c:pt idx="8" formatCode="_-* #,##0_-;\-* #,##0_-;_-* &quot;-&quot;??_-;_-@_-">
                  <c:v>16004</c:v>
                </c:pt>
                <c:pt idx="9" formatCode="_-* #,##0_-;\-* #,##0_-;_-* &quot;-&quot;??_-;_-@_-">
                  <c:v>18264</c:v>
                </c:pt>
              </c:numCache>
            </c:numRef>
          </c:val>
          <c:smooth val="0"/>
          <c:extLst>
            <c:ext xmlns:c16="http://schemas.microsoft.com/office/drawing/2014/chart" uri="{C3380CC4-5D6E-409C-BE32-E72D297353CC}">
              <c16:uniqueId val="{00000001-1013-4939-99C4-538E7DD4BF40}"/>
            </c:ext>
          </c:extLst>
        </c:ser>
        <c:dLbls>
          <c:showLegendKey val="0"/>
          <c:showVal val="0"/>
          <c:showCatName val="0"/>
          <c:showSerName val="0"/>
          <c:showPercent val="0"/>
          <c:showBubbleSize val="0"/>
        </c:dLbls>
        <c:marker val="1"/>
        <c:smooth val="0"/>
        <c:axId val="1853006048"/>
        <c:axId val="1853007136"/>
      </c:lineChart>
      <c:catAx>
        <c:axId val="185300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853007136"/>
        <c:crosses val="autoZero"/>
        <c:auto val="1"/>
        <c:lblAlgn val="ctr"/>
        <c:lblOffset val="100"/>
        <c:noMultiLvlLbl val="0"/>
      </c:catAx>
      <c:valAx>
        <c:axId val="185300713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300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E73C7-11A6-4D94-9982-6401FFFBB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89</Pages>
  <Words>37570</Words>
  <Characters>214154</Characters>
  <Application>Microsoft Office Word</Application>
  <DocSecurity>0</DocSecurity>
  <Lines>1784</Lines>
  <Paragraphs>502</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251222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Xhoana Agolli</cp:lastModifiedBy>
  <cp:revision>5</cp:revision>
  <cp:lastPrinted>2022-07-04T13:22:00Z</cp:lastPrinted>
  <dcterms:created xsi:type="dcterms:W3CDTF">2022-06-30T14:27:00Z</dcterms:created>
  <dcterms:modified xsi:type="dcterms:W3CDTF">2022-11-14T10:01:00Z</dcterms:modified>
</cp:coreProperties>
</file>