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8D4BC" w14:textId="77777777" w:rsidR="00BE5DC8" w:rsidRPr="00D7447D" w:rsidRDefault="00BE5DC8" w:rsidP="000B3CCC">
      <w:pPr>
        <w:spacing w:line="276" w:lineRule="auto"/>
        <w:jc w:val="both"/>
        <w:rPr>
          <w:rFonts w:ascii="Times New Roman" w:hAnsi="Times New Roman" w:cs="Times New Roman"/>
          <w:sz w:val="24"/>
          <w:szCs w:val="24"/>
          <w:lang w:val="sq-AL"/>
        </w:rPr>
      </w:pPr>
      <w:bookmarkStart w:id="0" w:name="_Hlk117159358"/>
      <w:bookmarkEnd w:id="0"/>
      <w:r w:rsidRPr="00D7447D">
        <w:rPr>
          <w:rFonts w:ascii="Times New Roman" w:hAnsi="Times New Roman" w:cs="Times New Roman"/>
          <w:noProof/>
          <w:sz w:val="24"/>
          <w:szCs w:val="24"/>
          <w:lang w:val="en-GB" w:eastAsia="en-GB"/>
        </w:rPr>
        <w:drawing>
          <wp:anchor distT="0" distB="0" distL="114300" distR="114300" simplePos="0" relativeHeight="251661312" behindDoc="1" locked="0" layoutInCell="1" allowOverlap="1" wp14:anchorId="6041CB15" wp14:editId="5718C49C">
            <wp:simplePos x="0" y="0"/>
            <wp:positionH relativeFrom="column">
              <wp:posOffset>921744</wp:posOffset>
            </wp:positionH>
            <wp:positionV relativeFrom="paragraph">
              <wp:posOffset>-1270</wp:posOffset>
            </wp:positionV>
            <wp:extent cx="4102735" cy="1647825"/>
            <wp:effectExtent l="0" t="0" r="0" b="0"/>
            <wp:wrapTight wrapText="bothSides">
              <wp:wrapPolygon edited="0">
                <wp:start x="0" y="0"/>
                <wp:lineTo x="0" y="17230"/>
                <wp:lineTo x="1204" y="18229"/>
                <wp:lineTo x="18855" y="18229"/>
                <wp:lineTo x="21463" y="17230"/>
                <wp:lineTo x="21463"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035" r="13364"/>
                    <a:stretch/>
                  </pic:blipFill>
                  <pic:spPr bwMode="auto">
                    <a:xfrm>
                      <a:off x="0" y="0"/>
                      <a:ext cx="4102735"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39627BB" w14:textId="77777777" w:rsidR="004D4245" w:rsidRPr="00D7447D" w:rsidRDefault="004D4245" w:rsidP="000B3CCC">
      <w:pPr>
        <w:pStyle w:val="Default"/>
        <w:spacing w:line="276" w:lineRule="auto"/>
        <w:jc w:val="both"/>
        <w:rPr>
          <w:rFonts w:ascii="Times New Roman" w:hAnsi="Times New Roman" w:cs="Times New Roman"/>
          <w:b/>
          <w:color w:val="auto"/>
          <w:lang w:val="en"/>
        </w:rPr>
      </w:pPr>
    </w:p>
    <w:p w14:paraId="127F1F75" w14:textId="77777777" w:rsidR="00BE5DC8" w:rsidRPr="00D7447D" w:rsidRDefault="00BE5DC8" w:rsidP="000B3CCC">
      <w:pPr>
        <w:pStyle w:val="Default"/>
        <w:spacing w:line="276" w:lineRule="auto"/>
        <w:jc w:val="both"/>
        <w:rPr>
          <w:rFonts w:ascii="Times New Roman" w:hAnsi="Times New Roman" w:cs="Times New Roman"/>
          <w:b/>
          <w:color w:val="auto"/>
          <w:lang w:val="en"/>
        </w:rPr>
      </w:pPr>
    </w:p>
    <w:p w14:paraId="31E67BE9" w14:textId="77777777" w:rsidR="00BE5DC8" w:rsidRPr="00D7447D" w:rsidRDefault="00BE5DC8" w:rsidP="000B3CCC">
      <w:pPr>
        <w:pStyle w:val="Default"/>
        <w:spacing w:line="276" w:lineRule="auto"/>
        <w:jc w:val="both"/>
        <w:rPr>
          <w:rFonts w:ascii="Times New Roman" w:hAnsi="Times New Roman" w:cs="Times New Roman"/>
          <w:b/>
          <w:color w:val="auto"/>
          <w:lang w:val="en"/>
        </w:rPr>
      </w:pPr>
    </w:p>
    <w:p w14:paraId="722C5A28"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2A8B996F"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4889F630"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6FB6787C" w14:textId="77777777" w:rsidR="00BE5DC8" w:rsidRPr="00D7447D" w:rsidRDefault="00BE5DC8" w:rsidP="000B3CCC">
      <w:pPr>
        <w:pStyle w:val="Default"/>
        <w:spacing w:line="276" w:lineRule="auto"/>
        <w:jc w:val="both"/>
        <w:rPr>
          <w:rFonts w:ascii="Times New Roman" w:hAnsi="Times New Roman" w:cs="Times New Roman"/>
          <w:b/>
          <w:color w:val="auto"/>
          <w:lang w:val="en"/>
        </w:rPr>
      </w:pPr>
    </w:p>
    <w:p w14:paraId="46392036" w14:textId="398358B8" w:rsidR="004D4245" w:rsidRDefault="004D4245" w:rsidP="000B3CCC">
      <w:pPr>
        <w:pStyle w:val="Default"/>
        <w:spacing w:line="276" w:lineRule="auto"/>
        <w:jc w:val="both"/>
        <w:rPr>
          <w:rFonts w:ascii="Times New Roman" w:hAnsi="Times New Roman" w:cs="Times New Roman"/>
          <w:b/>
          <w:color w:val="auto"/>
          <w:lang w:val="en"/>
        </w:rPr>
      </w:pPr>
    </w:p>
    <w:p w14:paraId="7EEF5039" w14:textId="3DE5A28D" w:rsidR="00C21AC1" w:rsidRDefault="00C21AC1" w:rsidP="000B3CCC">
      <w:pPr>
        <w:pStyle w:val="Default"/>
        <w:spacing w:line="276" w:lineRule="auto"/>
        <w:jc w:val="both"/>
        <w:rPr>
          <w:rFonts w:ascii="Times New Roman" w:hAnsi="Times New Roman" w:cs="Times New Roman"/>
          <w:b/>
          <w:color w:val="auto"/>
          <w:lang w:val="en"/>
        </w:rPr>
      </w:pPr>
    </w:p>
    <w:p w14:paraId="2D99E134" w14:textId="0361438A" w:rsidR="00C21AC1" w:rsidRDefault="00C21AC1" w:rsidP="000B3CCC">
      <w:pPr>
        <w:pStyle w:val="Default"/>
        <w:spacing w:line="276" w:lineRule="auto"/>
        <w:jc w:val="both"/>
        <w:rPr>
          <w:rFonts w:ascii="Times New Roman" w:hAnsi="Times New Roman" w:cs="Times New Roman"/>
          <w:b/>
          <w:color w:val="auto"/>
          <w:lang w:val="en"/>
        </w:rPr>
      </w:pPr>
    </w:p>
    <w:p w14:paraId="4568A8B9" w14:textId="5B1DA5C2" w:rsidR="00C21AC1" w:rsidRDefault="00C21AC1" w:rsidP="000B3CCC">
      <w:pPr>
        <w:pStyle w:val="Default"/>
        <w:spacing w:line="276" w:lineRule="auto"/>
        <w:jc w:val="both"/>
        <w:rPr>
          <w:rFonts w:ascii="Times New Roman" w:hAnsi="Times New Roman" w:cs="Times New Roman"/>
          <w:b/>
          <w:color w:val="auto"/>
          <w:lang w:val="en"/>
        </w:rPr>
      </w:pPr>
    </w:p>
    <w:p w14:paraId="1B6CFA8A" w14:textId="3ED44BA9" w:rsidR="00C21AC1" w:rsidRDefault="00C21AC1" w:rsidP="000B3CCC">
      <w:pPr>
        <w:pStyle w:val="Default"/>
        <w:spacing w:line="276" w:lineRule="auto"/>
        <w:jc w:val="both"/>
        <w:rPr>
          <w:rFonts w:ascii="Times New Roman" w:hAnsi="Times New Roman" w:cs="Times New Roman"/>
          <w:b/>
          <w:color w:val="auto"/>
          <w:lang w:val="en"/>
        </w:rPr>
      </w:pPr>
    </w:p>
    <w:p w14:paraId="71676FD4" w14:textId="283A0543" w:rsidR="00C21AC1" w:rsidRDefault="00C21AC1" w:rsidP="000B3CCC">
      <w:pPr>
        <w:pStyle w:val="Default"/>
        <w:spacing w:line="276" w:lineRule="auto"/>
        <w:jc w:val="both"/>
        <w:rPr>
          <w:rFonts w:ascii="Times New Roman" w:hAnsi="Times New Roman" w:cs="Times New Roman"/>
          <w:b/>
          <w:color w:val="auto"/>
          <w:lang w:val="en"/>
        </w:rPr>
      </w:pPr>
    </w:p>
    <w:p w14:paraId="54E8AEE2" w14:textId="7D8A023E" w:rsidR="00C21AC1" w:rsidRDefault="00C21AC1" w:rsidP="000B3CCC">
      <w:pPr>
        <w:pStyle w:val="Default"/>
        <w:spacing w:line="276" w:lineRule="auto"/>
        <w:jc w:val="both"/>
        <w:rPr>
          <w:rFonts w:ascii="Times New Roman" w:hAnsi="Times New Roman" w:cs="Times New Roman"/>
          <w:b/>
          <w:color w:val="auto"/>
          <w:lang w:val="en"/>
        </w:rPr>
      </w:pPr>
    </w:p>
    <w:p w14:paraId="3285052D" w14:textId="3424648B" w:rsidR="00C21AC1" w:rsidRDefault="00C21AC1" w:rsidP="000B3CCC">
      <w:pPr>
        <w:pStyle w:val="Default"/>
        <w:spacing w:line="276" w:lineRule="auto"/>
        <w:jc w:val="both"/>
        <w:rPr>
          <w:rFonts w:ascii="Times New Roman" w:hAnsi="Times New Roman" w:cs="Times New Roman"/>
          <w:b/>
          <w:color w:val="auto"/>
          <w:lang w:val="en"/>
        </w:rPr>
      </w:pPr>
    </w:p>
    <w:p w14:paraId="7331F020" w14:textId="5DD5EE57" w:rsidR="00C21AC1" w:rsidRDefault="00C21AC1" w:rsidP="000B3CCC">
      <w:pPr>
        <w:pStyle w:val="Default"/>
        <w:spacing w:line="276" w:lineRule="auto"/>
        <w:jc w:val="both"/>
        <w:rPr>
          <w:rFonts w:ascii="Times New Roman" w:hAnsi="Times New Roman" w:cs="Times New Roman"/>
          <w:b/>
          <w:color w:val="auto"/>
          <w:lang w:val="en"/>
        </w:rPr>
      </w:pPr>
    </w:p>
    <w:p w14:paraId="73255D0A" w14:textId="7B6F35E0" w:rsidR="00C21AC1" w:rsidRDefault="00C21AC1" w:rsidP="000B3CCC">
      <w:pPr>
        <w:pStyle w:val="Default"/>
        <w:spacing w:line="276" w:lineRule="auto"/>
        <w:jc w:val="both"/>
        <w:rPr>
          <w:rFonts w:ascii="Times New Roman" w:hAnsi="Times New Roman" w:cs="Times New Roman"/>
          <w:b/>
          <w:color w:val="auto"/>
          <w:lang w:val="en"/>
        </w:rPr>
      </w:pPr>
    </w:p>
    <w:p w14:paraId="7472CC48" w14:textId="7313D45F" w:rsidR="00C21AC1" w:rsidRPr="00C21AC1" w:rsidRDefault="00C21AC1" w:rsidP="000B3CCC">
      <w:pPr>
        <w:pStyle w:val="Default"/>
        <w:spacing w:line="276" w:lineRule="auto"/>
        <w:jc w:val="both"/>
        <w:rPr>
          <w:rFonts w:ascii="Times New Roman" w:hAnsi="Times New Roman" w:cs="Times New Roman"/>
          <w:b/>
          <w:color w:val="auto"/>
          <w:sz w:val="32"/>
          <w:lang w:val="en"/>
        </w:rPr>
      </w:pPr>
    </w:p>
    <w:p w14:paraId="5AC74835" w14:textId="77777777" w:rsidR="00C21AC1" w:rsidRPr="00C21AC1" w:rsidRDefault="00C21AC1" w:rsidP="000B3CCC">
      <w:pPr>
        <w:pStyle w:val="Default"/>
        <w:spacing w:line="276" w:lineRule="auto"/>
        <w:jc w:val="both"/>
        <w:rPr>
          <w:rFonts w:ascii="Times New Roman" w:hAnsi="Times New Roman" w:cs="Times New Roman"/>
          <w:b/>
          <w:color w:val="auto"/>
          <w:sz w:val="32"/>
          <w:lang w:val="en"/>
        </w:rPr>
      </w:pPr>
    </w:p>
    <w:p w14:paraId="18959881" w14:textId="311737E8" w:rsidR="004D4245" w:rsidRPr="00C21AC1" w:rsidRDefault="00C25C51" w:rsidP="000B3CCC">
      <w:pPr>
        <w:pStyle w:val="Default"/>
        <w:spacing w:line="276" w:lineRule="auto"/>
        <w:jc w:val="center"/>
        <w:rPr>
          <w:rFonts w:ascii="Times New Roman" w:hAnsi="Times New Roman" w:cs="Times New Roman"/>
          <w:b/>
          <w:color w:val="auto"/>
          <w:sz w:val="32"/>
          <w:lang w:val="en"/>
        </w:rPr>
      </w:pPr>
      <w:r w:rsidRPr="00C21AC1">
        <w:rPr>
          <w:rFonts w:ascii="Times New Roman" w:hAnsi="Times New Roman" w:cs="Times New Roman"/>
          <w:b/>
          <w:color w:val="auto"/>
          <w:sz w:val="32"/>
          <w:lang w:val="en-GB"/>
        </w:rPr>
        <w:t>PROGRAMI BUXHETOR AFATMES</w:t>
      </w:r>
      <w:r w:rsidR="00642AF5" w:rsidRPr="00C21AC1">
        <w:rPr>
          <w:rFonts w:ascii="Times New Roman" w:hAnsi="Times New Roman" w:cs="Times New Roman"/>
          <w:b/>
          <w:color w:val="auto"/>
          <w:sz w:val="32"/>
          <w:lang w:val="en-GB"/>
        </w:rPr>
        <w:t>Ë</w:t>
      </w:r>
      <w:r w:rsidR="00ED1B9F" w:rsidRPr="00C21AC1">
        <w:rPr>
          <w:rFonts w:ascii="Times New Roman" w:hAnsi="Times New Roman" w:cs="Times New Roman"/>
          <w:b/>
          <w:color w:val="auto"/>
          <w:sz w:val="32"/>
          <w:lang w:val="en-GB"/>
        </w:rPr>
        <w:t>M 202</w:t>
      </w:r>
      <w:r w:rsidR="00EE2DB0" w:rsidRPr="00C21AC1">
        <w:rPr>
          <w:rFonts w:ascii="Times New Roman" w:hAnsi="Times New Roman" w:cs="Times New Roman"/>
          <w:b/>
          <w:color w:val="auto"/>
          <w:sz w:val="32"/>
          <w:lang w:val="en-GB"/>
        </w:rPr>
        <w:t>3</w:t>
      </w:r>
      <w:r w:rsidR="00ED1B9F" w:rsidRPr="00C21AC1">
        <w:rPr>
          <w:rFonts w:ascii="Times New Roman" w:hAnsi="Times New Roman" w:cs="Times New Roman"/>
          <w:b/>
          <w:color w:val="auto"/>
          <w:sz w:val="32"/>
          <w:lang w:val="en-GB"/>
        </w:rPr>
        <w:t>-202</w:t>
      </w:r>
      <w:r w:rsidR="00EE2DB0" w:rsidRPr="00C21AC1">
        <w:rPr>
          <w:rFonts w:ascii="Times New Roman" w:hAnsi="Times New Roman" w:cs="Times New Roman"/>
          <w:b/>
          <w:color w:val="auto"/>
          <w:sz w:val="32"/>
          <w:lang w:val="en-GB"/>
        </w:rPr>
        <w:t>5</w:t>
      </w:r>
    </w:p>
    <w:p w14:paraId="3E083B05" w14:textId="77777777" w:rsidR="003E1FC0" w:rsidRPr="00D7447D" w:rsidRDefault="003E1FC0" w:rsidP="000B3CCC">
      <w:pPr>
        <w:pStyle w:val="Default"/>
        <w:spacing w:line="276" w:lineRule="auto"/>
        <w:jc w:val="both"/>
        <w:rPr>
          <w:rFonts w:ascii="Times New Roman" w:hAnsi="Times New Roman" w:cs="Times New Roman"/>
          <w:b/>
          <w:color w:val="auto"/>
          <w:lang w:val="en"/>
        </w:rPr>
      </w:pPr>
    </w:p>
    <w:p w14:paraId="5CCD0475" w14:textId="77777777" w:rsidR="003E1FC0" w:rsidRPr="00D7447D" w:rsidRDefault="003E1FC0" w:rsidP="000B3CCC">
      <w:pPr>
        <w:pStyle w:val="Default"/>
        <w:spacing w:line="276" w:lineRule="auto"/>
        <w:jc w:val="both"/>
        <w:rPr>
          <w:rFonts w:ascii="Times New Roman" w:hAnsi="Times New Roman" w:cs="Times New Roman"/>
          <w:b/>
          <w:color w:val="auto"/>
          <w:lang w:val="en"/>
        </w:rPr>
      </w:pPr>
    </w:p>
    <w:p w14:paraId="4030EDF2"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302536E7"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1EB81B87"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1804DB31"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0D59B5C7"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459F5801"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0CFFE77F" w14:textId="58C60F02" w:rsidR="000440F2" w:rsidRDefault="000440F2" w:rsidP="000B3CCC">
      <w:pPr>
        <w:pStyle w:val="Default"/>
        <w:spacing w:line="276" w:lineRule="auto"/>
        <w:jc w:val="both"/>
        <w:rPr>
          <w:rFonts w:ascii="Times New Roman" w:hAnsi="Times New Roman" w:cs="Times New Roman"/>
          <w:b/>
          <w:color w:val="auto"/>
          <w:lang w:val="en"/>
        </w:rPr>
      </w:pPr>
    </w:p>
    <w:p w14:paraId="413AA2EF" w14:textId="01897130" w:rsidR="00C21AC1" w:rsidRDefault="00C21AC1" w:rsidP="000B3CCC">
      <w:pPr>
        <w:pStyle w:val="Default"/>
        <w:spacing w:line="276" w:lineRule="auto"/>
        <w:jc w:val="both"/>
        <w:rPr>
          <w:rFonts w:ascii="Times New Roman" w:hAnsi="Times New Roman" w:cs="Times New Roman"/>
          <w:b/>
          <w:color w:val="auto"/>
          <w:lang w:val="en"/>
        </w:rPr>
      </w:pPr>
    </w:p>
    <w:p w14:paraId="10C7E10F" w14:textId="5F11ACC7" w:rsidR="00C21AC1" w:rsidRDefault="00C21AC1" w:rsidP="000B3CCC">
      <w:pPr>
        <w:pStyle w:val="Default"/>
        <w:spacing w:line="276" w:lineRule="auto"/>
        <w:jc w:val="both"/>
        <w:rPr>
          <w:rFonts w:ascii="Times New Roman" w:hAnsi="Times New Roman" w:cs="Times New Roman"/>
          <w:b/>
          <w:color w:val="auto"/>
          <w:lang w:val="en"/>
        </w:rPr>
      </w:pPr>
    </w:p>
    <w:p w14:paraId="441E39B4" w14:textId="569883A8" w:rsidR="00C21AC1" w:rsidRDefault="00C21AC1" w:rsidP="000B3CCC">
      <w:pPr>
        <w:pStyle w:val="Default"/>
        <w:spacing w:line="276" w:lineRule="auto"/>
        <w:jc w:val="both"/>
        <w:rPr>
          <w:rFonts w:ascii="Times New Roman" w:hAnsi="Times New Roman" w:cs="Times New Roman"/>
          <w:b/>
          <w:color w:val="auto"/>
          <w:lang w:val="en"/>
        </w:rPr>
      </w:pPr>
    </w:p>
    <w:p w14:paraId="33FFB8FF" w14:textId="7468D6DD" w:rsidR="00C21AC1" w:rsidRDefault="00C21AC1" w:rsidP="000B3CCC">
      <w:pPr>
        <w:pStyle w:val="Default"/>
        <w:spacing w:line="276" w:lineRule="auto"/>
        <w:jc w:val="both"/>
        <w:rPr>
          <w:rFonts w:ascii="Times New Roman" w:hAnsi="Times New Roman" w:cs="Times New Roman"/>
          <w:b/>
          <w:color w:val="auto"/>
          <w:lang w:val="en"/>
        </w:rPr>
      </w:pPr>
    </w:p>
    <w:p w14:paraId="7507E061" w14:textId="4A37F26F" w:rsidR="00C21AC1" w:rsidRDefault="00C21AC1" w:rsidP="000B3CCC">
      <w:pPr>
        <w:pStyle w:val="Default"/>
        <w:spacing w:line="276" w:lineRule="auto"/>
        <w:jc w:val="both"/>
        <w:rPr>
          <w:rFonts w:ascii="Times New Roman" w:hAnsi="Times New Roman" w:cs="Times New Roman"/>
          <w:b/>
          <w:color w:val="auto"/>
          <w:lang w:val="en"/>
        </w:rPr>
      </w:pPr>
    </w:p>
    <w:p w14:paraId="5F5C5647" w14:textId="7466C658" w:rsidR="00C21AC1" w:rsidRDefault="00C21AC1" w:rsidP="000B3CCC">
      <w:pPr>
        <w:pStyle w:val="Default"/>
        <w:spacing w:line="276" w:lineRule="auto"/>
        <w:jc w:val="both"/>
        <w:rPr>
          <w:rFonts w:ascii="Times New Roman" w:hAnsi="Times New Roman" w:cs="Times New Roman"/>
          <w:b/>
          <w:color w:val="auto"/>
          <w:lang w:val="en"/>
        </w:rPr>
      </w:pPr>
    </w:p>
    <w:p w14:paraId="25D41508" w14:textId="54379F82" w:rsidR="00C21AC1" w:rsidRDefault="00C21AC1" w:rsidP="000B3CCC">
      <w:pPr>
        <w:pStyle w:val="Default"/>
        <w:spacing w:line="276" w:lineRule="auto"/>
        <w:jc w:val="both"/>
        <w:rPr>
          <w:rFonts w:ascii="Times New Roman" w:hAnsi="Times New Roman" w:cs="Times New Roman"/>
          <w:b/>
          <w:color w:val="auto"/>
          <w:lang w:val="en"/>
        </w:rPr>
      </w:pPr>
    </w:p>
    <w:p w14:paraId="74EF22A1" w14:textId="1510639E" w:rsidR="00C21AC1" w:rsidRDefault="00C21AC1" w:rsidP="000B3CCC">
      <w:pPr>
        <w:pStyle w:val="Default"/>
        <w:spacing w:line="276" w:lineRule="auto"/>
        <w:jc w:val="both"/>
        <w:rPr>
          <w:rFonts w:ascii="Times New Roman" w:hAnsi="Times New Roman" w:cs="Times New Roman"/>
          <w:b/>
          <w:color w:val="auto"/>
          <w:lang w:val="en"/>
        </w:rPr>
      </w:pPr>
    </w:p>
    <w:p w14:paraId="30CA51E2" w14:textId="5CB40864" w:rsidR="00C21AC1" w:rsidRDefault="00C21AC1" w:rsidP="000B3CCC">
      <w:pPr>
        <w:pStyle w:val="Default"/>
        <w:spacing w:line="276" w:lineRule="auto"/>
        <w:jc w:val="both"/>
        <w:rPr>
          <w:rFonts w:ascii="Times New Roman" w:hAnsi="Times New Roman" w:cs="Times New Roman"/>
          <w:b/>
          <w:color w:val="auto"/>
          <w:lang w:val="en"/>
        </w:rPr>
      </w:pPr>
    </w:p>
    <w:p w14:paraId="748F41DD"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36DEA503"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p w14:paraId="166D22F5" w14:textId="77777777" w:rsidR="00642AF5" w:rsidRPr="00D7447D" w:rsidRDefault="00642AF5" w:rsidP="000B3CCC">
      <w:pPr>
        <w:pStyle w:val="Default"/>
        <w:spacing w:line="276" w:lineRule="auto"/>
        <w:jc w:val="both"/>
        <w:rPr>
          <w:rFonts w:ascii="Times New Roman" w:hAnsi="Times New Roman" w:cs="Times New Roman"/>
          <w:b/>
          <w:color w:val="auto"/>
          <w:lang w:val="en"/>
        </w:rPr>
      </w:pPr>
    </w:p>
    <w:sdt>
      <w:sdtPr>
        <w:rPr>
          <w:rFonts w:ascii="Times New Roman" w:eastAsiaTheme="minorHAnsi" w:hAnsi="Times New Roman" w:cs="Times New Roman"/>
          <w:color w:val="auto"/>
          <w:sz w:val="24"/>
          <w:szCs w:val="24"/>
        </w:rPr>
        <w:id w:val="-1796203193"/>
        <w:docPartObj>
          <w:docPartGallery w:val="Table of Contents"/>
          <w:docPartUnique/>
        </w:docPartObj>
      </w:sdtPr>
      <w:sdtEndPr>
        <w:rPr>
          <w:rFonts w:eastAsiaTheme="minorEastAsia"/>
          <w:b/>
          <w:bCs/>
          <w:noProof/>
        </w:rPr>
      </w:sdtEndPr>
      <w:sdtContent>
        <w:p w14:paraId="73E2D3B0" w14:textId="77777777" w:rsidR="009B79CF" w:rsidRPr="00D7447D" w:rsidRDefault="00B515B7" w:rsidP="000B3CCC">
          <w:pPr>
            <w:pStyle w:val="TOCHeading"/>
            <w:spacing w:line="276" w:lineRule="auto"/>
            <w:jc w:val="center"/>
            <w:rPr>
              <w:rFonts w:ascii="Times New Roman" w:hAnsi="Times New Roman" w:cs="Times New Roman"/>
              <w:b/>
              <w:color w:val="auto"/>
              <w:sz w:val="24"/>
              <w:szCs w:val="24"/>
            </w:rPr>
          </w:pPr>
          <w:r w:rsidRPr="00D7447D">
            <w:rPr>
              <w:rFonts w:ascii="Times New Roman" w:hAnsi="Times New Roman" w:cs="Times New Roman"/>
              <w:b/>
              <w:color w:val="auto"/>
              <w:sz w:val="24"/>
              <w:szCs w:val="24"/>
            </w:rPr>
            <w:t>PËRMBAJTJA</w:t>
          </w:r>
        </w:p>
        <w:p w14:paraId="5FDFFA1A" w14:textId="77777777" w:rsidR="001B61E7" w:rsidRPr="00D7447D" w:rsidRDefault="001B61E7" w:rsidP="000B3CCC">
          <w:pPr>
            <w:spacing w:line="276" w:lineRule="auto"/>
            <w:rPr>
              <w:rFonts w:ascii="Times New Roman" w:hAnsi="Times New Roman" w:cs="Times New Roman"/>
              <w:sz w:val="24"/>
              <w:szCs w:val="24"/>
            </w:rPr>
          </w:pPr>
        </w:p>
        <w:p w14:paraId="2E8A9854" w14:textId="77777777" w:rsidR="00B515B7" w:rsidRPr="00D7447D" w:rsidRDefault="00B515B7" w:rsidP="000B3CCC">
          <w:pPr>
            <w:spacing w:line="276" w:lineRule="auto"/>
            <w:rPr>
              <w:rFonts w:ascii="Times New Roman" w:hAnsi="Times New Roman" w:cs="Times New Roman"/>
              <w:sz w:val="24"/>
              <w:szCs w:val="24"/>
            </w:rPr>
          </w:pPr>
        </w:p>
        <w:p w14:paraId="3FF8B378" w14:textId="3D715C78" w:rsidR="00F210D9" w:rsidRPr="00D7447D" w:rsidRDefault="009B79CF" w:rsidP="000B3CCC">
          <w:pPr>
            <w:pStyle w:val="TOC1"/>
            <w:spacing w:line="276" w:lineRule="auto"/>
            <w:rPr>
              <w:rFonts w:ascii="Times New Roman" w:hAnsi="Times New Roman" w:cs="Times New Roman"/>
              <w:noProof/>
              <w:sz w:val="24"/>
              <w:szCs w:val="24"/>
              <w:lang w:val="en-GB" w:eastAsia="en-GB"/>
            </w:rPr>
          </w:pPr>
          <w:r w:rsidRPr="00D7447D">
            <w:rPr>
              <w:rFonts w:ascii="Times New Roman" w:hAnsi="Times New Roman" w:cs="Times New Roman"/>
              <w:sz w:val="24"/>
              <w:szCs w:val="24"/>
            </w:rPr>
            <w:fldChar w:fldCharType="begin"/>
          </w:r>
          <w:r w:rsidRPr="00D7447D">
            <w:rPr>
              <w:rFonts w:ascii="Times New Roman" w:hAnsi="Times New Roman" w:cs="Times New Roman"/>
              <w:sz w:val="24"/>
              <w:szCs w:val="24"/>
            </w:rPr>
            <w:instrText xml:space="preserve"> TOC \o "1-2" \h \z \u </w:instrText>
          </w:r>
          <w:r w:rsidRPr="00D7447D">
            <w:rPr>
              <w:rFonts w:ascii="Times New Roman" w:hAnsi="Times New Roman" w:cs="Times New Roman"/>
              <w:sz w:val="24"/>
              <w:szCs w:val="24"/>
            </w:rPr>
            <w:fldChar w:fldCharType="separate"/>
          </w:r>
          <w:hyperlink w:anchor="_Toc115701036" w:history="1">
            <w:r w:rsidR="00F210D9" w:rsidRPr="00D7447D">
              <w:rPr>
                <w:rStyle w:val="Hyperlink"/>
                <w:rFonts w:ascii="Times New Roman" w:hAnsi="Times New Roman" w:cs="Times New Roman"/>
                <w:b/>
                <w:noProof/>
                <w:sz w:val="24"/>
                <w:szCs w:val="24"/>
                <w:lang w:val="en"/>
              </w:rPr>
              <w:t>1</w:t>
            </w:r>
            <w:r w:rsidR="00F210D9" w:rsidRPr="00D7447D">
              <w:rPr>
                <w:rFonts w:ascii="Times New Roman" w:hAnsi="Times New Roman" w:cs="Times New Roman"/>
                <w:noProof/>
                <w:sz w:val="24"/>
                <w:szCs w:val="24"/>
                <w:lang w:val="en-GB" w:eastAsia="en-GB"/>
              </w:rPr>
              <w:tab/>
            </w:r>
            <w:r w:rsidR="00F210D9" w:rsidRPr="00D7447D">
              <w:rPr>
                <w:rStyle w:val="Hyperlink"/>
                <w:rFonts w:ascii="Times New Roman" w:hAnsi="Times New Roman" w:cs="Times New Roman"/>
                <w:b/>
                <w:noProof/>
                <w:sz w:val="24"/>
                <w:szCs w:val="24"/>
                <w:lang w:val="en"/>
              </w:rPr>
              <w:t>PRIORITETET AFATMESME NË PBA 2023 - 2025</w:t>
            </w:r>
            <w:r w:rsidR="00F210D9" w:rsidRPr="00D7447D">
              <w:rPr>
                <w:rFonts w:ascii="Times New Roman" w:hAnsi="Times New Roman" w:cs="Times New Roman"/>
                <w:noProof/>
                <w:webHidden/>
                <w:sz w:val="24"/>
                <w:szCs w:val="24"/>
              </w:rPr>
              <w:tab/>
            </w:r>
            <w:r w:rsidR="00F210D9" w:rsidRPr="00D7447D">
              <w:rPr>
                <w:rFonts w:ascii="Times New Roman" w:hAnsi="Times New Roman" w:cs="Times New Roman"/>
                <w:noProof/>
                <w:webHidden/>
                <w:sz w:val="24"/>
                <w:szCs w:val="24"/>
              </w:rPr>
              <w:fldChar w:fldCharType="begin"/>
            </w:r>
            <w:r w:rsidR="00F210D9" w:rsidRPr="00D7447D">
              <w:rPr>
                <w:rFonts w:ascii="Times New Roman" w:hAnsi="Times New Roman" w:cs="Times New Roman"/>
                <w:noProof/>
                <w:webHidden/>
                <w:sz w:val="24"/>
                <w:szCs w:val="24"/>
              </w:rPr>
              <w:instrText xml:space="preserve"> PAGEREF _Toc115701036 \h </w:instrText>
            </w:r>
            <w:r w:rsidR="00F210D9" w:rsidRPr="00D7447D">
              <w:rPr>
                <w:rFonts w:ascii="Times New Roman" w:hAnsi="Times New Roman" w:cs="Times New Roman"/>
                <w:noProof/>
                <w:webHidden/>
                <w:sz w:val="24"/>
                <w:szCs w:val="24"/>
              </w:rPr>
            </w:r>
            <w:r w:rsidR="00F210D9" w:rsidRPr="00D7447D">
              <w:rPr>
                <w:rFonts w:ascii="Times New Roman" w:hAnsi="Times New Roman" w:cs="Times New Roman"/>
                <w:noProof/>
                <w:webHidden/>
                <w:sz w:val="24"/>
                <w:szCs w:val="24"/>
              </w:rPr>
              <w:fldChar w:fldCharType="separate"/>
            </w:r>
            <w:r w:rsidR="00C21AC1">
              <w:rPr>
                <w:rFonts w:ascii="Times New Roman" w:hAnsi="Times New Roman" w:cs="Times New Roman"/>
                <w:noProof/>
                <w:webHidden/>
                <w:sz w:val="24"/>
                <w:szCs w:val="24"/>
              </w:rPr>
              <w:t>2</w:t>
            </w:r>
            <w:r w:rsidR="00F210D9" w:rsidRPr="00D7447D">
              <w:rPr>
                <w:rFonts w:ascii="Times New Roman" w:hAnsi="Times New Roman" w:cs="Times New Roman"/>
                <w:noProof/>
                <w:webHidden/>
                <w:sz w:val="24"/>
                <w:szCs w:val="24"/>
              </w:rPr>
              <w:fldChar w:fldCharType="end"/>
            </w:r>
          </w:hyperlink>
        </w:p>
        <w:p w14:paraId="4309E6EC" w14:textId="081B2419"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37" w:history="1">
            <w:r w:rsidR="00F210D9" w:rsidRPr="00D7447D">
              <w:rPr>
                <w:rStyle w:val="Hyperlink"/>
                <w:rFonts w:ascii="Times New Roman" w:hAnsi="Times New Roman" w:cs="Times New Roman"/>
                <w:sz w:val="24"/>
                <w:szCs w:val="24"/>
                <w:lang w:val="en"/>
              </w:rPr>
              <w:t>1.1</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lang w:val="en"/>
              </w:rPr>
              <w:t>Përmbledhje e trendeve afatmesme të zhvillimit makroekonomik</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_Toc115701037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2</w:t>
            </w:r>
            <w:r w:rsidR="00F210D9" w:rsidRPr="00D7447D">
              <w:rPr>
                <w:rFonts w:ascii="Times New Roman" w:hAnsi="Times New Roman" w:cs="Times New Roman"/>
                <w:webHidden/>
                <w:sz w:val="24"/>
                <w:szCs w:val="24"/>
              </w:rPr>
              <w:fldChar w:fldCharType="end"/>
            </w:r>
          </w:hyperlink>
        </w:p>
        <w:p w14:paraId="6DECCDE3" w14:textId="22839DCA"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38" w:history="1">
            <w:r w:rsidR="00F210D9" w:rsidRPr="00D7447D">
              <w:rPr>
                <w:rStyle w:val="Hyperlink"/>
                <w:rFonts w:ascii="Times New Roman" w:hAnsi="Times New Roman" w:cs="Times New Roman"/>
                <w:sz w:val="24"/>
                <w:szCs w:val="24"/>
                <w:lang w:val="en"/>
              </w:rPr>
              <w:t>1.2</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lang w:val="en"/>
              </w:rPr>
              <w:t>Prioritetet buxhetore afatmesme 2023-2025</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_Toc115701038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5</w:t>
            </w:r>
            <w:r w:rsidR="00F210D9" w:rsidRPr="00D7447D">
              <w:rPr>
                <w:rFonts w:ascii="Times New Roman" w:hAnsi="Times New Roman" w:cs="Times New Roman"/>
                <w:webHidden/>
                <w:sz w:val="24"/>
                <w:szCs w:val="24"/>
              </w:rPr>
              <w:fldChar w:fldCharType="end"/>
            </w:r>
          </w:hyperlink>
        </w:p>
        <w:p w14:paraId="30A37BB8" w14:textId="443D6B0C" w:rsidR="00F210D9" w:rsidRPr="00D7447D" w:rsidRDefault="005F6417" w:rsidP="000B3CCC">
          <w:pPr>
            <w:pStyle w:val="TOC1"/>
            <w:spacing w:line="276" w:lineRule="auto"/>
            <w:rPr>
              <w:rFonts w:ascii="Times New Roman" w:hAnsi="Times New Roman" w:cs="Times New Roman"/>
              <w:noProof/>
              <w:sz w:val="24"/>
              <w:szCs w:val="24"/>
              <w:lang w:val="en-GB" w:eastAsia="en-GB"/>
            </w:rPr>
          </w:pPr>
          <w:hyperlink w:anchor="_Toc115701039" w:history="1">
            <w:r w:rsidR="00F210D9" w:rsidRPr="00D7447D">
              <w:rPr>
                <w:rStyle w:val="Hyperlink"/>
                <w:rFonts w:ascii="Times New Roman" w:hAnsi="Times New Roman" w:cs="Times New Roman"/>
                <w:b/>
                <w:noProof/>
                <w:sz w:val="24"/>
                <w:szCs w:val="24"/>
                <w:lang w:val="en"/>
              </w:rPr>
              <w:t>2</w:t>
            </w:r>
            <w:r w:rsidR="00F210D9" w:rsidRPr="00D7447D">
              <w:rPr>
                <w:rFonts w:ascii="Times New Roman" w:hAnsi="Times New Roman" w:cs="Times New Roman"/>
                <w:noProof/>
                <w:sz w:val="24"/>
                <w:szCs w:val="24"/>
                <w:lang w:val="en-GB" w:eastAsia="en-GB"/>
              </w:rPr>
              <w:tab/>
            </w:r>
            <w:r w:rsidR="00F210D9" w:rsidRPr="00D7447D">
              <w:rPr>
                <w:rStyle w:val="Hyperlink"/>
                <w:rFonts w:ascii="Times New Roman" w:hAnsi="Times New Roman" w:cs="Times New Roman"/>
                <w:b/>
                <w:noProof/>
                <w:sz w:val="24"/>
                <w:szCs w:val="24"/>
                <w:lang w:val="en"/>
              </w:rPr>
              <w:t>KUADRI MAKROEKONOMIK DHE FISKAL 2023-2025</w:t>
            </w:r>
            <w:r w:rsidR="00F210D9" w:rsidRPr="00D7447D">
              <w:rPr>
                <w:rFonts w:ascii="Times New Roman" w:hAnsi="Times New Roman" w:cs="Times New Roman"/>
                <w:noProof/>
                <w:webHidden/>
                <w:sz w:val="24"/>
                <w:szCs w:val="24"/>
              </w:rPr>
              <w:tab/>
            </w:r>
            <w:r w:rsidR="00F210D9" w:rsidRPr="00D7447D">
              <w:rPr>
                <w:rFonts w:ascii="Times New Roman" w:hAnsi="Times New Roman" w:cs="Times New Roman"/>
                <w:noProof/>
                <w:webHidden/>
                <w:sz w:val="24"/>
                <w:szCs w:val="24"/>
              </w:rPr>
              <w:fldChar w:fldCharType="begin"/>
            </w:r>
            <w:r w:rsidR="00F210D9" w:rsidRPr="00D7447D">
              <w:rPr>
                <w:rFonts w:ascii="Times New Roman" w:hAnsi="Times New Roman" w:cs="Times New Roman"/>
                <w:noProof/>
                <w:webHidden/>
                <w:sz w:val="24"/>
                <w:szCs w:val="24"/>
              </w:rPr>
              <w:instrText xml:space="preserve"> PAGEREF _Toc115701039 \h </w:instrText>
            </w:r>
            <w:r w:rsidR="00F210D9" w:rsidRPr="00D7447D">
              <w:rPr>
                <w:rFonts w:ascii="Times New Roman" w:hAnsi="Times New Roman" w:cs="Times New Roman"/>
                <w:noProof/>
                <w:webHidden/>
                <w:sz w:val="24"/>
                <w:szCs w:val="24"/>
              </w:rPr>
            </w:r>
            <w:r w:rsidR="00F210D9" w:rsidRPr="00D7447D">
              <w:rPr>
                <w:rFonts w:ascii="Times New Roman" w:hAnsi="Times New Roman" w:cs="Times New Roman"/>
                <w:noProof/>
                <w:webHidden/>
                <w:sz w:val="24"/>
                <w:szCs w:val="24"/>
              </w:rPr>
              <w:fldChar w:fldCharType="separate"/>
            </w:r>
            <w:r w:rsidR="00C21AC1">
              <w:rPr>
                <w:rFonts w:ascii="Times New Roman" w:hAnsi="Times New Roman" w:cs="Times New Roman"/>
                <w:noProof/>
                <w:webHidden/>
                <w:sz w:val="24"/>
                <w:szCs w:val="24"/>
              </w:rPr>
              <w:t>5</w:t>
            </w:r>
            <w:r w:rsidR="00F210D9" w:rsidRPr="00D7447D">
              <w:rPr>
                <w:rFonts w:ascii="Times New Roman" w:hAnsi="Times New Roman" w:cs="Times New Roman"/>
                <w:noProof/>
                <w:webHidden/>
                <w:sz w:val="24"/>
                <w:szCs w:val="24"/>
              </w:rPr>
              <w:fldChar w:fldCharType="end"/>
            </w:r>
          </w:hyperlink>
        </w:p>
        <w:p w14:paraId="0ACE1E3C" w14:textId="5DE0E016"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40" w:history="1">
            <w:r w:rsidR="00F210D9" w:rsidRPr="00D7447D">
              <w:rPr>
                <w:rStyle w:val="Hyperlink"/>
                <w:rFonts w:ascii="Times New Roman" w:hAnsi="Times New Roman" w:cs="Times New Roman"/>
                <w:sz w:val="24"/>
                <w:szCs w:val="24"/>
              </w:rPr>
              <w:t>2.1 Zhvillimet Makroekonomike</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_Toc115701040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8</w:t>
            </w:r>
            <w:r w:rsidR="00F210D9" w:rsidRPr="00D7447D">
              <w:rPr>
                <w:rFonts w:ascii="Times New Roman" w:hAnsi="Times New Roman" w:cs="Times New Roman"/>
                <w:webHidden/>
                <w:sz w:val="24"/>
                <w:szCs w:val="24"/>
              </w:rPr>
              <w:fldChar w:fldCharType="end"/>
            </w:r>
          </w:hyperlink>
        </w:p>
        <w:p w14:paraId="206A95DA" w14:textId="30EDFFC1" w:rsidR="00F210D9" w:rsidRPr="00D7447D" w:rsidRDefault="005F6417" w:rsidP="000B3CCC">
          <w:pPr>
            <w:pStyle w:val="TOC1"/>
            <w:spacing w:line="276" w:lineRule="auto"/>
            <w:rPr>
              <w:rFonts w:ascii="Times New Roman" w:hAnsi="Times New Roman" w:cs="Times New Roman"/>
              <w:noProof/>
              <w:sz w:val="24"/>
              <w:szCs w:val="24"/>
              <w:lang w:val="en-GB" w:eastAsia="en-GB"/>
            </w:rPr>
          </w:pPr>
          <w:hyperlink w:anchor="_Toc115701041" w:history="1">
            <w:r w:rsidR="00F210D9" w:rsidRPr="00D7447D">
              <w:rPr>
                <w:rStyle w:val="Hyperlink"/>
                <w:rFonts w:ascii="Times New Roman" w:hAnsi="Times New Roman" w:cs="Times New Roman"/>
                <w:b/>
                <w:noProof/>
                <w:sz w:val="24"/>
                <w:szCs w:val="24"/>
                <w:lang w:val="en"/>
              </w:rPr>
              <w:t>3</w:t>
            </w:r>
            <w:r w:rsidR="00F210D9" w:rsidRPr="00D7447D">
              <w:rPr>
                <w:rFonts w:ascii="Times New Roman" w:hAnsi="Times New Roman" w:cs="Times New Roman"/>
                <w:noProof/>
                <w:sz w:val="24"/>
                <w:szCs w:val="24"/>
                <w:lang w:val="en-GB" w:eastAsia="en-GB"/>
              </w:rPr>
              <w:tab/>
            </w:r>
            <w:r w:rsidR="00F210D9" w:rsidRPr="00D7447D">
              <w:rPr>
                <w:rStyle w:val="Hyperlink"/>
                <w:rFonts w:ascii="Times New Roman" w:hAnsi="Times New Roman" w:cs="Times New Roman"/>
                <w:b/>
                <w:noProof/>
                <w:sz w:val="24"/>
                <w:szCs w:val="24"/>
                <w:lang w:val="en"/>
              </w:rPr>
              <w:t>PROGRAMI BUXHETOR AFATMESËM 2023-2025</w:t>
            </w:r>
            <w:r w:rsidR="00F210D9" w:rsidRPr="00D7447D">
              <w:rPr>
                <w:rFonts w:ascii="Times New Roman" w:hAnsi="Times New Roman" w:cs="Times New Roman"/>
                <w:noProof/>
                <w:webHidden/>
                <w:sz w:val="24"/>
                <w:szCs w:val="24"/>
              </w:rPr>
              <w:tab/>
            </w:r>
            <w:r w:rsidR="00F210D9" w:rsidRPr="00D7447D">
              <w:rPr>
                <w:rFonts w:ascii="Times New Roman" w:hAnsi="Times New Roman" w:cs="Times New Roman"/>
                <w:noProof/>
                <w:webHidden/>
                <w:sz w:val="24"/>
                <w:szCs w:val="24"/>
              </w:rPr>
              <w:fldChar w:fldCharType="begin"/>
            </w:r>
            <w:r w:rsidR="00F210D9" w:rsidRPr="00D7447D">
              <w:rPr>
                <w:rFonts w:ascii="Times New Roman" w:hAnsi="Times New Roman" w:cs="Times New Roman"/>
                <w:noProof/>
                <w:webHidden/>
                <w:sz w:val="24"/>
                <w:szCs w:val="24"/>
              </w:rPr>
              <w:instrText xml:space="preserve"> PAGEREF _Toc115701041 \h </w:instrText>
            </w:r>
            <w:r w:rsidR="00F210D9" w:rsidRPr="00D7447D">
              <w:rPr>
                <w:rFonts w:ascii="Times New Roman" w:hAnsi="Times New Roman" w:cs="Times New Roman"/>
                <w:noProof/>
                <w:webHidden/>
                <w:sz w:val="24"/>
                <w:szCs w:val="24"/>
              </w:rPr>
            </w:r>
            <w:r w:rsidR="00F210D9" w:rsidRPr="00D7447D">
              <w:rPr>
                <w:rFonts w:ascii="Times New Roman" w:hAnsi="Times New Roman" w:cs="Times New Roman"/>
                <w:noProof/>
                <w:webHidden/>
                <w:sz w:val="24"/>
                <w:szCs w:val="24"/>
              </w:rPr>
              <w:fldChar w:fldCharType="separate"/>
            </w:r>
            <w:r w:rsidR="00C21AC1">
              <w:rPr>
                <w:rFonts w:ascii="Times New Roman" w:hAnsi="Times New Roman" w:cs="Times New Roman"/>
                <w:noProof/>
                <w:webHidden/>
                <w:sz w:val="24"/>
                <w:szCs w:val="24"/>
              </w:rPr>
              <w:t>18</w:t>
            </w:r>
            <w:r w:rsidR="00F210D9" w:rsidRPr="00D7447D">
              <w:rPr>
                <w:rFonts w:ascii="Times New Roman" w:hAnsi="Times New Roman" w:cs="Times New Roman"/>
                <w:noProof/>
                <w:webHidden/>
                <w:sz w:val="24"/>
                <w:szCs w:val="24"/>
              </w:rPr>
              <w:fldChar w:fldCharType="end"/>
            </w:r>
          </w:hyperlink>
        </w:p>
        <w:p w14:paraId="34038C8F" w14:textId="09FC1583"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42" w:history="1">
            <w:r w:rsidR="00F210D9" w:rsidRPr="00D7447D">
              <w:rPr>
                <w:rStyle w:val="Hyperlink"/>
                <w:rFonts w:ascii="Times New Roman" w:hAnsi="Times New Roman" w:cs="Times New Roman"/>
                <w:sz w:val="24"/>
                <w:szCs w:val="24"/>
              </w:rPr>
              <w:t>3.1</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SHËNDETËSISË DHE MBROJTJES SOCIALE</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_Toc115701042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18</w:t>
            </w:r>
            <w:r w:rsidR="00F210D9" w:rsidRPr="00D7447D">
              <w:rPr>
                <w:rFonts w:ascii="Times New Roman" w:hAnsi="Times New Roman" w:cs="Times New Roman"/>
                <w:webHidden/>
                <w:sz w:val="24"/>
                <w:szCs w:val="24"/>
              </w:rPr>
              <w:fldChar w:fldCharType="end"/>
            </w:r>
          </w:hyperlink>
        </w:p>
        <w:p w14:paraId="073424EA" w14:textId="5F1644A4"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43" w:history="1">
            <w:r w:rsidR="00F210D9" w:rsidRPr="00D7447D">
              <w:rPr>
                <w:rStyle w:val="Hyperlink"/>
                <w:rFonts w:ascii="Times New Roman" w:hAnsi="Times New Roman" w:cs="Times New Roman"/>
                <w:sz w:val="24"/>
                <w:szCs w:val="24"/>
              </w:rPr>
              <w:t>3.2</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ARSIMIT, SPORTIT DHE RINISË</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_Toc115701043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24</w:t>
            </w:r>
            <w:r w:rsidR="00F210D9" w:rsidRPr="00D7447D">
              <w:rPr>
                <w:rFonts w:ascii="Times New Roman" w:hAnsi="Times New Roman" w:cs="Times New Roman"/>
                <w:webHidden/>
                <w:sz w:val="24"/>
                <w:szCs w:val="24"/>
              </w:rPr>
              <w:fldChar w:fldCharType="end"/>
            </w:r>
          </w:hyperlink>
        </w:p>
        <w:p w14:paraId="7678EC1D" w14:textId="5C420425"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44" w:history="1">
            <w:r w:rsidR="00F210D9" w:rsidRPr="00D7447D">
              <w:rPr>
                <w:rStyle w:val="Hyperlink"/>
                <w:rFonts w:ascii="Times New Roman" w:hAnsi="Times New Roman" w:cs="Times New Roman"/>
                <w:sz w:val="24"/>
                <w:szCs w:val="24"/>
              </w:rPr>
              <w:t>3.3</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BUJQËSISË DHE ZHVILLIMIT RURAL</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_Toc115701044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28</w:t>
            </w:r>
            <w:r w:rsidR="00F210D9" w:rsidRPr="00D7447D">
              <w:rPr>
                <w:rFonts w:ascii="Times New Roman" w:hAnsi="Times New Roman" w:cs="Times New Roman"/>
                <w:webHidden/>
                <w:sz w:val="24"/>
                <w:szCs w:val="24"/>
              </w:rPr>
              <w:fldChar w:fldCharType="end"/>
            </w:r>
          </w:hyperlink>
        </w:p>
        <w:p w14:paraId="1806FCD7" w14:textId="53D5791B"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45" w:history="1">
            <w:r w:rsidR="00F210D9" w:rsidRPr="00D7447D">
              <w:rPr>
                <w:rStyle w:val="Hyperlink"/>
                <w:rFonts w:ascii="Times New Roman" w:hAnsi="Times New Roman" w:cs="Times New Roman"/>
                <w:sz w:val="24"/>
                <w:szCs w:val="24"/>
              </w:rPr>
              <w:t>3.4</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DREJTËSISË</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_Toc115701045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32</w:t>
            </w:r>
            <w:r w:rsidR="00F210D9" w:rsidRPr="00D7447D">
              <w:rPr>
                <w:rFonts w:ascii="Times New Roman" w:hAnsi="Times New Roman" w:cs="Times New Roman"/>
                <w:webHidden/>
                <w:sz w:val="24"/>
                <w:szCs w:val="24"/>
              </w:rPr>
              <w:fldChar w:fldCharType="end"/>
            </w:r>
          </w:hyperlink>
        </w:p>
        <w:p w14:paraId="5F1E7196" w14:textId="25746CC6"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46" w:history="1">
            <w:r w:rsidR="00F210D9" w:rsidRPr="00D7447D">
              <w:rPr>
                <w:rStyle w:val="Hyperlink"/>
                <w:rFonts w:ascii="Times New Roman" w:hAnsi="Times New Roman" w:cs="Times New Roman"/>
                <w:sz w:val="24"/>
                <w:szCs w:val="24"/>
              </w:rPr>
              <w:t>3.5</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INFRASTRUKTURËS DHE ENERGJISË</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_Toc115701046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36</w:t>
            </w:r>
            <w:r w:rsidR="00F210D9" w:rsidRPr="00D7447D">
              <w:rPr>
                <w:rFonts w:ascii="Times New Roman" w:hAnsi="Times New Roman" w:cs="Times New Roman"/>
                <w:webHidden/>
                <w:sz w:val="24"/>
                <w:szCs w:val="24"/>
              </w:rPr>
              <w:fldChar w:fldCharType="end"/>
            </w:r>
          </w:hyperlink>
        </w:p>
        <w:p w14:paraId="2DF86B26" w14:textId="356EE30E"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51" w:history="1">
            <w:r w:rsidR="00F210D9" w:rsidRPr="00D7447D">
              <w:rPr>
                <w:rStyle w:val="Hyperlink"/>
                <w:rFonts w:ascii="Times New Roman" w:hAnsi="Times New Roman" w:cs="Times New Roman"/>
                <w:sz w:val="24"/>
                <w:szCs w:val="24"/>
              </w:rPr>
              <w:t>3.6</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BRENDSHME</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_Toc115701051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41</w:t>
            </w:r>
            <w:r w:rsidR="00F210D9" w:rsidRPr="00D7447D">
              <w:rPr>
                <w:rFonts w:ascii="Times New Roman" w:hAnsi="Times New Roman" w:cs="Times New Roman"/>
                <w:webHidden/>
                <w:sz w:val="24"/>
                <w:szCs w:val="24"/>
              </w:rPr>
              <w:fldChar w:fldCharType="end"/>
            </w:r>
          </w:hyperlink>
        </w:p>
        <w:p w14:paraId="2E335A9C" w14:textId="5579830C"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52" w:history="1">
            <w:r w:rsidR="00F210D9" w:rsidRPr="00D7447D">
              <w:rPr>
                <w:rStyle w:val="Hyperlink"/>
                <w:rFonts w:ascii="Times New Roman" w:hAnsi="Times New Roman" w:cs="Times New Roman"/>
                <w:sz w:val="24"/>
                <w:szCs w:val="24"/>
              </w:rPr>
              <w:t>3.7</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MBROJTJES</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_Toc115701052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43</w:t>
            </w:r>
            <w:r w:rsidR="00F210D9" w:rsidRPr="00D7447D">
              <w:rPr>
                <w:rFonts w:ascii="Times New Roman" w:hAnsi="Times New Roman" w:cs="Times New Roman"/>
                <w:webHidden/>
                <w:sz w:val="24"/>
                <w:szCs w:val="24"/>
              </w:rPr>
              <w:fldChar w:fldCharType="end"/>
            </w:r>
          </w:hyperlink>
        </w:p>
        <w:p w14:paraId="0327E94B" w14:textId="2A6627FF"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53" w:history="1">
            <w:r w:rsidR="00F210D9" w:rsidRPr="00D7447D">
              <w:rPr>
                <w:rStyle w:val="Hyperlink"/>
                <w:rFonts w:ascii="Times New Roman" w:hAnsi="Times New Roman" w:cs="Times New Roman"/>
                <w:sz w:val="24"/>
                <w:szCs w:val="24"/>
              </w:rPr>
              <w:t>3.8</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TURIZMIT DHE MJEDISIT</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_Toc115701053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45</w:t>
            </w:r>
            <w:r w:rsidR="00F210D9" w:rsidRPr="00D7447D">
              <w:rPr>
                <w:rFonts w:ascii="Times New Roman" w:hAnsi="Times New Roman" w:cs="Times New Roman"/>
                <w:webHidden/>
                <w:sz w:val="24"/>
                <w:szCs w:val="24"/>
              </w:rPr>
              <w:fldChar w:fldCharType="end"/>
            </w:r>
          </w:hyperlink>
        </w:p>
        <w:p w14:paraId="2D2D94D3" w14:textId="5AFAF7CF"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61" w:history="1">
            <w:r w:rsidR="00F210D9" w:rsidRPr="00D7447D">
              <w:rPr>
                <w:rStyle w:val="Hyperlink"/>
                <w:rFonts w:ascii="Times New Roman" w:hAnsi="Times New Roman" w:cs="Times New Roman"/>
                <w:sz w:val="24"/>
                <w:szCs w:val="24"/>
              </w:rPr>
              <w:t>3.9</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PËR EVROPËN DHE PUNËT E JASHTME</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_Toc115701061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48</w:t>
            </w:r>
            <w:r w:rsidR="00F210D9" w:rsidRPr="00D7447D">
              <w:rPr>
                <w:rFonts w:ascii="Times New Roman" w:hAnsi="Times New Roman" w:cs="Times New Roman"/>
                <w:webHidden/>
                <w:sz w:val="24"/>
                <w:szCs w:val="24"/>
              </w:rPr>
              <w:fldChar w:fldCharType="end"/>
            </w:r>
          </w:hyperlink>
        </w:p>
        <w:p w14:paraId="48B32D6F" w14:textId="7CC74B94"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62" w:history="1">
            <w:r w:rsidR="00F210D9" w:rsidRPr="00D7447D">
              <w:rPr>
                <w:rStyle w:val="Hyperlink"/>
                <w:rFonts w:ascii="Times New Roman" w:hAnsi="Times New Roman" w:cs="Times New Roman"/>
                <w:sz w:val="24"/>
                <w:szCs w:val="24"/>
              </w:rPr>
              <w:t>3.10</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KULTURËS</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_Toc115701062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50</w:t>
            </w:r>
            <w:r w:rsidR="00F210D9" w:rsidRPr="00D7447D">
              <w:rPr>
                <w:rFonts w:ascii="Times New Roman" w:hAnsi="Times New Roman" w:cs="Times New Roman"/>
                <w:webHidden/>
                <w:sz w:val="24"/>
                <w:szCs w:val="24"/>
              </w:rPr>
              <w:fldChar w:fldCharType="end"/>
            </w:r>
          </w:hyperlink>
        </w:p>
        <w:p w14:paraId="1CE2D072" w14:textId="3EB700E5" w:rsidR="00F210D9" w:rsidRPr="00D7447D" w:rsidRDefault="005F6417" w:rsidP="000B3CCC">
          <w:pPr>
            <w:pStyle w:val="TOC2"/>
            <w:spacing w:line="276" w:lineRule="auto"/>
            <w:rPr>
              <w:rFonts w:ascii="Times New Roman" w:eastAsiaTheme="minorEastAsia" w:hAnsi="Times New Roman" w:cs="Times New Roman"/>
              <w:b w:val="0"/>
              <w:bCs w:val="0"/>
              <w:iCs w:val="0"/>
              <w:sz w:val="24"/>
              <w:szCs w:val="24"/>
              <w:lang w:val="en-GB" w:eastAsia="en-GB"/>
            </w:rPr>
          </w:pPr>
          <w:hyperlink w:anchor="_Toc115701063" w:history="1">
            <w:r w:rsidR="00F210D9" w:rsidRPr="00D7447D">
              <w:rPr>
                <w:rStyle w:val="Hyperlink"/>
                <w:rFonts w:ascii="Times New Roman" w:hAnsi="Times New Roman" w:cs="Times New Roman"/>
                <w:sz w:val="24"/>
                <w:szCs w:val="24"/>
              </w:rPr>
              <w:t>3.11</w:t>
            </w:r>
            <w:r w:rsidR="00F210D9" w:rsidRPr="00D7447D">
              <w:rPr>
                <w:rFonts w:ascii="Times New Roman" w:eastAsiaTheme="minorEastAsia" w:hAnsi="Times New Roman" w:cs="Times New Roman"/>
                <w:b w:val="0"/>
                <w:bCs w:val="0"/>
                <w:iCs w:val="0"/>
                <w:sz w:val="24"/>
                <w:szCs w:val="24"/>
                <w:lang w:val="en-GB" w:eastAsia="en-GB"/>
              </w:rPr>
              <w:tab/>
            </w:r>
            <w:r w:rsidR="00F210D9" w:rsidRPr="00D7447D">
              <w:rPr>
                <w:rStyle w:val="Hyperlink"/>
                <w:rFonts w:ascii="Times New Roman" w:hAnsi="Times New Roman" w:cs="Times New Roman"/>
                <w:sz w:val="24"/>
                <w:szCs w:val="24"/>
              </w:rPr>
              <w:t>MINISTRIA E FINANCAVE DHE EKONOMISË</w:t>
            </w:r>
            <w:r w:rsidR="00F210D9" w:rsidRPr="00D7447D">
              <w:rPr>
                <w:rFonts w:ascii="Times New Roman" w:hAnsi="Times New Roman" w:cs="Times New Roman"/>
                <w:webHidden/>
                <w:sz w:val="24"/>
                <w:szCs w:val="24"/>
              </w:rPr>
              <w:tab/>
            </w:r>
            <w:r w:rsidR="00F210D9" w:rsidRPr="00D7447D">
              <w:rPr>
                <w:rFonts w:ascii="Times New Roman" w:hAnsi="Times New Roman" w:cs="Times New Roman"/>
                <w:webHidden/>
                <w:sz w:val="24"/>
                <w:szCs w:val="24"/>
              </w:rPr>
              <w:fldChar w:fldCharType="begin"/>
            </w:r>
            <w:r w:rsidR="00F210D9" w:rsidRPr="00D7447D">
              <w:rPr>
                <w:rFonts w:ascii="Times New Roman" w:hAnsi="Times New Roman" w:cs="Times New Roman"/>
                <w:webHidden/>
                <w:sz w:val="24"/>
                <w:szCs w:val="24"/>
              </w:rPr>
              <w:instrText xml:space="preserve"> PAGEREF _Toc115701063 \h </w:instrText>
            </w:r>
            <w:r w:rsidR="00F210D9" w:rsidRPr="00D7447D">
              <w:rPr>
                <w:rFonts w:ascii="Times New Roman" w:hAnsi="Times New Roman" w:cs="Times New Roman"/>
                <w:webHidden/>
                <w:sz w:val="24"/>
                <w:szCs w:val="24"/>
              </w:rPr>
            </w:r>
            <w:r w:rsidR="00F210D9" w:rsidRPr="00D7447D">
              <w:rPr>
                <w:rFonts w:ascii="Times New Roman" w:hAnsi="Times New Roman" w:cs="Times New Roman"/>
                <w:webHidden/>
                <w:sz w:val="24"/>
                <w:szCs w:val="24"/>
              </w:rPr>
              <w:fldChar w:fldCharType="separate"/>
            </w:r>
            <w:r w:rsidR="00C21AC1">
              <w:rPr>
                <w:rFonts w:ascii="Times New Roman" w:hAnsi="Times New Roman" w:cs="Times New Roman"/>
                <w:webHidden/>
                <w:sz w:val="24"/>
                <w:szCs w:val="24"/>
              </w:rPr>
              <w:t>53</w:t>
            </w:r>
            <w:r w:rsidR="00F210D9" w:rsidRPr="00D7447D">
              <w:rPr>
                <w:rFonts w:ascii="Times New Roman" w:hAnsi="Times New Roman" w:cs="Times New Roman"/>
                <w:webHidden/>
                <w:sz w:val="24"/>
                <w:szCs w:val="24"/>
              </w:rPr>
              <w:fldChar w:fldCharType="end"/>
            </w:r>
          </w:hyperlink>
        </w:p>
        <w:p w14:paraId="44636614" w14:textId="52789824" w:rsidR="00F210D9" w:rsidRPr="00D7447D" w:rsidRDefault="005F6417" w:rsidP="000B3CCC">
          <w:pPr>
            <w:pStyle w:val="TOC1"/>
            <w:spacing w:line="276" w:lineRule="auto"/>
            <w:rPr>
              <w:rFonts w:ascii="Times New Roman" w:hAnsi="Times New Roman" w:cs="Times New Roman"/>
              <w:noProof/>
              <w:sz w:val="24"/>
              <w:szCs w:val="24"/>
              <w:lang w:val="en-GB" w:eastAsia="en-GB"/>
            </w:rPr>
          </w:pPr>
          <w:hyperlink w:anchor="_Toc115701064" w:history="1">
            <w:r w:rsidR="00F210D9" w:rsidRPr="00D7447D">
              <w:rPr>
                <w:rStyle w:val="Hyperlink"/>
                <w:rFonts w:ascii="Times New Roman" w:hAnsi="Times New Roman" w:cs="Times New Roman"/>
                <w:b/>
                <w:noProof/>
                <w:sz w:val="24"/>
                <w:szCs w:val="24"/>
                <w:lang w:eastAsia="sq-AL"/>
              </w:rPr>
              <w:t>4</w:t>
            </w:r>
            <w:r w:rsidR="00F210D9" w:rsidRPr="00D7447D">
              <w:rPr>
                <w:rFonts w:ascii="Times New Roman" w:hAnsi="Times New Roman" w:cs="Times New Roman"/>
                <w:noProof/>
                <w:sz w:val="24"/>
                <w:szCs w:val="24"/>
                <w:lang w:val="en-GB" w:eastAsia="en-GB"/>
              </w:rPr>
              <w:tab/>
            </w:r>
            <w:r w:rsidR="00F210D9" w:rsidRPr="00D7447D">
              <w:rPr>
                <w:rStyle w:val="Hyperlink"/>
                <w:rFonts w:ascii="Times New Roman" w:hAnsi="Times New Roman" w:cs="Times New Roman"/>
                <w:b/>
                <w:noProof/>
                <w:sz w:val="24"/>
                <w:szCs w:val="24"/>
              </w:rPr>
              <w:t>Anekse</w:t>
            </w:r>
            <w:r w:rsidR="00F210D9" w:rsidRPr="00D7447D">
              <w:rPr>
                <w:rFonts w:ascii="Times New Roman" w:hAnsi="Times New Roman" w:cs="Times New Roman"/>
                <w:noProof/>
                <w:webHidden/>
                <w:sz w:val="24"/>
                <w:szCs w:val="24"/>
              </w:rPr>
              <w:tab/>
            </w:r>
            <w:r w:rsidR="00F210D9" w:rsidRPr="00D7447D">
              <w:rPr>
                <w:rFonts w:ascii="Times New Roman" w:hAnsi="Times New Roman" w:cs="Times New Roman"/>
                <w:noProof/>
                <w:webHidden/>
                <w:sz w:val="24"/>
                <w:szCs w:val="24"/>
              </w:rPr>
              <w:fldChar w:fldCharType="begin"/>
            </w:r>
            <w:r w:rsidR="00F210D9" w:rsidRPr="00D7447D">
              <w:rPr>
                <w:rFonts w:ascii="Times New Roman" w:hAnsi="Times New Roman" w:cs="Times New Roman"/>
                <w:noProof/>
                <w:webHidden/>
                <w:sz w:val="24"/>
                <w:szCs w:val="24"/>
              </w:rPr>
              <w:instrText xml:space="preserve"> PAGEREF _Toc115701064 \h </w:instrText>
            </w:r>
            <w:r w:rsidR="00F210D9" w:rsidRPr="00D7447D">
              <w:rPr>
                <w:rFonts w:ascii="Times New Roman" w:hAnsi="Times New Roman" w:cs="Times New Roman"/>
                <w:noProof/>
                <w:webHidden/>
                <w:sz w:val="24"/>
                <w:szCs w:val="24"/>
              </w:rPr>
            </w:r>
            <w:r w:rsidR="00F210D9" w:rsidRPr="00D7447D">
              <w:rPr>
                <w:rFonts w:ascii="Times New Roman" w:hAnsi="Times New Roman" w:cs="Times New Roman"/>
                <w:noProof/>
                <w:webHidden/>
                <w:sz w:val="24"/>
                <w:szCs w:val="24"/>
              </w:rPr>
              <w:fldChar w:fldCharType="separate"/>
            </w:r>
            <w:r w:rsidR="00C21AC1">
              <w:rPr>
                <w:rFonts w:ascii="Times New Roman" w:hAnsi="Times New Roman" w:cs="Times New Roman"/>
                <w:noProof/>
                <w:webHidden/>
                <w:sz w:val="24"/>
                <w:szCs w:val="24"/>
              </w:rPr>
              <w:t>57</w:t>
            </w:r>
            <w:r w:rsidR="00F210D9" w:rsidRPr="00D7447D">
              <w:rPr>
                <w:rFonts w:ascii="Times New Roman" w:hAnsi="Times New Roman" w:cs="Times New Roman"/>
                <w:noProof/>
                <w:webHidden/>
                <w:sz w:val="24"/>
                <w:szCs w:val="24"/>
              </w:rPr>
              <w:fldChar w:fldCharType="end"/>
            </w:r>
          </w:hyperlink>
        </w:p>
        <w:p w14:paraId="0800B14F" w14:textId="7AB9AB97" w:rsidR="009B79CF" w:rsidRPr="00D7447D" w:rsidRDefault="009B79CF" w:rsidP="000B3CCC">
          <w:pPr>
            <w:spacing w:line="276" w:lineRule="auto"/>
            <w:rPr>
              <w:rFonts w:ascii="Times New Roman" w:hAnsi="Times New Roman" w:cs="Times New Roman"/>
              <w:sz w:val="24"/>
              <w:szCs w:val="24"/>
            </w:rPr>
          </w:pPr>
          <w:r w:rsidRPr="00D7447D">
            <w:rPr>
              <w:rFonts w:ascii="Times New Roman" w:hAnsi="Times New Roman" w:cs="Times New Roman"/>
              <w:sz w:val="24"/>
              <w:szCs w:val="24"/>
            </w:rPr>
            <w:fldChar w:fldCharType="end"/>
          </w:r>
        </w:p>
      </w:sdtContent>
    </w:sdt>
    <w:p w14:paraId="1D9EDEAC" w14:textId="77777777" w:rsidR="009B79CF" w:rsidRPr="00D7447D" w:rsidRDefault="009B79CF" w:rsidP="000B3CCC">
      <w:pPr>
        <w:pStyle w:val="Default"/>
        <w:spacing w:line="276" w:lineRule="auto"/>
        <w:jc w:val="both"/>
        <w:rPr>
          <w:rFonts w:ascii="Times New Roman" w:hAnsi="Times New Roman" w:cs="Times New Roman"/>
          <w:b/>
          <w:color w:val="auto"/>
          <w:lang w:val="en"/>
        </w:rPr>
      </w:pPr>
    </w:p>
    <w:p w14:paraId="72D11E16" w14:textId="77777777" w:rsidR="009B79CF" w:rsidRPr="00D7447D" w:rsidRDefault="009B79CF" w:rsidP="000B3CCC">
      <w:pPr>
        <w:pStyle w:val="Default"/>
        <w:spacing w:line="276" w:lineRule="auto"/>
        <w:jc w:val="both"/>
        <w:rPr>
          <w:rFonts w:ascii="Times New Roman" w:hAnsi="Times New Roman" w:cs="Times New Roman"/>
          <w:b/>
          <w:color w:val="auto"/>
          <w:lang w:val="en"/>
        </w:rPr>
      </w:pPr>
    </w:p>
    <w:p w14:paraId="5B7C1545" w14:textId="77777777" w:rsidR="00365B67" w:rsidRPr="00D7447D" w:rsidRDefault="00365B67" w:rsidP="000B3CCC">
      <w:pPr>
        <w:pStyle w:val="Default"/>
        <w:spacing w:line="276" w:lineRule="auto"/>
        <w:jc w:val="both"/>
        <w:rPr>
          <w:rFonts w:ascii="Times New Roman" w:hAnsi="Times New Roman" w:cs="Times New Roman"/>
          <w:b/>
          <w:color w:val="auto"/>
          <w:lang w:val="en"/>
        </w:rPr>
      </w:pPr>
    </w:p>
    <w:p w14:paraId="4248EBD5" w14:textId="77777777" w:rsidR="009B79CF" w:rsidRPr="00D7447D" w:rsidRDefault="009B79CF" w:rsidP="000B3CCC">
      <w:pPr>
        <w:pStyle w:val="Default"/>
        <w:spacing w:line="276" w:lineRule="auto"/>
        <w:jc w:val="both"/>
        <w:rPr>
          <w:rFonts w:ascii="Times New Roman" w:hAnsi="Times New Roman" w:cs="Times New Roman"/>
          <w:b/>
          <w:color w:val="auto"/>
          <w:lang w:val="en"/>
        </w:rPr>
      </w:pPr>
    </w:p>
    <w:p w14:paraId="028C1636" w14:textId="77777777" w:rsidR="00E37C7E" w:rsidRPr="00D7447D" w:rsidRDefault="00E37C7E" w:rsidP="000B3CCC">
      <w:pPr>
        <w:pStyle w:val="Default"/>
        <w:spacing w:line="276" w:lineRule="auto"/>
        <w:jc w:val="both"/>
        <w:rPr>
          <w:rFonts w:ascii="Times New Roman" w:hAnsi="Times New Roman" w:cs="Times New Roman"/>
          <w:b/>
          <w:color w:val="auto"/>
          <w:lang w:val="en"/>
        </w:rPr>
      </w:pPr>
    </w:p>
    <w:p w14:paraId="533CC233" w14:textId="77777777" w:rsidR="00E37C7E" w:rsidRPr="00D7447D" w:rsidRDefault="00E37C7E" w:rsidP="000B3CCC">
      <w:pPr>
        <w:pStyle w:val="Default"/>
        <w:spacing w:line="276" w:lineRule="auto"/>
        <w:jc w:val="both"/>
        <w:rPr>
          <w:rFonts w:ascii="Times New Roman" w:hAnsi="Times New Roman" w:cs="Times New Roman"/>
          <w:b/>
          <w:color w:val="auto"/>
          <w:lang w:val="en"/>
        </w:rPr>
      </w:pPr>
    </w:p>
    <w:p w14:paraId="5CF2FB4A" w14:textId="77777777" w:rsidR="00E37C7E" w:rsidRPr="00D7447D" w:rsidRDefault="00E37C7E" w:rsidP="000B3CCC">
      <w:pPr>
        <w:pStyle w:val="Default"/>
        <w:spacing w:line="276" w:lineRule="auto"/>
        <w:jc w:val="both"/>
        <w:rPr>
          <w:rFonts w:ascii="Times New Roman" w:hAnsi="Times New Roman" w:cs="Times New Roman"/>
          <w:b/>
          <w:color w:val="auto"/>
          <w:lang w:val="en"/>
        </w:rPr>
      </w:pPr>
    </w:p>
    <w:p w14:paraId="709F31C7" w14:textId="00A74E97" w:rsidR="00E37C7E" w:rsidRPr="00D7447D" w:rsidRDefault="00E37C7E" w:rsidP="000B3CCC">
      <w:pPr>
        <w:pStyle w:val="Default"/>
        <w:spacing w:line="276" w:lineRule="auto"/>
        <w:jc w:val="both"/>
        <w:rPr>
          <w:rFonts w:ascii="Times New Roman" w:hAnsi="Times New Roman" w:cs="Times New Roman"/>
          <w:b/>
          <w:color w:val="auto"/>
          <w:lang w:val="en"/>
        </w:rPr>
      </w:pPr>
    </w:p>
    <w:p w14:paraId="2D7EB4F9" w14:textId="70F17E2F" w:rsidR="007D4292" w:rsidRPr="00D7447D" w:rsidRDefault="007D4292" w:rsidP="000B3CCC">
      <w:pPr>
        <w:pStyle w:val="Default"/>
        <w:spacing w:line="276" w:lineRule="auto"/>
        <w:jc w:val="both"/>
        <w:rPr>
          <w:rFonts w:ascii="Times New Roman" w:hAnsi="Times New Roman" w:cs="Times New Roman"/>
          <w:b/>
          <w:color w:val="auto"/>
          <w:lang w:val="en"/>
        </w:rPr>
      </w:pPr>
    </w:p>
    <w:p w14:paraId="7B82D296" w14:textId="63E3C43D" w:rsidR="007D4292" w:rsidRPr="00D7447D" w:rsidRDefault="007D4292" w:rsidP="000B3CCC">
      <w:pPr>
        <w:pStyle w:val="Default"/>
        <w:spacing w:line="276" w:lineRule="auto"/>
        <w:jc w:val="both"/>
        <w:rPr>
          <w:rFonts w:ascii="Times New Roman" w:hAnsi="Times New Roman" w:cs="Times New Roman"/>
          <w:b/>
          <w:color w:val="auto"/>
          <w:lang w:val="en"/>
        </w:rPr>
      </w:pPr>
    </w:p>
    <w:p w14:paraId="33EC55F7" w14:textId="77777777" w:rsidR="007D4292" w:rsidRPr="00D7447D" w:rsidRDefault="007D4292" w:rsidP="000B3CCC">
      <w:pPr>
        <w:pStyle w:val="Default"/>
        <w:spacing w:line="276" w:lineRule="auto"/>
        <w:jc w:val="both"/>
        <w:rPr>
          <w:rFonts w:ascii="Times New Roman" w:hAnsi="Times New Roman" w:cs="Times New Roman"/>
          <w:b/>
          <w:color w:val="auto"/>
          <w:lang w:val="en"/>
        </w:rPr>
      </w:pPr>
    </w:p>
    <w:p w14:paraId="26458EB7" w14:textId="5F8094D5" w:rsidR="003E1FC0" w:rsidRPr="00D7447D" w:rsidRDefault="00C25C51" w:rsidP="000B3CCC">
      <w:pPr>
        <w:pStyle w:val="Heading1"/>
        <w:spacing w:line="276" w:lineRule="auto"/>
        <w:rPr>
          <w:rFonts w:ascii="Times New Roman" w:hAnsi="Times New Roman" w:cs="Times New Roman"/>
          <w:b/>
          <w:color w:val="auto"/>
          <w:sz w:val="24"/>
          <w:szCs w:val="24"/>
          <w:lang w:val="en"/>
        </w:rPr>
      </w:pPr>
      <w:bookmarkStart w:id="1" w:name="_Toc115701036"/>
      <w:r w:rsidRPr="00D7447D">
        <w:rPr>
          <w:rFonts w:ascii="Times New Roman" w:hAnsi="Times New Roman" w:cs="Times New Roman"/>
          <w:b/>
          <w:color w:val="auto"/>
          <w:sz w:val="24"/>
          <w:szCs w:val="24"/>
          <w:lang w:val="en"/>
        </w:rPr>
        <w:lastRenderedPageBreak/>
        <w:t>PRIORITETET AFATMESME N</w:t>
      </w:r>
      <w:r w:rsidR="00642AF5" w:rsidRPr="00D7447D">
        <w:rPr>
          <w:rFonts w:ascii="Times New Roman" w:hAnsi="Times New Roman" w:cs="Times New Roman"/>
          <w:b/>
          <w:color w:val="auto"/>
          <w:sz w:val="24"/>
          <w:szCs w:val="24"/>
          <w:lang w:val="en"/>
        </w:rPr>
        <w:t>Ë</w:t>
      </w:r>
      <w:r w:rsidRPr="00D7447D">
        <w:rPr>
          <w:rFonts w:ascii="Times New Roman" w:hAnsi="Times New Roman" w:cs="Times New Roman"/>
          <w:b/>
          <w:color w:val="auto"/>
          <w:sz w:val="24"/>
          <w:szCs w:val="24"/>
          <w:lang w:val="en"/>
        </w:rPr>
        <w:t xml:space="preserve"> PBA </w:t>
      </w:r>
      <w:r w:rsidR="00C56E02" w:rsidRPr="00D7447D">
        <w:rPr>
          <w:rFonts w:ascii="Times New Roman" w:hAnsi="Times New Roman" w:cs="Times New Roman"/>
          <w:b/>
          <w:color w:val="auto"/>
          <w:sz w:val="24"/>
          <w:szCs w:val="24"/>
          <w:lang w:val="en"/>
        </w:rPr>
        <w:t>202</w:t>
      </w:r>
      <w:r w:rsidR="00A232A2" w:rsidRPr="00D7447D">
        <w:rPr>
          <w:rFonts w:ascii="Times New Roman" w:hAnsi="Times New Roman" w:cs="Times New Roman"/>
          <w:b/>
          <w:color w:val="auto"/>
          <w:sz w:val="24"/>
          <w:szCs w:val="24"/>
          <w:lang w:val="en"/>
        </w:rPr>
        <w:t>3</w:t>
      </w:r>
      <w:r w:rsidR="0077356C" w:rsidRPr="00D7447D">
        <w:rPr>
          <w:rFonts w:ascii="Times New Roman" w:hAnsi="Times New Roman" w:cs="Times New Roman"/>
          <w:b/>
          <w:color w:val="auto"/>
          <w:sz w:val="24"/>
          <w:szCs w:val="24"/>
          <w:lang w:val="en"/>
        </w:rPr>
        <w:t xml:space="preserve"> - 202</w:t>
      </w:r>
      <w:r w:rsidR="00A232A2" w:rsidRPr="00D7447D">
        <w:rPr>
          <w:rFonts w:ascii="Times New Roman" w:hAnsi="Times New Roman" w:cs="Times New Roman"/>
          <w:b/>
          <w:color w:val="auto"/>
          <w:sz w:val="24"/>
          <w:szCs w:val="24"/>
          <w:lang w:val="en"/>
        </w:rPr>
        <w:t>5</w:t>
      </w:r>
      <w:bookmarkEnd w:id="1"/>
      <w:r w:rsidR="003E1FC0" w:rsidRPr="00D7447D">
        <w:rPr>
          <w:rFonts w:ascii="Times New Roman" w:hAnsi="Times New Roman" w:cs="Times New Roman"/>
          <w:b/>
          <w:color w:val="auto"/>
          <w:sz w:val="24"/>
          <w:szCs w:val="24"/>
          <w:lang w:val="en"/>
        </w:rPr>
        <w:t xml:space="preserve"> </w:t>
      </w:r>
    </w:p>
    <w:p w14:paraId="5580B9DA" w14:textId="77777777" w:rsidR="0077356C" w:rsidRPr="00D7447D" w:rsidRDefault="00642AF5" w:rsidP="000B3CCC">
      <w:pPr>
        <w:pStyle w:val="Heading2"/>
        <w:spacing w:line="276" w:lineRule="auto"/>
        <w:rPr>
          <w:rFonts w:ascii="Times New Roman" w:hAnsi="Times New Roman" w:cs="Times New Roman"/>
          <w:i w:val="0"/>
          <w:sz w:val="24"/>
          <w:szCs w:val="24"/>
          <w:lang w:val="en"/>
        </w:rPr>
      </w:pPr>
      <w:bookmarkStart w:id="2" w:name="_Toc115701037"/>
      <w:r w:rsidRPr="00D7447D">
        <w:rPr>
          <w:rFonts w:ascii="Times New Roman" w:hAnsi="Times New Roman" w:cs="Times New Roman"/>
          <w:i w:val="0"/>
          <w:sz w:val="24"/>
          <w:szCs w:val="24"/>
          <w:lang w:val="en"/>
        </w:rPr>
        <w:t>Përmbledhje e trendeve afatmesme të zhvillimit makroekonomik</w:t>
      </w:r>
      <w:bookmarkEnd w:id="2"/>
    </w:p>
    <w:p w14:paraId="63A09EC4" w14:textId="77777777" w:rsidR="007D4292" w:rsidRPr="00D7447D" w:rsidRDefault="007D4292" w:rsidP="000B3CCC">
      <w:pPr>
        <w:autoSpaceDE w:val="0"/>
        <w:autoSpaceDN w:val="0"/>
        <w:adjustRightInd w:val="0"/>
        <w:spacing w:after="0" w:line="276" w:lineRule="auto"/>
        <w:jc w:val="both"/>
        <w:rPr>
          <w:rFonts w:ascii="Times New Roman" w:hAnsi="Times New Roman" w:cs="Times New Roman"/>
          <w:sz w:val="24"/>
          <w:szCs w:val="24"/>
          <w:lang w:val="sq-AL"/>
        </w:rPr>
      </w:pPr>
    </w:p>
    <w:p w14:paraId="23F7A590"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bookmarkStart w:id="3" w:name="_Toc84515330"/>
      <w:r w:rsidRPr="00D7447D">
        <w:rPr>
          <w:rFonts w:ascii="Times New Roman" w:hAnsi="Times New Roman" w:cs="Times New Roman"/>
          <w:sz w:val="24"/>
          <w:szCs w:val="24"/>
          <w:lang w:val="sq-AL"/>
        </w:rPr>
        <w:t>Pas recesionit të fortë prej -3.5 përqind në vitin 2020, ekonomia është rimëkëmbur fuqishëm në vitin 2021, në normën prej 8.5 përqind dhe parashikohet të vijojë trendin pozitiv në periudhën afatmesme në vijim. Rritja ekonomike parashikohet më e përmbajtur në vitet në vazhdim, në normën 4.1 përqind në vitin 2022 dhe parashikohet mesatarisht rreth 4 përqind në vit përgjatë periudhës afatmesme në vijim 2023-2025. Më specifikisht, rritja ekonomike parashikohet në 4.2, 3.9 dhe 3.9 përqind respektivisht për vitet 2023, 2024 dhe 2025.</w:t>
      </w:r>
    </w:p>
    <w:p w14:paraId="6E974F6A"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b/>
          <w:sz w:val="24"/>
          <w:szCs w:val="24"/>
          <w:lang w:val="sq-AL"/>
        </w:rPr>
        <w:t xml:space="preserve">                Grafiku nr.1 </w:t>
      </w:r>
      <w:r w:rsidRPr="00D7447D">
        <w:rPr>
          <w:rFonts w:ascii="Times New Roman" w:hAnsi="Times New Roman" w:cs="Times New Roman"/>
          <w:sz w:val="24"/>
          <w:szCs w:val="24"/>
          <w:lang w:val="sq-AL"/>
        </w:rPr>
        <w:t>Rritja Reale e PBB në %</w:t>
      </w:r>
    </w:p>
    <w:p w14:paraId="3DCE8800" w14:textId="77777777" w:rsidR="007D4292" w:rsidRPr="00D7447D" w:rsidRDefault="007D4292" w:rsidP="000B3CCC">
      <w:pPr>
        <w:spacing w:before="120" w:after="120" w:line="276" w:lineRule="auto"/>
        <w:jc w:val="center"/>
        <w:rPr>
          <w:rFonts w:ascii="Times New Roman"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01CFDBC0" wp14:editId="1E2DFB1E">
            <wp:extent cx="4624070" cy="2182483"/>
            <wp:effectExtent l="0" t="0" r="508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6689" cy="2183719"/>
                    </a:xfrm>
                    <a:prstGeom prst="rect">
                      <a:avLst/>
                    </a:prstGeom>
                    <a:noFill/>
                    <a:ln>
                      <a:noFill/>
                    </a:ln>
                  </pic:spPr>
                </pic:pic>
              </a:graphicData>
            </a:graphic>
          </wp:inline>
        </w:drawing>
      </w:r>
    </w:p>
    <w:p w14:paraId="37443075" w14:textId="77777777" w:rsidR="007D4292" w:rsidRPr="00D7447D" w:rsidRDefault="007D4292" w:rsidP="000B3CCC">
      <w:pPr>
        <w:spacing w:before="120" w:after="120" w:line="276" w:lineRule="auto"/>
        <w:jc w:val="both"/>
        <w:rPr>
          <w:rFonts w:ascii="Times New Roman" w:hAnsi="Times New Roman" w:cs="Times New Roman"/>
          <w:i/>
          <w:sz w:val="24"/>
          <w:szCs w:val="24"/>
          <w:lang w:val="sq-AL"/>
        </w:rPr>
      </w:pPr>
      <w:r w:rsidRPr="00D7447D">
        <w:rPr>
          <w:rFonts w:ascii="Times New Roman" w:hAnsi="Times New Roman" w:cs="Times New Roman"/>
          <w:i/>
          <w:sz w:val="24"/>
          <w:szCs w:val="24"/>
          <w:lang w:val="sq-AL"/>
        </w:rPr>
        <w:t xml:space="preserve">                Burimi: Ministria e Financave dhe Ekonomisë, Janar 2022</w:t>
      </w:r>
    </w:p>
    <w:p w14:paraId="4E03C4C8"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Gjatë periudhës afatmesme rritja pritet të gjenerohet kryesisht nga kërkesa e brendshme, si konsumi ashtu edhe investimet. Ndërkohë kërkesa e huaj neto (eksport – import) pritet të ketë një efekt të moderuar pozitiv. Konsumi privat parashikohet të jetë sërish nxitësi kryesor i rritjes së PBB-së, stimuluar kryesisht nga përmirësimi i besimit të konsumatorit, si dhe nga përmirësimi në tregun e punës. Këto të fundit priten të transmetohen në një rritje graduale të pagave të cilat më tej pritet të stimulojnë të ardhurat reale të disponueshme të individëve, duke krijuar efektin e raundit të dytë në nxitjen e konsumit, si dhe duke intensifikuar prirjen e konsumatorëve për financimin e mëtejshëm të konsumit nëpërmjet një kredi-marrje më të lartë. Ndërkohë, kredimarrja për konsum parashikohet të nxitet edhe nga përmirësimi i pritshëm i kushteve financiare të individëve, ashtu edhe nga lehtësimi i pritshëm i standardeve të huadhënies nga sistemi bankar në periudhën afatmesme, pas kapërcimit të efektit negativ nga goditja e pandemisë.</w:t>
      </w:r>
      <w:bookmarkStart w:id="4" w:name="_GoBack"/>
      <w:bookmarkEnd w:id="4"/>
    </w:p>
    <w:p w14:paraId="01A1030D"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Ndërsa rritja graduale e investimeve pritet të nxitet nga një shfrytëzim më i intensifikuar i kapaciteteve ekzistuese të prodhimit, si dhe nga përshpejtimi i aktivitetit ekonomik gjatë periudhës së parashikuar dhe perceptimi i përmirësuar i biznesit mbi perspektivën ekonomike afatmesme e afatgjatë. Njëkohësisht edhe përmirësimi i kushteve financiare dhe lehtësimit të standardeve të huadhënies priten të jenë një faktor i rëndësishëm incentivues i investimeve private në afatin e mesëm.</w:t>
      </w:r>
    </w:p>
    <w:p w14:paraId="18FECDC3"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lastRenderedPageBreak/>
        <w:t xml:space="preserve">Specifikisht, konsumi final total për periudhën afatmesme (2023 – 2025) parashikohet të rritet në terma real me mesatarisht rreth 2.7 përqind në vit, duke kontribuar me mesatarisht rreth 2.5 pikë përqindje në vit në rritjen e PBB. Ndërsa investimet totale në ekonomi parashikohen të rriten në terma real mesatarisht në rreth 3.9 përqind në vitet 2023-2025, me një kontribut mesatar në rritjen totale prej rreth 0.9 pikë përqindje në vit. </w:t>
      </w:r>
    </w:p>
    <w:p w14:paraId="022862A0"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Kërkesa e huaj neto pritet të ketë një kontribut pozitiv të moderuar në periudhën afatmesme. Eksportet e mallrave të cilat zakonisht kanë pasur performancë të mirë në vite, priten të vazhdojnë këtë trend pozitiv dhe të ruajnë ritmet e kaluara. Eksportet e shërbimeve, veçanërisht shërbimet turistike, priten gjithashtu të rikthejnë performancën pozitive në periudhën afatmesme dhe të jenë elementi kryesor për të kompensuar kontributin negativ të ardhur prej rritjes së importeve.</w:t>
      </w:r>
    </w:p>
    <w:p w14:paraId="625C3641"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Megjithëse politika fiskale do të vazhdojë të jetë e orientuar drejt konsolidimit në periudhën afatmesme dhe afatgjatë, politika buxhetore e qeverisë për të ruajtur një nivel të investimeve publike në mbi 5 përqind të PBB në vitet 2023-2025 do të stimulojë formimin e kapitalit fiks bruto në ekonomi, esenciale kjo për të mbështetur nivele relativisht të larta rritje në periudhën afatmesme dhe afatgjatë. Në të njëjtën kohë, pritshmëritë për vijimin e kushteve relativisht të favorshme për financim në tregun financiar, do të mbështesë konsumin privat dhe investimet.</w:t>
      </w:r>
    </w:p>
    <w:p w14:paraId="069A3E90" w14:textId="77777777" w:rsidR="007D4292" w:rsidRPr="00D7447D" w:rsidRDefault="007D4292"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Konsolidimi fiskal i synuar nga qeveria do të kufizojë kërkesën e përgjithshme të sektorit publik. Si i tillë, nuk pritet të jetë një nxitës i rritjes në periudhën afatmesme. Megjithatë, konsolidimi fiskal do të ulë primin e riskut në periudhën afatmesme dhe do të rrisë hapësirat për stimul në sektorin privat, fondamente mjaft të rëndësishme këto për sigurimin e një rritje të lartë e të qëndrueshme. Në të njëjtën kohë, komponentët e politikave buxhetore të planifikuara do të mbështesin rritjen dhe për këtë arsye efekti shtrëngues i konsolidimit fiskal pritet të kompensohet.</w:t>
      </w:r>
    </w:p>
    <w:p w14:paraId="665ECC10" w14:textId="77777777" w:rsidR="007D4292" w:rsidRPr="00D7447D" w:rsidRDefault="007D4292" w:rsidP="000B3CCC">
      <w:pPr>
        <w:autoSpaceDE w:val="0"/>
        <w:autoSpaceDN w:val="0"/>
        <w:adjustRightInd w:val="0"/>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Nga pikëpamja e ofertës agregate pritet që të gjithë sektorët kryesorë të vazhdojnë të rriten pak a shumë me të njëjtin trend të mesatares së tyre historike. Megjithatë, për shkak të peshës së tyre ndaj strukturës së ofertës agregate, shërbimet pritet të kontribuojnë më shumë sesa sektorët e tjerë në rritjen e PBB.</w:t>
      </w:r>
    </w:p>
    <w:p w14:paraId="5DC77307" w14:textId="77777777" w:rsidR="007D4292" w:rsidRPr="00D7447D" w:rsidRDefault="007D4292" w:rsidP="000B3CCC">
      <w:pPr>
        <w:autoSpaceDE w:val="0"/>
        <w:autoSpaceDN w:val="0"/>
        <w:adjustRightInd w:val="0"/>
        <w:spacing w:after="0" w:line="276" w:lineRule="auto"/>
        <w:jc w:val="both"/>
        <w:rPr>
          <w:rFonts w:ascii="Times New Roman" w:hAnsi="Times New Roman" w:cs="Times New Roman"/>
          <w:sz w:val="24"/>
          <w:szCs w:val="24"/>
          <w:lang w:val="sq-AL"/>
        </w:rPr>
      </w:pPr>
    </w:p>
    <w:p w14:paraId="4794BEFD" w14:textId="77777777" w:rsidR="007D4292" w:rsidRPr="00D7447D" w:rsidRDefault="007D4292" w:rsidP="000B3CCC">
      <w:pPr>
        <w:numPr>
          <w:ilvl w:val="0"/>
          <w:numId w:val="35"/>
        </w:numPr>
        <w:autoSpaceDE w:val="0"/>
        <w:autoSpaceDN w:val="0"/>
        <w:adjustRightInd w:val="0"/>
        <w:spacing w:after="60" w:line="276" w:lineRule="auto"/>
        <w:ind w:left="714" w:hanging="357"/>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Ky kuadër fiskal synon një deficit fiskal të përgjithshëm prej 2.9 përqind të PBB-së për 2023, nga 5.4 përqind i programuar për vitin 2022; nivel prej 2.8 përqind të PBB në 2024 dhe 2025.</w:t>
      </w:r>
    </w:p>
    <w:p w14:paraId="306FDBE2" w14:textId="77777777" w:rsidR="007D4292" w:rsidRPr="00D7447D" w:rsidRDefault="007D4292" w:rsidP="000B3CCC">
      <w:pPr>
        <w:numPr>
          <w:ilvl w:val="0"/>
          <w:numId w:val="35"/>
        </w:numPr>
        <w:autoSpaceDE w:val="0"/>
        <w:autoSpaceDN w:val="0"/>
        <w:adjustRightInd w:val="0"/>
        <w:spacing w:after="60" w:line="276" w:lineRule="auto"/>
        <w:ind w:left="714" w:hanging="357"/>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Njëkohësisht, si rrjedhojë e dy goditjeve të njëpasnjëshme fillimisht nga tërmeti dhe më pas shumë më fort nga pandemia Covid-19, balanca primare pritet të jetë në balancë për vitin 2023, në vlerën 0, me përmirësim të ndjeshëm nga niveli negativ prej 2.7 përqind që pritet për 2022, ndërkohë që targetohet në vijimësi rikthimi në vlera pozitive që prej vitit 2024 me 0.3 përqind dhe 0.5 përqind në vitin 2025.</w:t>
      </w:r>
    </w:p>
    <w:p w14:paraId="4E533D20" w14:textId="77777777" w:rsidR="007D4292" w:rsidRPr="00D7447D" w:rsidRDefault="007D4292" w:rsidP="000B3CCC">
      <w:pPr>
        <w:autoSpaceDE w:val="0"/>
        <w:autoSpaceDN w:val="0"/>
        <w:adjustRightInd w:val="0"/>
        <w:spacing w:after="60" w:line="276" w:lineRule="auto"/>
        <w:jc w:val="both"/>
        <w:rPr>
          <w:rFonts w:ascii="Times New Roman" w:hAnsi="Times New Roman" w:cs="Times New Roman"/>
          <w:sz w:val="24"/>
          <w:szCs w:val="24"/>
          <w:lang w:val="sq-AL"/>
        </w:rPr>
      </w:pPr>
    </w:p>
    <w:p w14:paraId="6A5CCE29" w14:textId="77777777" w:rsidR="007D4292" w:rsidRPr="00D7447D" w:rsidRDefault="007D4292" w:rsidP="000B3CCC">
      <w:pPr>
        <w:numPr>
          <w:ilvl w:val="0"/>
          <w:numId w:val="35"/>
        </w:numPr>
        <w:autoSpaceDE w:val="0"/>
        <w:autoSpaceDN w:val="0"/>
        <w:adjustRightInd w:val="0"/>
        <w:spacing w:after="0" w:line="276" w:lineRule="auto"/>
        <w:contextualSpacing/>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 xml:space="preserve">Lidhur me balancën primare, i cili është një parametër shumë i rëndësishëm i qendrueshmërisë afatgjatë të financave publike, në Korrik të 2020 u ndëmorr një tjetër iniciativë ligjore duke përfshirë një rregull të ri fiskal në LOB, në linjë edhe me </w:t>
      </w:r>
      <w:r w:rsidRPr="00D7447D">
        <w:rPr>
          <w:rFonts w:ascii="Times New Roman" w:hAnsi="Times New Roman" w:cs="Times New Roman"/>
          <w:sz w:val="24"/>
          <w:szCs w:val="24"/>
          <w:lang w:val="sq-AL"/>
        </w:rPr>
        <w:lastRenderedPageBreak/>
        <w:t>rekomandimet e KE dhe me parimet kryesore të “aquis” të BE, i cili bën të detyrueshëm ligjërisht tashmë që duke filluar që prej vitit buxhetor 2024 e në vijim balanca primare faktike nuk mund të rezultojë negative, pra duhet të jetë së paku e balancuar ose pozitive (suficit primar).</w:t>
      </w:r>
      <w:r w:rsidRPr="00D7447D">
        <w:rPr>
          <w:rStyle w:val="FootnoteReference"/>
          <w:rFonts w:ascii="Times New Roman" w:hAnsi="Times New Roman" w:cs="Times New Roman"/>
          <w:sz w:val="24"/>
          <w:szCs w:val="24"/>
          <w:lang w:val="sq-AL"/>
        </w:rPr>
        <w:footnoteReference w:id="1"/>
      </w:r>
      <w:r w:rsidRPr="00D7447D">
        <w:rPr>
          <w:rFonts w:ascii="Times New Roman" w:hAnsi="Times New Roman" w:cs="Times New Roman"/>
          <w:sz w:val="24"/>
          <w:szCs w:val="24"/>
          <w:lang w:val="sq-AL"/>
        </w:rPr>
        <w:t xml:space="preserve"> Ky target i parametrit të balancës primare buxhetore do të përbëjë tashmë dhe në vijimësi objektivin kryesor operativ të politikës fiskale për të materializuar synimin e një trajektore vijimësisht rënëse të borxhit publik, pra duke synuar konsolidim të vijueshëm fiskal me qëllim garantimin e qendrueshmërisë së financave publike si një fondament kyç i stabilitetit makroekonomik dhe mbarë-vajtjes së ekonomisë së vendit. Më konkretisht, duke marrë të mirëqena supozimet dhe projeksionet e tjera të KMF aktual, respektimi në mënyrë të përvitshme i këtij objektivi (rregulli fiskal) të parametrit të balancës primare, pritet të çojë në një reduktim të nivelit të borxhit publik bruto rreth nivelit prej 74.6 përqind të PBB deri në vitin 2025 nga rreth 80.1 përqind që pritet të rezultojë në 2021.</w:t>
      </w:r>
    </w:p>
    <w:p w14:paraId="055DFD6C" w14:textId="77777777" w:rsidR="007D4292" w:rsidRPr="00D7447D" w:rsidRDefault="007D4292" w:rsidP="000B3CCC">
      <w:pPr>
        <w:autoSpaceDE w:val="0"/>
        <w:autoSpaceDN w:val="0"/>
        <w:adjustRightInd w:val="0"/>
        <w:spacing w:after="0" w:line="276" w:lineRule="auto"/>
        <w:ind w:left="360"/>
        <w:contextualSpacing/>
        <w:jc w:val="both"/>
        <w:rPr>
          <w:rFonts w:ascii="Times New Roman" w:hAnsi="Times New Roman" w:cs="Times New Roman"/>
          <w:sz w:val="24"/>
          <w:szCs w:val="24"/>
          <w:lang w:val="sq-AL"/>
        </w:rPr>
        <w:sectPr w:rsidR="007D4292" w:rsidRPr="00D7447D" w:rsidSect="00D7447D">
          <w:footerReference w:type="default" r:id="rId10"/>
          <w:footerReference w:type="first" r:id="rId11"/>
          <w:pgSz w:w="11907" w:h="16839" w:code="9"/>
          <w:pgMar w:top="1440" w:right="1440" w:bottom="1440" w:left="1440" w:header="720" w:footer="720" w:gutter="0"/>
          <w:pgNumType w:start="0"/>
          <w:cols w:space="720"/>
          <w:titlePg/>
          <w:docGrid w:linePitch="360"/>
        </w:sectPr>
      </w:pPr>
    </w:p>
    <w:p w14:paraId="38092A94" w14:textId="44EC478F" w:rsidR="000D6665" w:rsidRPr="00D7447D" w:rsidRDefault="00C25C51" w:rsidP="000B3CCC">
      <w:pPr>
        <w:pStyle w:val="Heading2"/>
        <w:spacing w:line="276" w:lineRule="auto"/>
        <w:rPr>
          <w:rFonts w:ascii="Times New Roman" w:hAnsi="Times New Roman" w:cs="Times New Roman"/>
          <w:i w:val="0"/>
          <w:sz w:val="24"/>
          <w:szCs w:val="24"/>
          <w:lang w:val="en"/>
        </w:rPr>
      </w:pPr>
      <w:bookmarkStart w:id="5" w:name="_Toc115701038"/>
      <w:bookmarkEnd w:id="3"/>
      <w:r w:rsidRPr="00D7447D">
        <w:rPr>
          <w:rFonts w:ascii="Times New Roman" w:hAnsi="Times New Roman" w:cs="Times New Roman"/>
          <w:i w:val="0"/>
          <w:sz w:val="24"/>
          <w:szCs w:val="24"/>
          <w:lang w:val="en"/>
        </w:rPr>
        <w:lastRenderedPageBreak/>
        <w:t>Prioritetet buxhetore afatmesme</w:t>
      </w:r>
      <w:r w:rsidR="00C56E02" w:rsidRPr="00D7447D">
        <w:rPr>
          <w:rFonts w:ascii="Times New Roman" w:hAnsi="Times New Roman" w:cs="Times New Roman"/>
          <w:i w:val="0"/>
          <w:sz w:val="24"/>
          <w:szCs w:val="24"/>
          <w:lang w:val="en"/>
        </w:rPr>
        <w:t xml:space="preserve"> </w:t>
      </w:r>
      <w:r w:rsidR="007944B0" w:rsidRPr="00D7447D">
        <w:rPr>
          <w:rFonts w:ascii="Times New Roman" w:hAnsi="Times New Roman" w:cs="Times New Roman"/>
          <w:i w:val="0"/>
          <w:sz w:val="24"/>
          <w:szCs w:val="24"/>
          <w:lang w:val="en"/>
        </w:rPr>
        <w:t>202</w:t>
      </w:r>
      <w:r w:rsidR="00FA0D65" w:rsidRPr="00D7447D">
        <w:rPr>
          <w:rFonts w:ascii="Times New Roman" w:hAnsi="Times New Roman" w:cs="Times New Roman"/>
          <w:i w:val="0"/>
          <w:sz w:val="24"/>
          <w:szCs w:val="24"/>
          <w:lang w:val="en"/>
        </w:rPr>
        <w:t>3</w:t>
      </w:r>
      <w:r w:rsidR="007944B0" w:rsidRPr="00D7447D">
        <w:rPr>
          <w:rFonts w:ascii="Times New Roman" w:hAnsi="Times New Roman" w:cs="Times New Roman"/>
          <w:i w:val="0"/>
          <w:sz w:val="24"/>
          <w:szCs w:val="24"/>
          <w:lang w:val="en"/>
        </w:rPr>
        <w:t>-202</w:t>
      </w:r>
      <w:r w:rsidR="00FA0D65" w:rsidRPr="00D7447D">
        <w:rPr>
          <w:rFonts w:ascii="Times New Roman" w:hAnsi="Times New Roman" w:cs="Times New Roman"/>
          <w:i w:val="0"/>
          <w:sz w:val="24"/>
          <w:szCs w:val="24"/>
          <w:lang w:val="en"/>
        </w:rPr>
        <w:t>5</w:t>
      </w:r>
      <w:bookmarkEnd w:id="5"/>
      <w:r w:rsidR="0077356C" w:rsidRPr="00D7447D">
        <w:rPr>
          <w:rFonts w:ascii="Times New Roman" w:hAnsi="Times New Roman" w:cs="Times New Roman"/>
          <w:i w:val="0"/>
          <w:sz w:val="24"/>
          <w:szCs w:val="24"/>
          <w:lang w:val="en"/>
        </w:rPr>
        <w:t xml:space="preserve"> </w:t>
      </w:r>
    </w:p>
    <w:p w14:paraId="52B34F99" w14:textId="77777777" w:rsidR="00BC0573" w:rsidRPr="00D7447D" w:rsidRDefault="00BC0573" w:rsidP="000B3CCC">
      <w:pPr>
        <w:pStyle w:val="Default"/>
        <w:spacing w:line="276" w:lineRule="auto"/>
        <w:jc w:val="both"/>
        <w:rPr>
          <w:rFonts w:ascii="Times New Roman" w:hAnsi="Times New Roman" w:cs="Times New Roman"/>
          <w:color w:val="auto"/>
          <w:lang w:val="sq-AL"/>
        </w:rPr>
      </w:pPr>
    </w:p>
    <w:p w14:paraId="67A75EC8" w14:textId="77777777" w:rsidR="00DE0093" w:rsidRPr="00D7447D" w:rsidRDefault="00DE0093" w:rsidP="000B3CCC">
      <w:pPr>
        <w:pStyle w:val="Default"/>
        <w:spacing w:after="120" w:line="276" w:lineRule="auto"/>
        <w:jc w:val="both"/>
        <w:rPr>
          <w:rFonts w:ascii="Times New Roman" w:hAnsi="Times New Roman" w:cs="Times New Roman"/>
          <w:color w:val="auto"/>
          <w:lang w:val="sq-AL"/>
        </w:rPr>
      </w:pPr>
      <w:bookmarkStart w:id="6" w:name="_Toc115701039"/>
      <w:r w:rsidRPr="00D7447D">
        <w:rPr>
          <w:rFonts w:ascii="Times New Roman" w:hAnsi="Times New Roman" w:cs="Times New Roman"/>
          <w:color w:val="auto"/>
          <w:lang w:val="sq-AL"/>
        </w:rPr>
        <w:t>Gjatë ciklit afatmesëm 2023 – 2025, parashikohet vijimi i ofrimit të shërbimeve për qytetarët në arsim, shëndetësi, transport, bujqësi etj me standarde dhe cilësi si dhe financimi i disa politikave të reja të nisura përgjatë vitit 2022 të cilat paraqiten të detajuara si vijon:</w:t>
      </w:r>
    </w:p>
    <w:p w14:paraId="1AEBFE44" w14:textId="77777777" w:rsidR="00DE0093" w:rsidRPr="00D7447D" w:rsidRDefault="00DE0093" w:rsidP="000B3CCC">
      <w:pPr>
        <w:spacing w:line="276" w:lineRule="auto"/>
        <w:jc w:val="both"/>
        <w:rPr>
          <w:rFonts w:ascii="Times New Roman" w:hAnsi="Times New Roman" w:cs="Times New Roman"/>
          <w:sz w:val="24"/>
          <w:szCs w:val="24"/>
          <w:lang w:val="sq-AL"/>
        </w:rPr>
      </w:pPr>
      <w:r w:rsidRPr="00D7447D">
        <w:rPr>
          <w:rFonts w:ascii="Times New Roman" w:hAnsi="Times New Roman" w:cs="Times New Roman"/>
          <w:b/>
          <w:sz w:val="24"/>
          <w:szCs w:val="24"/>
          <w:lang w:val="sq-AL"/>
        </w:rPr>
        <w:t>Programi i Qeverisë 2021–2025</w:t>
      </w:r>
      <w:r w:rsidRPr="00D7447D">
        <w:rPr>
          <w:rFonts w:ascii="Times New Roman" w:hAnsi="Times New Roman" w:cs="Times New Roman"/>
          <w:sz w:val="24"/>
          <w:szCs w:val="24"/>
          <w:lang w:val="sq-AL"/>
        </w:rPr>
        <w:t xml:space="preserve"> e ka vënë fokusin te </w:t>
      </w:r>
      <w:r w:rsidRPr="00D7447D">
        <w:rPr>
          <w:rFonts w:ascii="Times New Roman" w:hAnsi="Times New Roman" w:cs="Times New Roman"/>
          <w:b/>
          <w:sz w:val="24"/>
          <w:szCs w:val="24"/>
          <w:lang w:val="sq-AL"/>
        </w:rPr>
        <w:t>punësimi dhe zhvillimi cilësor i forcës së punës</w:t>
      </w:r>
      <w:r w:rsidRPr="00D7447D">
        <w:rPr>
          <w:rFonts w:ascii="Times New Roman" w:hAnsi="Times New Roman" w:cs="Times New Roman"/>
          <w:sz w:val="24"/>
          <w:szCs w:val="24"/>
          <w:lang w:val="sq-AL"/>
        </w:rPr>
        <w:t>, në përputhje me vizionin dhe direktivat e Bashkimit Europian, Strategjisë Europiane të Punësimit, si dhe kërkesave për integrimin europian të Shqipërisë në EU.</w:t>
      </w:r>
    </w:p>
    <w:p w14:paraId="10479749" w14:textId="2D388AEA" w:rsidR="00A47CD7" w:rsidRPr="00D7447D" w:rsidRDefault="00A47CD7" w:rsidP="00A47CD7">
      <w:pPr>
        <w:spacing w:before="120" w:after="120" w:line="276" w:lineRule="auto"/>
        <w:jc w:val="both"/>
        <w:rPr>
          <w:rFonts w:ascii="Times New Roman" w:eastAsiaTheme="minorHAnsi" w:hAnsi="Times New Roman" w:cs="Times New Roman"/>
          <w:sz w:val="24"/>
          <w:szCs w:val="24"/>
          <w:lang w:val="sq-AL"/>
        </w:rPr>
      </w:pPr>
      <w:r w:rsidRPr="00A47CD7">
        <w:rPr>
          <w:rFonts w:ascii="Times New Roman" w:eastAsiaTheme="minorHAnsi" w:hAnsi="Times New Roman" w:cs="Times New Roman"/>
          <w:b/>
          <w:sz w:val="24"/>
          <w:szCs w:val="24"/>
          <w:lang w:val="sq-AL"/>
        </w:rPr>
        <w:t>Gjatë periudhës 2022-2025</w:t>
      </w:r>
      <w:r>
        <w:rPr>
          <w:rFonts w:ascii="Times New Roman" w:eastAsiaTheme="minorHAnsi" w:hAnsi="Times New Roman" w:cs="Times New Roman"/>
          <w:sz w:val="24"/>
          <w:szCs w:val="24"/>
          <w:lang w:val="sq-AL"/>
        </w:rPr>
        <w:t xml:space="preserve"> </w:t>
      </w:r>
      <w:r w:rsidRPr="00D7447D">
        <w:rPr>
          <w:rFonts w:ascii="Times New Roman" w:eastAsiaTheme="minorHAnsi" w:hAnsi="Times New Roman" w:cs="Times New Roman"/>
          <w:sz w:val="24"/>
          <w:szCs w:val="24"/>
          <w:lang w:val="sq-AL"/>
        </w:rPr>
        <w:t xml:space="preserve">synohet të punësohen në total </w:t>
      </w:r>
      <w:r w:rsidRPr="00A47CD7">
        <w:rPr>
          <w:rFonts w:ascii="Times New Roman" w:eastAsiaTheme="minorHAnsi" w:hAnsi="Times New Roman" w:cs="Times New Roman"/>
          <w:b/>
          <w:sz w:val="24"/>
          <w:szCs w:val="24"/>
          <w:lang w:val="sq-AL"/>
        </w:rPr>
        <w:t>7,260 të papunë nga grupet e veçanta</w:t>
      </w:r>
      <w:r w:rsidRPr="00D7447D">
        <w:rPr>
          <w:rFonts w:ascii="Times New Roman" w:eastAsiaTheme="minorHAnsi" w:hAnsi="Times New Roman" w:cs="Times New Roman"/>
          <w:sz w:val="24"/>
          <w:szCs w:val="24"/>
          <w:lang w:val="sq-AL"/>
        </w:rPr>
        <w:t xml:space="preserve">, të përfshihen në </w:t>
      </w:r>
      <w:r w:rsidRPr="00A47CD7">
        <w:rPr>
          <w:rFonts w:ascii="Times New Roman" w:eastAsiaTheme="minorHAnsi" w:hAnsi="Times New Roman" w:cs="Times New Roman"/>
          <w:i/>
          <w:sz w:val="24"/>
          <w:szCs w:val="24"/>
          <w:lang w:val="sq-AL"/>
        </w:rPr>
        <w:t>programet e nxitjes së punësimit të praktikave profesionale</w:t>
      </w:r>
      <w:r w:rsidRPr="00D7447D">
        <w:rPr>
          <w:rFonts w:ascii="Times New Roman" w:eastAsiaTheme="minorHAnsi" w:hAnsi="Times New Roman" w:cs="Times New Roman"/>
          <w:sz w:val="24"/>
          <w:szCs w:val="24"/>
          <w:lang w:val="sq-AL"/>
        </w:rPr>
        <w:t xml:space="preserve"> rreth </w:t>
      </w:r>
      <w:r w:rsidRPr="00A47CD7">
        <w:rPr>
          <w:rFonts w:ascii="Times New Roman" w:eastAsiaTheme="minorHAnsi" w:hAnsi="Times New Roman" w:cs="Times New Roman"/>
          <w:b/>
          <w:sz w:val="24"/>
          <w:szCs w:val="24"/>
          <w:lang w:val="sq-AL"/>
        </w:rPr>
        <w:t>2,250 të rinj të sapodiplomuar në Arsimin e Lartë</w:t>
      </w:r>
      <w:r w:rsidRPr="00D7447D">
        <w:rPr>
          <w:rFonts w:ascii="Times New Roman" w:eastAsiaTheme="minorHAnsi" w:hAnsi="Times New Roman" w:cs="Times New Roman"/>
          <w:sz w:val="24"/>
          <w:szCs w:val="24"/>
          <w:lang w:val="sq-AL"/>
        </w:rPr>
        <w:t xml:space="preserve">; të punësohen në total rreth </w:t>
      </w:r>
      <w:r w:rsidRPr="00A47CD7">
        <w:rPr>
          <w:rFonts w:ascii="Times New Roman" w:eastAsiaTheme="minorHAnsi" w:hAnsi="Times New Roman" w:cs="Times New Roman"/>
          <w:b/>
          <w:sz w:val="24"/>
          <w:szCs w:val="24"/>
          <w:lang w:val="sq-AL"/>
        </w:rPr>
        <w:t>900 gra kryefamiljare me fëmijë në ngarkim dhe vajza nëna</w:t>
      </w:r>
      <w:r w:rsidRPr="00D7447D">
        <w:rPr>
          <w:rFonts w:ascii="Times New Roman" w:eastAsiaTheme="minorHAnsi" w:hAnsi="Times New Roman" w:cs="Times New Roman"/>
          <w:sz w:val="24"/>
          <w:szCs w:val="24"/>
          <w:lang w:val="sq-AL"/>
        </w:rPr>
        <w:t xml:space="preserve">; si dhe të trajnohen nëpërmjet programeve të nxitjes së punësimit rreth </w:t>
      </w:r>
      <w:r w:rsidRPr="00A47CD7">
        <w:rPr>
          <w:rFonts w:ascii="Times New Roman" w:eastAsiaTheme="minorHAnsi" w:hAnsi="Times New Roman" w:cs="Times New Roman"/>
          <w:i/>
          <w:sz w:val="24"/>
          <w:szCs w:val="24"/>
          <w:lang w:val="sq-AL"/>
        </w:rPr>
        <w:t>5,100 të papunë</w:t>
      </w:r>
      <w:r w:rsidRPr="00D7447D">
        <w:rPr>
          <w:rFonts w:ascii="Times New Roman" w:eastAsiaTheme="minorHAnsi" w:hAnsi="Times New Roman" w:cs="Times New Roman"/>
          <w:sz w:val="24"/>
          <w:szCs w:val="24"/>
          <w:lang w:val="sq-AL"/>
        </w:rPr>
        <w:t xml:space="preserve"> të trajtuar më parë me ndihmë ekonomike.</w:t>
      </w:r>
    </w:p>
    <w:p w14:paraId="798D6DB1" w14:textId="77777777" w:rsidR="00DE0093" w:rsidRPr="00D7447D" w:rsidRDefault="00DE0093" w:rsidP="000B3CCC">
      <w:pPr>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b/>
          <w:sz w:val="24"/>
          <w:szCs w:val="24"/>
          <w:lang w:val="sq-AL"/>
        </w:rPr>
        <w:t>Mbështetja e fermerëve ku synohet</w:t>
      </w:r>
      <w:r w:rsidRPr="00D7447D">
        <w:rPr>
          <w:rFonts w:ascii="Times New Roman" w:eastAsia="Times New Roman" w:hAnsi="Times New Roman" w:cs="Times New Roman"/>
          <w:noProof/>
          <w:sz w:val="24"/>
          <w:szCs w:val="24"/>
          <w:lang w:val="sq-AL"/>
        </w:rPr>
        <w:t xml:space="preserve"> </w:t>
      </w:r>
      <w:r w:rsidRPr="00D7447D">
        <w:rPr>
          <w:rFonts w:ascii="Times New Roman" w:hAnsi="Times New Roman" w:cs="Times New Roman"/>
          <w:sz w:val="24"/>
          <w:szCs w:val="24"/>
          <w:lang w:val="sq-AL"/>
        </w:rPr>
        <w:t>zhvillimi i sektorit të bujqësisë dhe atij rural në Shqipëri, për të përmirësuar performancën e tyre ekonomike dhe kushtet e jetesës në zonat rurale, për t'i përgatitur këta sektorë për anëtarësimin e ardhshëm në BE, duke rritur:</w:t>
      </w:r>
    </w:p>
    <w:p w14:paraId="41B60ECB" w14:textId="77777777" w:rsidR="00DE0093" w:rsidRPr="00D7447D" w:rsidRDefault="00DE0093"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Numrin e të punësuarëve në bujqësi dhe agropërpunim (nga 549.470 të punësuar të parashikuar në vitin 2022 në 565.954 të punësuar në vitin 2023).</w:t>
      </w:r>
    </w:p>
    <w:p w14:paraId="00626661" w14:textId="77777777" w:rsidR="00DE0093" w:rsidRPr="00D7447D" w:rsidRDefault="00DE0093"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Aktivitetet promovuese të produkteve shqiptare në bujqësi, blegtori dhe agropërpunim.</w:t>
      </w:r>
    </w:p>
    <w:p w14:paraId="59FE488A" w14:textId="77777777" w:rsidR="00DE0093" w:rsidRPr="00D7447D" w:rsidRDefault="00DE0093"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Rritja e volumit të eksportit të produkteve bujqësore dhe të agropërpunimit nga 47.4 miliardë lekë në vitin 2022 në 50.7 miliardë lekë në vitin 2023.</w:t>
      </w:r>
    </w:p>
    <w:p w14:paraId="0B31C3E8" w14:textId="77777777" w:rsidR="00DE0093" w:rsidRPr="00D7447D" w:rsidRDefault="00DE0093" w:rsidP="000B3CCC">
      <w:p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b/>
          <w:sz w:val="24"/>
          <w:szCs w:val="24"/>
          <w:lang w:val="sq-AL" w:eastAsia="en-GB"/>
        </w:rPr>
        <w:t xml:space="preserve">Përmirësimi i konkurrueshmërisë së bujqësisë dhe industrisë agro-ushqimore </w:t>
      </w:r>
      <w:r w:rsidRPr="00D7447D">
        <w:rPr>
          <w:rFonts w:ascii="Times New Roman" w:eastAsia="Arial" w:hAnsi="Times New Roman" w:cs="Times New Roman"/>
          <w:sz w:val="24"/>
          <w:szCs w:val="24"/>
          <w:lang w:val="sq-AL" w:eastAsia="en-GB"/>
        </w:rPr>
        <w:t xml:space="preserve">si dhe përmirësimi i cilësisë së jetës përmes nxitjes së shumëllojshmërisë së veprimtarive ekonomike në zonat rurale, nëpërmjet: </w:t>
      </w:r>
    </w:p>
    <w:p w14:paraId="35B22ABD" w14:textId="77777777" w:rsidR="00D7447D" w:rsidRPr="00D7447D" w:rsidRDefault="00D7447D" w:rsidP="000B3CCC">
      <w:pPr>
        <w:numPr>
          <w:ilvl w:val="1"/>
          <w:numId w:val="8"/>
        </w:numPr>
        <w:spacing w:after="0" w:line="276" w:lineRule="auto"/>
        <w:ind w:left="360"/>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Shtimit të numrit të përfituesëve nga Skemat Kombëtare në bujqësi nga 4800 përfitues në vitin 2022, 5000 përfitues në vitin 2023, 5500 përfitues në vitin 2024 dhe 6000 përfitues në vitin 2025, dhe mbështetjes së 260 përfituesëve nga Programi IPARD II për 2023. Si dhe rritja e numrit të përfituesve nga Skema e Subvensionit të naftës për bujqesinë nga 17.500 përfitues në vitin 2022 në 18.500 përfitues në vitin 2025.</w:t>
      </w:r>
    </w:p>
    <w:p w14:paraId="0F1E5EC4" w14:textId="77777777" w:rsidR="00D7447D" w:rsidRPr="00D7447D" w:rsidRDefault="00D7447D" w:rsidP="000B3CCC">
      <w:pPr>
        <w:spacing w:after="0" w:line="276" w:lineRule="auto"/>
        <w:ind w:left="-1080"/>
        <w:jc w:val="both"/>
        <w:rPr>
          <w:rFonts w:ascii="Times New Roman" w:eastAsia="Arial" w:hAnsi="Times New Roman" w:cs="Times New Roman"/>
          <w:sz w:val="24"/>
          <w:szCs w:val="24"/>
          <w:lang w:val="sq-AL" w:eastAsia="en-GB"/>
        </w:rPr>
      </w:pPr>
    </w:p>
    <w:p w14:paraId="1B265155" w14:textId="77777777" w:rsidR="00D7447D" w:rsidRPr="00D7447D" w:rsidRDefault="00D7447D" w:rsidP="000B3CCC">
      <w:pPr>
        <w:numPr>
          <w:ilvl w:val="1"/>
          <w:numId w:val="8"/>
        </w:numPr>
        <w:spacing w:after="0" w:line="276" w:lineRule="auto"/>
        <w:ind w:left="360"/>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Rritjes së numrit të çertifikimeve dhe testimeve të farave dhe fidanëve që hidhen në treg, për të siguruar inpute cilësore për bujqësinë në tregun shqiptar.</w:t>
      </w:r>
    </w:p>
    <w:p w14:paraId="71AE1710" w14:textId="77777777" w:rsidR="00DE0093" w:rsidRPr="00D7447D" w:rsidRDefault="00DE0093" w:rsidP="000B3CCC">
      <w:p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Arial" w:hAnsi="Times New Roman" w:cs="Times New Roman"/>
          <w:b/>
          <w:sz w:val="24"/>
          <w:szCs w:val="24"/>
          <w:lang w:val="sq-AL" w:eastAsia="en-GB"/>
        </w:rPr>
        <w:t>Në fushën e arsimit</w:t>
      </w:r>
      <w:r w:rsidRPr="00D7447D">
        <w:rPr>
          <w:rFonts w:ascii="Times New Roman" w:eastAsia="Times New Roman" w:hAnsi="Times New Roman" w:cs="Times New Roman"/>
          <w:color w:val="000000"/>
          <w:sz w:val="24"/>
          <w:szCs w:val="24"/>
          <w:lang w:val="sq-AL" w:eastAsia="sq-AL"/>
        </w:rPr>
        <w:t xml:space="preserve"> do të vijojë zhvillimi i reformave në arsim, mbështetja e arsimit bazë, të mesëm të lartë, orientimi i kurikulave ndaj nevojave të tregut të punës dhe modernizimi i tyre, zhvillimi profesional i mësuesve nëpërmjet trajnimit, promovimi dhe zgjerimi i teknologjisë së informacionit dhe komunikimit në edukim. Për periudhën 2023-2025, Ministria e Arsimit dhe Sportit do të financojë me prioritet:</w:t>
      </w:r>
    </w:p>
    <w:p w14:paraId="3EB7C67C" w14:textId="77777777" w:rsidR="00DE0093" w:rsidRPr="00D7447D" w:rsidRDefault="00DE0093" w:rsidP="000B3CCC">
      <w:pPr>
        <w:spacing w:after="0" w:line="276" w:lineRule="auto"/>
        <w:jc w:val="both"/>
        <w:rPr>
          <w:rFonts w:ascii="Times New Roman" w:eastAsia="Times New Roman" w:hAnsi="Times New Roman" w:cs="Times New Roman"/>
          <w:color w:val="000000"/>
          <w:sz w:val="24"/>
          <w:szCs w:val="24"/>
          <w:lang w:val="sq-AL" w:eastAsia="sq-AL"/>
        </w:rPr>
      </w:pPr>
    </w:p>
    <w:p w14:paraId="2B465EB0" w14:textId="77777777" w:rsidR="00DE0093" w:rsidRPr="00D7447D" w:rsidRDefault="00DE0093" w:rsidP="000B3CCC">
      <w:pPr>
        <w:numPr>
          <w:ilvl w:val="0"/>
          <w:numId w:val="52"/>
        </w:num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b/>
          <w:color w:val="000000"/>
          <w:sz w:val="24"/>
          <w:szCs w:val="24"/>
          <w:lang w:val="sq-AL" w:eastAsia="sq-AL"/>
        </w:rPr>
        <w:t>Rritjen e numrit të fëmijëve</w:t>
      </w:r>
      <w:r w:rsidRPr="00D7447D">
        <w:rPr>
          <w:rFonts w:ascii="Times New Roman" w:eastAsia="Times New Roman" w:hAnsi="Times New Roman" w:cs="Times New Roman"/>
          <w:color w:val="000000"/>
          <w:sz w:val="24"/>
          <w:szCs w:val="24"/>
          <w:lang w:val="sq-AL" w:eastAsia="sq-AL"/>
        </w:rPr>
        <w:t xml:space="preserve"> që ndjekin arsimin parashkollor, si dhe përfshirjes së klasës përgatitore në arsimin e detyrueshëm; </w:t>
      </w:r>
    </w:p>
    <w:p w14:paraId="45AB3F08" w14:textId="77777777" w:rsidR="00DE0093" w:rsidRPr="00D7447D" w:rsidRDefault="00DE0093" w:rsidP="000B3CCC">
      <w:pPr>
        <w:numPr>
          <w:ilvl w:val="0"/>
          <w:numId w:val="52"/>
        </w:num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b/>
          <w:color w:val="000000"/>
          <w:sz w:val="24"/>
          <w:szCs w:val="24"/>
          <w:lang w:val="sq-AL" w:eastAsia="sq-AL"/>
        </w:rPr>
        <w:t>Ofrimin e bursave financiare</w:t>
      </w:r>
      <w:r w:rsidRPr="00D7447D">
        <w:rPr>
          <w:rFonts w:ascii="Times New Roman" w:eastAsia="Times New Roman" w:hAnsi="Times New Roman" w:cs="Times New Roman"/>
          <w:color w:val="000000"/>
          <w:sz w:val="24"/>
          <w:szCs w:val="24"/>
          <w:lang w:val="sq-AL" w:eastAsia="sq-AL"/>
        </w:rPr>
        <w:t xml:space="preserve"> apo kuotë ushqimore/financiare për 2800-3000 nxënës me nevoja të veçanta si dhe fëmijëve më me ndikim në uljen e braktisjes shkollore, të nxënësve të arsimit para-universitar nga shtresat sociale në nevojë; </w:t>
      </w:r>
    </w:p>
    <w:p w14:paraId="559DFF7B" w14:textId="77777777" w:rsidR="00DE0093" w:rsidRPr="00D7447D" w:rsidRDefault="00DE0093" w:rsidP="000B3CCC">
      <w:pPr>
        <w:numPr>
          <w:ilvl w:val="0"/>
          <w:numId w:val="52"/>
        </w:num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b/>
          <w:color w:val="000000"/>
          <w:sz w:val="24"/>
          <w:szCs w:val="24"/>
          <w:lang w:val="sq-AL" w:eastAsia="sq-AL"/>
        </w:rPr>
        <w:t>Përfshirja e gjuhës së huaj (gjuhës angleze) që në klasën e parë të arsimit fillor</w:t>
      </w:r>
      <w:r w:rsidRPr="00D7447D">
        <w:rPr>
          <w:rFonts w:ascii="Times New Roman" w:eastAsia="Times New Roman" w:hAnsi="Times New Roman" w:cs="Times New Roman"/>
          <w:color w:val="000000"/>
          <w:sz w:val="24"/>
          <w:szCs w:val="24"/>
          <w:lang w:val="sq-AL" w:eastAsia="sq-AL"/>
        </w:rPr>
        <w:t xml:space="preserve"> dhe nga klasa e tretë dy gjuhë të huaja, nga të cilat gjuha angleze si dhe një gjuhë tjetër e huaj me zgjedhje; </w:t>
      </w:r>
    </w:p>
    <w:p w14:paraId="295EE8E7" w14:textId="77777777" w:rsidR="00DE0093" w:rsidRPr="00D7447D" w:rsidRDefault="00DE0093" w:rsidP="000B3CCC">
      <w:pPr>
        <w:numPr>
          <w:ilvl w:val="0"/>
          <w:numId w:val="52"/>
        </w:num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b/>
          <w:color w:val="000000"/>
          <w:sz w:val="24"/>
          <w:szCs w:val="24"/>
          <w:lang w:val="sq-AL" w:eastAsia="sq-AL"/>
        </w:rPr>
        <w:t>Tekstet shkollore falas për të gjithë nxënësit e arsimit bazë</w:t>
      </w:r>
      <w:r w:rsidRPr="00D7447D">
        <w:rPr>
          <w:rFonts w:ascii="Times New Roman" w:eastAsia="Times New Roman" w:hAnsi="Times New Roman" w:cs="Times New Roman"/>
          <w:color w:val="000000"/>
          <w:sz w:val="24"/>
          <w:szCs w:val="24"/>
          <w:lang w:val="sq-AL" w:eastAsia="sq-AL"/>
        </w:rPr>
        <w:t xml:space="preserve"> - Për vitin shkollor 2021-2022 janë përfshirë tashmë në skemën për tekstet shkollore në përdorim falas edhe nxënësit e klasës së tetë dhe të nëntë, në total 280 mijë nxënës të arsimit bazë dhe të kategorive të veçanta në arsimin e mesëm të lartë, duke lehtësuar ndjeshëm barrën financiare të familjeve. </w:t>
      </w:r>
    </w:p>
    <w:p w14:paraId="3919A9E1" w14:textId="77777777" w:rsidR="00DE0093" w:rsidRPr="00D7447D" w:rsidRDefault="00DE0093" w:rsidP="000B3CCC">
      <w:pPr>
        <w:numPr>
          <w:ilvl w:val="0"/>
          <w:numId w:val="52"/>
        </w:num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b/>
          <w:color w:val="000000"/>
          <w:sz w:val="24"/>
          <w:szCs w:val="24"/>
          <w:lang w:val="sq-AL" w:eastAsia="sq-AL"/>
        </w:rPr>
        <w:t>Ndërkombëtarizimi i Arsimit të Lartë</w:t>
      </w:r>
      <w:r w:rsidRPr="00D7447D">
        <w:rPr>
          <w:rFonts w:ascii="Times New Roman" w:eastAsia="Times New Roman" w:hAnsi="Times New Roman" w:cs="Times New Roman"/>
          <w:color w:val="000000"/>
          <w:sz w:val="24"/>
          <w:szCs w:val="24"/>
          <w:lang w:val="sq-AL" w:eastAsia="sq-AL"/>
        </w:rPr>
        <w:t xml:space="preserve"> - fillohet puna për hapjen e filialeve të Universiteteve më të mira ndërkombëtare në Shqipëri, si dhe për programe studimi të përbashkëta dhe të dyfishta me to. MASR do të mbështesë hapjen e programeve në gjuhën angleze në të gjitha universitetet shqiptare.</w:t>
      </w:r>
    </w:p>
    <w:p w14:paraId="2896ECEA" w14:textId="77777777" w:rsidR="00DE0093" w:rsidRPr="00D7447D" w:rsidRDefault="00DE0093" w:rsidP="000B3CCC">
      <w:p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b/>
          <w:sz w:val="24"/>
          <w:szCs w:val="24"/>
          <w:lang w:val="sq-AL" w:eastAsia="en-GB"/>
        </w:rPr>
        <w:t>Në fushën e turizmit</w:t>
      </w:r>
      <w:r w:rsidRPr="00D7447D">
        <w:rPr>
          <w:rFonts w:ascii="Times New Roman" w:eastAsia="Arial" w:hAnsi="Times New Roman" w:cs="Times New Roman"/>
          <w:sz w:val="24"/>
          <w:szCs w:val="24"/>
          <w:lang w:val="sq-AL" w:eastAsia="en-GB"/>
        </w:rPr>
        <w:t xml:space="preserve"> prioritetet </w:t>
      </w:r>
      <w:r w:rsidRPr="00D7447D">
        <w:rPr>
          <w:rFonts w:ascii="Times New Roman" w:hAnsi="Times New Roman" w:cs="Times New Roman"/>
          <w:color w:val="000000" w:themeColor="text1"/>
          <w:sz w:val="24"/>
          <w:szCs w:val="24"/>
          <w:lang w:val="sq-AL"/>
        </w:rPr>
        <w:t>për periudhën 2023-2025 do të jenë:</w:t>
      </w:r>
    </w:p>
    <w:p w14:paraId="0ECA52CD" w14:textId="77777777" w:rsidR="000B3CCC" w:rsidRPr="00D7447D" w:rsidRDefault="000B3CCC"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Diversifikimi i produktit turistik për të arritur një turizëm gjithëvjetor;</w:t>
      </w:r>
    </w:p>
    <w:p w14:paraId="02D7490F" w14:textId="77777777" w:rsidR="000B3CCC" w:rsidRPr="00D7447D" w:rsidRDefault="000B3CCC"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rPr>
        <w:t>Sigurimi e zhvillimi i qëndrueshëm i zonës bregdetare, nëpërmjet ofrimit të shërbimit të pastrimit gjatë sezonit turistik, me qëllim rritjen e turistëve të huaj;</w:t>
      </w:r>
    </w:p>
    <w:p w14:paraId="181A7BF9" w14:textId="77777777" w:rsidR="000B3CCC" w:rsidRPr="00D7447D" w:rsidRDefault="000B3CCC"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Arritja e përmirësimeve të matshme të cilësisë së ajrit sipas përcaktimeve në strategjinë kombëtare të ajrit;</w:t>
      </w:r>
    </w:p>
    <w:p w14:paraId="4B12C9CA" w14:textId="77777777" w:rsidR="000B3CCC" w:rsidRPr="00D7447D" w:rsidRDefault="000B3CCC"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Përmirësimi i performancës së menaxhimit të integruar të mbetjeve;</w:t>
      </w:r>
    </w:p>
    <w:p w14:paraId="2AD41C0E" w14:textId="77777777" w:rsidR="000B3CCC" w:rsidRPr="00D7447D" w:rsidRDefault="000B3CCC"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Rritja e sipërfaqes se zonave të mbrojtura;</w:t>
      </w:r>
    </w:p>
    <w:p w14:paraId="3E9EF2AA" w14:textId="77777777" w:rsidR="00DE0093" w:rsidRPr="00D7447D" w:rsidRDefault="00DE0093" w:rsidP="000B3CCC">
      <w:pPr>
        <w:spacing w:after="200" w:line="276" w:lineRule="auto"/>
        <w:contextualSpacing/>
        <w:jc w:val="both"/>
        <w:rPr>
          <w:rFonts w:ascii="Times New Roman" w:eastAsia="Calibri" w:hAnsi="Times New Roman" w:cs="Times New Roman"/>
          <w:b/>
          <w:sz w:val="24"/>
          <w:szCs w:val="24"/>
          <w:lang w:val="sq-AL"/>
        </w:rPr>
      </w:pPr>
    </w:p>
    <w:p w14:paraId="72D040BE" w14:textId="77777777" w:rsidR="00DE0093" w:rsidRPr="00D7447D" w:rsidRDefault="00DE0093" w:rsidP="000B3CCC">
      <w:p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Në fushën e mbrojtjes sociale</w:t>
      </w:r>
      <w:r w:rsidRPr="00D7447D">
        <w:rPr>
          <w:rFonts w:ascii="Times New Roman" w:eastAsia="Calibri" w:hAnsi="Times New Roman" w:cs="Times New Roman"/>
          <w:sz w:val="24"/>
          <w:szCs w:val="24"/>
          <w:lang w:val="sq-AL"/>
        </w:rPr>
        <w:t>, synohet:</w:t>
      </w:r>
    </w:p>
    <w:p w14:paraId="13DBD29B" w14:textId="77777777" w:rsidR="000B3CCC" w:rsidRPr="00D7447D" w:rsidRDefault="000B3CCC" w:rsidP="000B3CCC">
      <w:pPr>
        <w:spacing w:after="200" w:line="276" w:lineRule="auto"/>
        <w:contextualSpacing/>
        <w:jc w:val="both"/>
        <w:rPr>
          <w:rFonts w:ascii="Times New Roman" w:eastAsia="Calibri" w:hAnsi="Times New Roman" w:cs="Times New Roman"/>
          <w:sz w:val="24"/>
          <w:szCs w:val="24"/>
          <w:lang w:val="sq-AL"/>
        </w:rPr>
      </w:pPr>
    </w:p>
    <w:p w14:paraId="732B3A08" w14:textId="681A45EB" w:rsidR="000B3CCC" w:rsidRDefault="000B3CCC" w:rsidP="000B3CCC">
      <w:p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Në fushën e mbrojtjes sociale, Ministria e Shëndetësisë dhe Mbrojtjes Sociale synon zbatimin me sukses të reformës së programit të përkujdesit social në tre shtyllat kryesore të tij: Ndihma Ekonomike, Aftësia e Kufizuar dhe Shërbimet Sociale. Më konkretisht synohet:</w:t>
      </w:r>
    </w:p>
    <w:p w14:paraId="52F93158" w14:textId="77777777" w:rsidR="000B3CCC" w:rsidRPr="00D7447D" w:rsidRDefault="000B3CCC" w:rsidP="000B3CCC">
      <w:pPr>
        <w:spacing w:after="200" w:line="276" w:lineRule="auto"/>
        <w:contextualSpacing/>
        <w:jc w:val="both"/>
        <w:rPr>
          <w:rFonts w:ascii="Times New Roman" w:eastAsia="Calibri" w:hAnsi="Times New Roman" w:cs="Times New Roman"/>
          <w:sz w:val="24"/>
          <w:szCs w:val="24"/>
          <w:lang w:val="sq-AL"/>
        </w:rPr>
      </w:pPr>
    </w:p>
    <w:p w14:paraId="5C5E27CF" w14:textId="77777777" w:rsidR="000B3CCC" w:rsidRPr="00D7447D" w:rsidRDefault="000B3CCC" w:rsidP="000B3CCC">
      <w:pPr>
        <w:numPr>
          <w:ilvl w:val="0"/>
          <w:numId w:val="6"/>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Numri i familjeve dhe individëve në nevojë që pritet të përfitojnë nga skema e ndihmës ekonomike parashikohet të jetë mesatarisht 63.5 mijë përfitues në vit përgjatë periudhën 2023-2025;</w:t>
      </w:r>
    </w:p>
    <w:p w14:paraId="232A276A" w14:textId="77777777" w:rsidR="000B3CCC" w:rsidRPr="00D7447D" w:rsidRDefault="000B3CCC" w:rsidP="000B3CCC">
      <w:pPr>
        <w:numPr>
          <w:ilvl w:val="0"/>
          <w:numId w:val="6"/>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Numri i përfituesve nga PAK dhe kujdestarëve të tyre parashikohet të shkojë në 158 mijë në vitin 2025, në kuadër të reformimit të sistemit të vlerësimit të aftësisë së kufizuar;</w:t>
      </w:r>
    </w:p>
    <w:p w14:paraId="2336C09C" w14:textId="77777777" w:rsidR="000B3CCC" w:rsidRPr="00D7447D" w:rsidRDefault="000B3CCC" w:rsidP="000B3CCC">
      <w:pPr>
        <w:numPr>
          <w:ilvl w:val="0"/>
          <w:numId w:val="27"/>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Mbështetja e personave nga grupet e pafavorizuara përmes punësimit në ndërmarrjet sociale synohet të punësohen mesatarisht 70 persona çdo vit, me qëllim integrimin në tregun e punës.</w:t>
      </w:r>
    </w:p>
    <w:p w14:paraId="0687F5DF" w14:textId="77777777" w:rsidR="000B3CCC" w:rsidRPr="00D7447D" w:rsidRDefault="000B3CCC" w:rsidP="000B3CCC">
      <w:pPr>
        <w:numPr>
          <w:ilvl w:val="0"/>
          <w:numId w:val="27"/>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lastRenderedPageBreak/>
        <w:t xml:space="preserve">Mbështetjen e fondit social për njësitë e vetqeverisjes vendore për ofrimin e shërbimeve të reja sociale territoriale për grupet në nevojë dhe mbështetjen e familjeve të NE me paketa sociale shëndetësore, me një fond nga 200 milion lekë në 300 milion lekë për vitet 2023-2025. </w:t>
      </w:r>
    </w:p>
    <w:p w14:paraId="28F00D48" w14:textId="3CE6E92A" w:rsidR="000B3CCC" w:rsidRDefault="000B3CCC" w:rsidP="000B3CCC">
      <w:p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Për vitet 2023-2025, vijon të financohet politika e rishikimit të masës së përfitimit të ndihmës ekonomike, në të cilën parashikohet një rritje  me 10 % (dhjetë për qind) të masës së pagesës ekzistuese, sipas strukturës së familjes. </w:t>
      </w:r>
    </w:p>
    <w:p w14:paraId="018BD531" w14:textId="77777777" w:rsidR="000B3CCC" w:rsidRPr="00D7447D" w:rsidRDefault="000B3CCC" w:rsidP="000B3CCC">
      <w:pPr>
        <w:spacing w:after="0" w:line="276" w:lineRule="auto"/>
        <w:contextualSpacing/>
        <w:jc w:val="both"/>
        <w:rPr>
          <w:rFonts w:ascii="Times New Roman" w:eastAsia="Calibri" w:hAnsi="Times New Roman" w:cs="Times New Roman"/>
          <w:sz w:val="24"/>
          <w:szCs w:val="24"/>
          <w:lang w:val="sq-AL"/>
        </w:rPr>
      </w:pPr>
    </w:p>
    <w:p w14:paraId="1C3A4F83" w14:textId="4726E752" w:rsidR="000B3CCC" w:rsidRPr="00D7447D" w:rsidRDefault="000B3CCC" w:rsidP="000B3CCC">
      <w:pPr>
        <w:spacing w:after="200" w:line="276" w:lineRule="auto"/>
        <w:contextualSpacing/>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w:t>
      </w:r>
      <w:r w:rsidRPr="00D7447D">
        <w:rPr>
          <w:rFonts w:ascii="Times New Roman" w:eastAsia="Calibri" w:hAnsi="Times New Roman" w:cs="Times New Roman"/>
          <w:sz w:val="24"/>
          <w:szCs w:val="24"/>
          <w:lang w:val="sq-AL"/>
        </w:rPr>
        <w:t>ërgjatë viteve 2023-2025, si pjesë e grupeve në nevojë do të trajtohen me ndihmë ekonomike dhe kategoritë si më poshtë:</w:t>
      </w:r>
    </w:p>
    <w:p w14:paraId="04090B97" w14:textId="77777777" w:rsidR="000B3CCC" w:rsidRPr="00D7447D" w:rsidRDefault="000B3CCC"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0B3CCC">
        <w:rPr>
          <w:rFonts w:ascii="Times New Roman" w:eastAsia="Calibri" w:hAnsi="Times New Roman" w:cs="Times New Roman"/>
          <w:b/>
          <w:sz w:val="24"/>
          <w:szCs w:val="24"/>
          <w:lang w:val="sq-AL"/>
        </w:rPr>
        <w:t>Gratë kryefamiljare</w:t>
      </w:r>
      <w:r w:rsidRPr="00D7447D">
        <w:rPr>
          <w:rFonts w:ascii="Times New Roman" w:eastAsia="Calibri" w:hAnsi="Times New Roman" w:cs="Times New Roman"/>
          <w:sz w:val="24"/>
          <w:szCs w:val="24"/>
          <w:lang w:val="sq-AL"/>
        </w:rPr>
        <w:t xml:space="preserve"> përfitues në programin e ndihmës ekonomike, që kanë në përbërje të familjes deri në dy fëmijë të moshës 0-18 vjeç, përfitojnë dyfishin e masës së pagesës ekzistuese të ndihmës ekonomike, sipas strukturës së familjes.</w:t>
      </w:r>
    </w:p>
    <w:p w14:paraId="6A0E5FC4" w14:textId="77777777" w:rsidR="000B3CCC" w:rsidRPr="00D7447D" w:rsidRDefault="000B3CCC"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0B3CCC">
        <w:rPr>
          <w:rFonts w:ascii="Times New Roman" w:eastAsia="Calibri" w:hAnsi="Times New Roman" w:cs="Times New Roman"/>
          <w:b/>
          <w:sz w:val="24"/>
          <w:szCs w:val="24"/>
          <w:lang w:val="sq-AL"/>
        </w:rPr>
        <w:t>Përfituesit e programit të ndihmës ekonomike</w:t>
      </w:r>
      <w:r w:rsidRPr="00D7447D">
        <w:rPr>
          <w:rFonts w:ascii="Times New Roman" w:eastAsia="Calibri" w:hAnsi="Times New Roman" w:cs="Times New Roman"/>
          <w:sz w:val="24"/>
          <w:szCs w:val="24"/>
          <w:lang w:val="sq-AL"/>
        </w:rPr>
        <w:t>, që kanë mbushur moshën 65 vjeç, të vetmuar dhe nuk trajtohen me pension pleqërie apo pension social, përfitojnë dyfishin e masës së pagesës ekzistuese të ndihmës ekonomike.</w:t>
      </w:r>
    </w:p>
    <w:p w14:paraId="447CE015" w14:textId="77777777" w:rsidR="000B3CCC" w:rsidRPr="00D7447D" w:rsidRDefault="000B3CCC"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0B3CCC">
        <w:rPr>
          <w:rFonts w:ascii="Times New Roman" w:eastAsia="Calibri" w:hAnsi="Times New Roman" w:cs="Times New Roman"/>
          <w:b/>
          <w:sz w:val="24"/>
          <w:szCs w:val="24"/>
          <w:lang w:val="sq-AL"/>
        </w:rPr>
        <w:t xml:space="preserve">Anëtarët e familjeve përfituese të programit të ndihmës ekonomike </w:t>
      </w:r>
      <w:r w:rsidRPr="00D7447D">
        <w:rPr>
          <w:rFonts w:ascii="Times New Roman" w:eastAsia="Calibri" w:hAnsi="Times New Roman" w:cs="Times New Roman"/>
          <w:sz w:val="24"/>
          <w:szCs w:val="24"/>
          <w:lang w:val="sq-AL"/>
        </w:rPr>
        <w:t>që kanë mbushur 65 vjeç dhe nuk trajtohen me pension pleqërie apo pension social, përfitojnë dyfishin e masës së pagesës ekzistuese të ndihmës ekonomike, sipas strukturës së familjes.</w:t>
      </w:r>
    </w:p>
    <w:p w14:paraId="05AD6577" w14:textId="77777777" w:rsidR="000B3CCC" w:rsidRPr="00D7447D" w:rsidRDefault="000B3CCC"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0B3CCC">
        <w:rPr>
          <w:rFonts w:ascii="Times New Roman" w:eastAsia="Calibri" w:hAnsi="Times New Roman" w:cs="Times New Roman"/>
          <w:b/>
          <w:sz w:val="24"/>
          <w:szCs w:val="24"/>
          <w:lang w:val="sq-AL"/>
        </w:rPr>
        <w:t>Masa e ndihmës ekonomike</w:t>
      </w:r>
      <w:r w:rsidRPr="00D7447D">
        <w:rPr>
          <w:rFonts w:ascii="Times New Roman" w:eastAsia="Calibri" w:hAnsi="Times New Roman" w:cs="Times New Roman"/>
          <w:sz w:val="24"/>
          <w:szCs w:val="24"/>
          <w:lang w:val="sq-AL"/>
        </w:rPr>
        <w:t xml:space="preserve"> parashikohet të rritet me 10% më shumë krahasur me masën ekzistuese për famijet që trajtohen me ndihmë ekonomike, dhe nuk janë pjesë e ndonjë kategorie tjetër përfituese.</w:t>
      </w:r>
    </w:p>
    <w:p w14:paraId="7E1AD846" w14:textId="77777777" w:rsidR="00DE0093" w:rsidRPr="00D7447D" w:rsidRDefault="00DE0093" w:rsidP="000B3CCC">
      <w:pPr>
        <w:spacing w:before="120" w:after="120" w:line="276" w:lineRule="auto"/>
        <w:contextualSpacing/>
        <w:jc w:val="both"/>
        <w:rPr>
          <w:rFonts w:ascii="Times New Roman" w:eastAsia="Times New Roman" w:hAnsi="Times New Roman" w:cs="Times New Roman"/>
          <w:noProof/>
          <w:sz w:val="24"/>
          <w:szCs w:val="24"/>
          <w:lang w:val="sq-AL"/>
        </w:rPr>
      </w:pPr>
    </w:p>
    <w:p w14:paraId="66E7DF00" w14:textId="77777777" w:rsidR="00DE0093" w:rsidRPr="00D7447D" w:rsidRDefault="00DE0093" w:rsidP="000B3CCC">
      <w:pPr>
        <w:spacing w:line="276" w:lineRule="auto"/>
        <w:jc w:val="both"/>
        <w:rPr>
          <w:rFonts w:ascii="Times New Roman" w:hAnsi="Times New Roman" w:cs="Times New Roman"/>
          <w:sz w:val="24"/>
          <w:szCs w:val="24"/>
          <w:lang w:val="sq-AL"/>
        </w:rPr>
      </w:pPr>
      <w:r w:rsidRPr="00D7447D">
        <w:rPr>
          <w:rFonts w:ascii="Times New Roman" w:hAnsi="Times New Roman" w:cs="Times New Roman"/>
          <w:b/>
          <w:sz w:val="24"/>
          <w:szCs w:val="24"/>
          <w:lang w:val="sq-AL"/>
        </w:rPr>
        <w:t>Investimet Publike</w:t>
      </w:r>
      <w:r w:rsidRPr="00D7447D">
        <w:rPr>
          <w:rFonts w:ascii="Times New Roman" w:hAnsi="Times New Roman" w:cs="Times New Roman"/>
          <w:sz w:val="24"/>
          <w:szCs w:val="24"/>
          <w:lang w:val="sq-AL"/>
        </w:rPr>
        <w:t xml:space="preserve"> do të kanalizohen në sektorët kyç për zhvillimin ekonomik dhe social si:</w:t>
      </w:r>
    </w:p>
    <w:p w14:paraId="686300A7" w14:textId="77777777" w:rsidR="00DE0093" w:rsidRPr="00D7447D" w:rsidRDefault="00DE0093" w:rsidP="000B3CCC">
      <w:pPr>
        <w:spacing w:after="120" w:line="276" w:lineRule="auto"/>
        <w:jc w:val="both"/>
        <w:rPr>
          <w:rFonts w:ascii="Times New Roman" w:hAnsi="Times New Roman" w:cs="Times New Roman"/>
          <w:sz w:val="24"/>
          <w:szCs w:val="24"/>
          <w:lang w:val="sq-AL"/>
        </w:rPr>
      </w:pPr>
      <w:r w:rsidRPr="00D7447D">
        <w:rPr>
          <w:rFonts w:ascii="Times New Roman" w:hAnsi="Times New Roman" w:cs="Times New Roman"/>
          <w:b/>
          <w:sz w:val="24"/>
          <w:szCs w:val="24"/>
          <w:lang w:val="sq-AL"/>
        </w:rPr>
        <w:t>Infrastruktura rrugore nacionale</w:t>
      </w:r>
      <w:r w:rsidRPr="00D7447D">
        <w:rPr>
          <w:rFonts w:ascii="Times New Roman" w:hAnsi="Times New Roman" w:cs="Times New Roman"/>
          <w:sz w:val="24"/>
          <w:szCs w:val="24"/>
          <w:lang w:val="sq-AL"/>
        </w:rPr>
        <w:t>;</w:t>
      </w:r>
    </w:p>
    <w:p w14:paraId="391CF7F6" w14:textId="77777777" w:rsidR="00DE0093" w:rsidRPr="00D7447D" w:rsidRDefault="00DE0093" w:rsidP="000B3CCC">
      <w:pPr>
        <w:spacing w:after="0" w:line="276" w:lineRule="auto"/>
        <w:contextualSpacing/>
        <w:jc w:val="both"/>
        <w:rPr>
          <w:rFonts w:ascii="Times New Roman" w:eastAsia="Calibri" w:hAnsi="Times New Roman" w:cs="Times New Roman"/>
          <w:sz w:val="24"/>
          <w:szCs w:val="24"/>
          <w:lang w:val="sq-AL"/>
        </w:rPr>
      </w:pPr>
    </w:p>
    <w:p w14:paraId="2761646C" w14:textId="77777777" w:rsidR="00DE0093" w:rsidRPr="00D7447D" w:rsidRDefault="00DE0093" w:rsidP="000B3CCC">
      <w:pPr>
        <w:pStyle w:val="ListParagraph"/>
        <w:numPr>
          <w:ilvl w:val="0"/>
          <w:numId w:val="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Ndërtim rruga Kardhiq - Delvinë Loti 8 (rishikimi dhe plotësimi i sinjalistikës nga Loti 1 deri në Lotin 7) dhe ndërtimi i rrugës lidhëse Shijan - Ura e Gajdarit dhe rehabilitimi i segmentit rrugor Shijan - Delvinë.</w:t>
      </w:r>
    </w:p>
    <w:p w14:paraId="5E5644B8" w14:textId="77777777" w:rsidR="00DE0093" w:rsidRPr="00D7447D" w:rsidRDefault="00DE0093"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Rritja e sigurisë rrugore në të gjitha akset kombëtare ku synohet ulja e numrit të aksidenteve me pasojë humbje jetë njerëzish dhe numri i pikave të zeza me 25%, sipas Strategjisë Kombëtare të Transportit. </w:t>
      </w:r>
    </w:p>
    <w:p w14:paraId="2E973D9B" w14:textId="77777777" w:rsidR="00DE0093" w:rsidRPr="00D7447D" w:rsidRDefault="00DE0093"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Rikonstruksioni i segmentit hekurudhor Tiranë – Durrës si dhe ndërtimi i linjës së re hekurudhore Tiranë-Rinas;</w:t>
      </w:r>
    </w:p>
    <w:p w14:paraId="7B233953" w14:textId="77777777" w:rsidR="00DE0093" w:rsidRPr="00D7447D" w:rsidRDefault="00DE0093" w:rsidP="000B3CCC">
      <w:pPr>
        <w:spacing w:after="0" w:line="276" w:lineRule="auto"/>
        <w:ind w:left="774"/>
        <w:contextualSpacing/>
        <w:jc w:val="both"/>
        <w:rPr>
          <w:rFonts w:ascii="Times New Roman" w:eastAsia="Calibri" w:hAnsi="Times New Roman" w:cs="Times New Roman"/>
          <w:sz w:val="24"/>
          <w:szCs w:val="24"/>
          <w:lang w:val="sq-AL"/>
        </w:rPr>
      </w:pPr>
    </w:p>
    <w:p w14:paraId="115B1313" w14:textId="77777777" w:rsidR="00DE0093" w:rsidRPr="00D7447D" w:rsidRDefault="00DE0093" w:rsidP="000B3CCC">
      <w:pPr>
        <w:spacing w:line="276" w:lineRule="auto"/>
        <w:jc w:val="both"/>
        <w:rPr>
          <w:rFonts w:ascii="Times New Roman" w:hAnsi="Times New Roman" w:cs="Times New Roman"/>
          <w:b/>
          <w:sz w:val="24"/>
          <w:szCs w:val="24"/>
          <w:lang w:val="sq-AL"/>
        </w:rPr>
      </w:pPr>
      <w:r w:rsidRPr="00D7447D">
        <w:rPr>
          <w:rFonts w:ascii="Times New Roman" w:hAnsi="Times New Roman" w:cs="Times New Roman"/>
          <w:b/>
          <w:sz w:val="24"/>
          <w:szCs w:val="24"/>
          <w:lang w:val="sq-AL"/>
        </w:rPr>
        <w:t>Shëndetësia:</w:t>
      </w:r>
    </w:p>
    <w:p w14:paraId="6C9B56DE" w14:textId="77777777" w:rsidR="00D7447D" w:rsidRPr="00D7447D" w:rsidRDefault="00D7447D" w:rsidP="000B3CCC">
      <w:pPr>
        <w:pStyle w:val="ListParagraph"/>
        <w:numPr>
          <w:ilvl w:val="0"/>
          <w:numId w:val="3"/>
        </w:num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Do të vijojë rikonstruksioni i godinës së Pediatrisë së Përgjithshme në QSUT me një financim të Bankës Botërore dhe Qeverisë Shqiptare me një vlerë prej 5.795 milion EUR. </w:t>
      </w:r>
    </w:p>
    <w:p w14:paraId="69E8BB98" w14:textId="1F78C05E" w:rsidR="00DC7649" w:rsidRPr="001903D9" w:rsidRDefault="00D7447D" w:rsidP="001903D9">
      <w:pPr>
        <w:numPr>
          <w:ilvl w:val="0"/>
          <w:numId w:val="3"/>
        </w:num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lastRenderedPageBreak/>
        <w:t>Rikonstruksion i Godinës se vjetër të Neonatologjisë dhe Obstetrikës dhe Ndërtimit të dy godinave të reja në SUOGJ “Mbretëresha Geraldinë” me një vlerë rreth 559,674 mijë lekë (me TVSH). Investimi parashikohet të mbyllet brenda vitit 2024. Janë parashikuar pajisje për këtë objekt ne vlerën 130 milion lekë për vitet 2023-2024;</w:t>
      </w:r>
    </w:p>
    <w:p w14:paraId="2AAF56DE" w14:textId="357DFE23" w:rsidR="00FC35E2" w:rsidRPr="00FC35E2" w:rsidRDefault="00FC35E2" w:rsidP="00FC35E2">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Infrastruktura Dixhitale</w:t>
      </w:r>
      <w:r w:rsidRPr="00FC35E2">
        <w:rPr>
          <w:rFonts w:ascii="Times New Roman" w:hAnsi="Times New Roman" w:cs="Times New Roman"/>
          <w:b/>
          <w:sz w:val="24"/>
          <w:szCs w:val="24"/>
          <w:lang w:val="sq-AL"/>
        </w:rPr>
        <w:t>:</w:t>
      </w:r>
    </w:p>
    <w:p w14:paraId="449E4859" w14:textId="46593289" w:rsidR="00DC7649" w:rsidRPr="001903D9" w:rsidRDefault="00FC35E2" w:rsidP="001903D9">
      <w:pPr>
        <w:pStyle w:val="ListParagraph"/>
        <w:numPr>
          <w:ilvl w:val="0"/>
          <w:numId w:val="54"/>
        </w:numPr>
        <w:spacing w:line="276" w:lineRule="auto"/>
        <w:jc w:val="both"/>
        <w:rPr>
          <w:rFonts w:ascii="Times New Roman" w:hAnsi="Times New Roman" w:cs="Times New Roman"/>
          <w:sz w:val="24"/>
          <w:szCs w:val="24"/>
          <w:lang w:val="sq-AL"/>
        </w:rPr>
      </w:pPr>
      <w:r w:rsidRPr="00FC35E2">
        <w:rPr>
          <w:rFonts w:ascii="Times New Roman" w:hAnsi="Times New Roman" w:cs="Times New Roman"/>
          <w:sz w:val="24"/>
          <w:szCs w:val="24"/>
          <w:lang w:val="sq-AL"/>
        </w:rPr>
        <w:t>Mirëmbajtja e rreth 115 sistemeve qeveritare, me kosto rreth 2 mld lekë për vitin 2023;</w:t>
      </w:r>
    </w:p>
    <w:p w14:paraId="2B90BE4F" w14:textId="1FC4C571" w:rsidR="00FC35E2" w:rsidRPr="00FC35E2" w:rsidRDefault="00FC35E2" w:rsidP="00FC35E2">
      <w:pPr>
        <w:pStyle w:val="ListParagraph"/>
        <w:numPr>
          <w:ilvl w:val="0"/>
          <w:numId w:val="54"/>
        </w:numPr>
        <w:rPr>
          <w:rFonts w:ascii="Times New Roman" w:hAnsi="Times New Roman" w:cs="Times New Roman"/>
          <w:sz w:val="24"/>
          <w:szCs w:val="24"/>
          <w:lang w:val="sq-AL"/>
        </w:rPr>
      </w:pPr>
      <w:r w:rsidRPr="00FC35E2">
        <w:rPr>
          <w:rFonts w:ascii="Times New Roman" w:hAnsi="Times New Roman" w:cs="Times New Roman"/>
          <w:sz w:val="24"/>
          <w:szCs w:val="24"/>
          <w:lang w:val="sq-AL"/>
        </w:rPr>
        <w:t xml:space="preserve">Financohet financimi i huaj me rreth </w:t>
      </w:r>
      <w:r>
        <w:rPr>
          <w:rFonts w:ascii="Times New Roman" w:hAnsi="Times New Roman" w:cs="Times New Roman"/>
          <w:sz w:val="24"/>
          <w:szCs w:val="24"/>
          <w:lang w:val="sq-AL"/>
        </w:rPr>
        <w:t>1</w:t>
      </w:r>
      <w:r w:rsidRPr="00FC35E2">
        <w:rPr>
          <w:rFonts w:ascii="Times New Roman" w:hAnsi="Times New Roman" w:cs="Times New Roman"/>
          <w:sz w:val="24"/>
          <w:szCs w:val="24"/>
          <w:lang w:val="sq-AL"/>
        </w:rPr>
        <w:t xml:space="preserve"> mld lekë lidhur me Kredinë e Bankës Botërore në kuadër të mbrojtjes së sigurisë kibernetike;</w:t>
      </w:r>
    </w:p>
    <w:p w14:paraId="0BBD5935" w14:textId="77777777" w:rsidR="00FC35E2" w:rsidRPr="000B3CCC" w:rsidRDefault="00FC35E2" w:rsidP="000B3CCC">
      <w:pPr>
        <w:spacing w:line="276" w:lineRule="auto"/>
        <w:jc w:val="both"/>
        <w:rPr>
          <w:rFonts w:ascii="Times New Roman" w:eastAsia="Calibri" w:hAnsi="Times New Roman" w:cs="Times New Roman"/>
          <w:b/>
          <w:sz w:val="24"/>
          <w:szCs w:val="24"/>
          <w:lang w:val="sq-AL"/>
        </w:rPr>
      </w:pPr>
    </w:p>
    <w:p w14:paraId="2EB446F6" w14:textId="3DA60E08" w:rsidR="00656466" w:rsidRPr="00D7447D" w:rsidRDefault="00EA54EE" w:rsidP="000B3CCC">
      <w:pPr>
        <w:pStyle w:val="Heading1"/>
        <w:spacing w:line="276" w:lineRule="auto"/>
        <w:rPr>
          <w:rFonts w:ascii="Times New Roman" w:hAnsi="Times New Roman" w:cs="Times New Roman"/>
          <w:b/>
          <w:color w:val="auto"/>
          <w:sz w:val="24"/>
          <w:szCs w:val="24"/>
          <w:lang w:val="en"/>
        </w:rPr>
      </w:pPr>
      <w:r w:rsidRPr="00D7447D">
        <w:rPr>
          <w:rFonts w:ascii="Times New Roman" w:hAnsi="Times New Roman" w:cs="Times New Roman"/>
          <w:b/>
          <w:color w:val="auto"/>
          <w:sz w:val="24"/>
          <w:szCs w:val="24"/>
          <w:lang w:val="en"/>
        </w:rPr>
        <w:t>K</w:t>
      </w:r>
      <w:r w:rsidR="00D9146A" w:rsidRPr="00D7447D">
        <w:rPr>
          <w:rFonts w:ascii="Times New Roman" w:hAnsi="Times New Roman" w:cs="Times New Roman"/>
          <w:b/>
          <w:color w:val="auto"/>
          <w:sz w:val="24"/>
          <w:szCs w:val="24"/>
          <w:lang w:val="en"/>
        </w:rPr>
        <w:t>UADRI MAKROEKONOMIK DHE FISKAL</w:t>
      </w:r>
      <w:r w:rsidR="00C56E02" w:rsidRPr="00D7447D">
        <w:rPr>
          <w:rFonts w:ascii="Times New Roman" w:hAnsi="Times New Roman" w:cs="Times New Roman"/>
          <w:b/>
          <w:color w:val="auto"/>
          <w:sz w:val="24"/>
          <w:szCs w:val="24"/>
          <w:lang w:val="en"/>
        </w:rPr>
        <w:t xml:space="preserve"> </w:t>
      </w:r>
      <w:r w:rsidR="007944B0" w:rsidRPr="00D7447D">
        <w:rPr>
          <w:rFonts w:ascii="Times New Roman" w:hAnsi="Times New Roman" w:cs="Times New Roman"/>
          <w:b/>
          <w:color w:val="auto"/>
          <w:sz w:val="24"/>
          <w:szCs w:val="24"/>
          <w:lang w:val="en"/>
        </w:rPr>
        <w:t>202</w:t>
      </w:r>
      <w:r w:rsidR="00944916" w:rsidRPr="00D7447D">
        <w:rPr>
          <w:rFonts w:ascii="Times New Roman" w:hAnsi="Times New Roman" w:cs="Times New Roman"/>
          <w:b/>
          <w:color w:val="auto"/>
          <w:sz w:val="24"/>
          <w:szCs w:val="24"/>
          <w:lang w:val="en"/>
        </w:rPr>
        <w:t>3</w:t>
      </w:r>
      <w:r w:rsidR="007944B0" w:rsidRPr="00D7447D">
        <w:rPr>
          <w:rFonts w:ascii="Times New Roman" w:hAnsi="Times New Roman" w:cs="Times New Roman"/>
          <w:b/>
          <w:color w:val="auto"/>
          <w:sz w:val="24"/>
          <w:szCs w:val="24"/>
          <w:lang w:val="en"/>
        </w:rPr>
        <w:t>-202</w:t>
      </w:r>
      <w:r w:rsidR="00944916" w:rsidRPr="00D7447D">
        <w:rPr>
          <w:rFonts w:ascii="Times New Roman" w:hAnsi="Times New Roman" w:cs="Times New Roman"/>
          <w:b/>
          <w:color w:val="auto"/>
          <w:sz w:val="24"/>
          <w:szCs w:val="24"/>
          <w:lang w:val="en"/>
        </w:rPr>
        <w:t>5</w:t>
      </w:r>
      <w:bookmarkEnd w:id="6"/>
    </w:p>
    <w:p w14:paraId="4BD623EF" w14:textId="77777777" w:rsidR="00EF5076" w:rsidRPr="00D7447D" w:rsidRDefault="00EF5076" w:rsidP="000B3CCC">
      <w:pPr>
        <w:spacing w:after="12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 xml:space="preserve">Kuadri Makroekonomik e Fiskal (KMF) për periudhën 2023-2025 është pjesë e Sistemit të Planifikimit të Integruar dhe përgatitet nga Ministria e Financave dhe Ekonomisë. KMF ka për qëllim përcaktimin e përparësive strategjike të qeverisë. Ai projekton pritshmërinë makroekonomike në horizontin kohor afat-mesëm, si dhe parashikon nivelin e zërave të agreguar të të ardhurave dhe shpenzimeve të buxhetit të shtetit. Ai përcakton synimet dhe objektivat e qeverisë në lidhje me treguesit kryesor të politikës fiskale si, balancën e përgjithshme fiskale (deficitin), huamarrjen, borxhin publik, balancën fiskale primare dhe atë korrente. KMF shërben si bazë për përcaktimin e tavaneve në fazën e parë të procesit të përgatitjes së Programit Buxhetor Afatmesëm (PBA) 2023 – 2025 në nivel ministrie. </w:t>
      </w:r>
    </w:p>
    <w:p w14:paraId="712D669B" w14:textId="77777777" w:rsidR="00EF5076" w:rsidRPr="00D7447D" w:rsidRDefault="00EF5076" w:rsidP="000B3CCC">
      <w:pPr>
        <w:spacing w:line="276" w:lineRule="auto"/>
        <w:jc w:val="both"/>
        <w:rPr>
          <w:rFonts w:ascii="Times New Roman" w:hAnsi="Times New Roman" w:cs="Times New Roman"/>
          <w:sz w:val="24"/>
          <w:szCs w:val="24"/>
          <w:lang w:val="sq-AL"/>
        </w:rPr>
      </w:pPr>
      <w:bookmarkStart w:id="7" w:name="_Toc31801833"/>
      <w:bookmarkStart w:id="8" w:name="_Toc51666025"/>
      <w:bookmarkStart w:id="9" w:name="_Toc61961939"/>
      <w:bookmarkStart w:id="10" w:name="_Toc65680630"/>
      <w:bookmarkStart w:id="11" w:name="_Toc76644129"/>
      <w:bookmarkStart w:id="12" w:name="_Toc84515332"/>
      <w:r w:rsidRPr="00D7447D">
        <w:rPr>
          <w:rFonts w:ascii="Times New Roman" w:hAnsi="Times New Roman" w:cs="Times New Roman"/>
          <w:sz w:val="24"/>
          <w:szCs w:val="24"/>
          <w:lang w:val="sq-AL"/>
        </w:rPr>
        <w:t xml:space="preserve">KMF fillestar miratohet nga Këshilli i Ministrave në muajin janar (ose shkurt) të çdo viti, dhe është subjekt rishikimi dhe përditësimi, nëse ka ndryshime substanciale, në dy momente kyç gjatë vitit: (i) në muajin qershor, përpara finalizimit të PBA-së dhe të tavaneve të PBA-së për shpenzimet, si dhe (ii) në muajin tetor, përpara dërgimit në Parlament të projekt-buxhetit të shtetit. </w:t>
      </w:r>
    </w:p>
    <w:p w14:paraId="75C63FE4" w14:textId="77777777" w:rsidR="00EF5076" w:rsidRPr="00D7447D" w:rsidRDefault="00EF5076" w:rsidP="000B3CCC">
      <w:pPr>
        <w:spacing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KMF përmban dy komponentë kryesore: (i) parashikimet për treguesit kryesorë makroekonomikë të cilët paraqesin pritshmërinë ekonomike për vitin aktual dhe tre vitet e ardhshme dhe (ii) parashikimet dhe objektivat për treguesit fiskal të cilët paraqesin burimet e pritshme në dispozicion të qeverisë për vitet 2023–2025 dhe shpërndarjen e tyre për këtë periudhë sipas buxhetit të konsoliduar. Këto komponentë paraqiten në mënyrë tabelore në fund të këtij dokumenti, përkatësisht Lidhja Nr.1; Lidhja Nr.2/1; dhe Lidhja Nr.2/2.</w:t>
      </w:r>
    </w:p>
    <w:p w14:paraId="518E0A22" w14:textId="77777777" w:rsidR="00EF5076" w:rsidRPr="00D7447D" w:rsidRDefault="00EF5076" w:rsidP="000B3CCC">
      <w:pPr>
        <w:keepNext/>
        <w:spacing w:before="240" w:after="120" w:line="276" w:lineRule="auto"/>
        <w:jc w:val="both"/>
        <w:outlineLvl w:val="1"/>
        <w:rPr>
          <w:rFonts w:ascii="Times New Roman" w:eastAsia="Calibri" w:hAnsi="Times New Roman" w:cs="Times New Roman"/>
          <w:b/>
          <w:bCs/>
          <w:i/>
          <w:color w:val="244061"/>
          <w:sz w:val="24"/>
          <w:szCs w:val="24"/>
          <w:lang w:val="sq-AL"/>
        </w:rPr>
      </w:pPr>
      <w:bookmarkStart w:id="13" w:name="_Toc109648637"/>
      <w:bookmarkStart w:id="14" w:name="_Toc115701040"/>
      <w:r w:rsidRPr="00D7447D">
        <w:rPr>
          <w:rFonts w:ascii="Times New Roman" w:eastAsia="Calibri" w:hAnsi="Times New Roman" w:cs="Times New Roman"/>
          <w:b/>
          <w:bCs/>
          <w:iCs/>
          <w:noProof/>
          <w:sz w:val="24"/>
          <w:szCs w:val="24"/>
          <w:lang w:val="sq-AL" w:eastAsia="sq-AL"/>
        </w:rPr>
        <w:t>2.1 Zhvillimet Makroekonomike</w:t>
      </w:r>
      <w:bookmarkEnd w:id="7"/>
      <w:bookmarkEnd w:id="8"/>
      <w:bookmarkEnd w:id="9"/>
      <w:bookmarkEnd w:id="10"/>
      <w:bookmarkEnd w:id="11"/>
      <w:bookmarkEnd w:id="12"/>
      <w:bookmarkEnd w:id="13"/>
      <w:bookmarkEnd w:id="14"/>
    </w:p>
    <w:p w14:paraId="5127A161"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b/>
          <w:bCs/>
          <w:i/>
          <w:color w:val="244061"/>
          <w:sz w:val="24"/>
          <w:szCs w:val="24"/>
          <w:lang w:val="sq-AL"/>
        </w:rPr>
      </w:pPr>
      <w:r w:rsidRPr="00D7447D">
        <w:rPr>
          <w:rFonts w:ascii="Times New Roman" w:eastAsia="Calibri" w:hAnsi="Times New Roman" w:cs="Times New Roman"/>
          <w:b/>
          <w:bCs/>
          <w:i/>
          <w:color w:val="244061"/>
          <w:sz w:val="24"/>
          <w:szCs w:val="24"/>
          <w:lang w:val="sq-AL"/>
        </w:rPr>
        <w:t xml:space="preserve">Zhvillimet në ekonomitë e huaja   </w:t>
      </w:r>
    </w:p>
    <w:p w14:paraId="7866D6B5" w14:textId="77777777" w:rsidR="00EF5076" w:rsidRPr="00D7447D" w:rsidRDefault="00EF5076" w:rsidP="000B3CCC">
      <w:pPr>
        <w:spacing w:before="120" w:after="120" w:line="276" w:lineRule="auto"/>
        <w:jc w:val="both"/>
        <w:rPr>
          <w:rFonts w:ascii="Times New Roman" w:eastAsia="Calibri" w:hAnsi="Times New Roman" w:cs="Times New Roman"/>
          <w:color w:val="000000" w:themeColor="text1"/>
          <w:sz w:val="24"/>
          <w:szCs w:val="24"/>
          <w:lang w:val="sq-AL"/>
        </w:rPr>
      </w:pPr>
      <w:r w:rsidRPr="00D7447D">
        <w:rPr>
          <w:rFonts w:ascii="Times New Roman" w:eastAsia="Calibri" w:hAnsi="Times New Roman" w:cs="Times New Roman"/>
          <w:color w:val="000000" w:themeColor="text1"/>
          <w:sz w:val="24"/>
          <w:szCs w:val="24"/>
          <w:lang w:val="sq-AL"/>
        </w:rPr>
        <w:t>Sipas vlerësimeve të fundit të bëra nga Eurostat</w:t>
      </w:r>
      <w:r w:rsidRPr="00D7447D">
        <w:rPr>
          <w:rStyle w:val="FootnoteReference"/>
          <w:rFonts w:ascii="Times New Roman" w:eastAsia="Calibri" w:hAnsi="Times New Roman" w:cs="Times New Roman"/>
          <w:color w:val="000000" w:themeColor="text1"/>
          <w:sz w:val="24"/>
          <w:szCs w:val="24"/>
          <w:lang w:val="sq-AL"/>
        </w:rPr>
        <w:footnoteReference w:id="2"/>
      </w:r>
      <w:r w:rsidRPr="00D7447D">
        <w:rPr>
          <w:rFonts w:ascii="Times New Roman" w:eastAsia="Calibri" w:hAnsi="Times New Roman" w:cs="Times New Roman"/>
          <w:color w:val="000000" w:themeColor="text1"/>
          <w:sz w:val="24"/>
          <w:szCs w:val="24"/>
          <w:lang w:val="sq-AL"/>
        </w:rPr>
        <w:t xml:space="preserve">, në tremujorin e dytë të vitit 2022, PBB-ja e përshtatur sezonalisht u rrit me 0.8% në Eurozonë dhe me 0.7% në BE, krahasuar me tremujorin paraardhës. Krahasuar me të njëjtin tremujor të një viti më parë, PBB-ja e përshtatur sezonalisht u </w:t>
      </w:r>
      <w:r w:rsidRPr="00D7447D">
        <w:rPr>
          <w:rFonts w:ascii="Times New Roman" w:eastAsia="Calibri" w:hAnsi="Times New Roman" w:cs="Times New Roman"/>
          <w:color w:val="000000" w:themeColor="text1"/>
          <w:sz w:val="24"/>
          <w:szCs w:val="24"/>
          <w:lang w:val="sq-AL"/>
        </w:rPr>
        <w:lastRenderedPageBreak/>
        <w:t>rrit me 4,1% në Eurozonë dhe me 4,2% në BE në tremujorin e dytë të 2022, krahasuar me tremujorin e parë të 2022 që rritja ishte me +5,4% në Eurozonë dhe +5,5% në BE.</w:t>
      </w:r>
    </w:p>
    <w:p w14:paraId="1C47E11B" w14:textId="77777777" w:rsidR="00EF5076" w:rsidRPr="00D7447D" w:rsidRDefault="00EF5076" w:rsidP="000B3CCC">
      <w:pPr>
        <w:spacing w:before="120" w:after="120" w:line="276" w:lineRule="auto"/>
        <w:jc w:val="both"/>
        <w:rPr>
          <w:rFonts w:ascii="Times New Roman" w:eastAsia="Calibri" w:hAnsi="Times New Roman" w:cs="Times New Roman"/>
          <w:color w:val="000000" w:themeColor="text1"/>
          <w:sz w:val="24"/>
          <w:szCs w:val="24"/>
          <w:lang w:val="sq-AL"/>
        </w:rPr>
      </w:pPr>
      <w:r w:rsidRPr="00D7447D">
        <w:rPr>
          <w:rFonts w:ascii="Times New Roman" w:eastAsia="Calibri" w:hAnsi="Times New Roman" w:cs="Times New Roman"/>
          <w:color w:val="000000" w:themeColor="text1"/>
          <w:sz w:val="24"/>
          <w:szCs w:val="24"/>
          <w:lang w:val="sq-AL"/>
        </w:rPr>
        <w:t>Në tremujorin e dytë 2022, në të gjitha shtetet anëtare të BE-së për të cilat disponohen të dhëna, PBB-ja u zgjerua (në terma tremujore) në 22 vende dhe u tkurr në 4 vende. Respektivisht, Holanda (+2.6%) shënoi rritjen më të lartë të PBB-së krahasuar me tremujorin e mëparshëm, e ndjekur nga Rumania (+2,1%) dhe Kroacia (+2,0%). Ulje janë vërejtur në Poloni (-2,1%), Estoni (-1,3%), Letoni (-1,0%) dhe Lituania (-0,5%).</w:t>
      </w:r>
    </w:p>
    <w:p w14:paraId="0C938C53" w14:textId="77777777" w:rsidR="00EF5076" w:rsidRPr="00D7447D" w:rsidRDefault="00EF5076" w:rsidP="000B3CCC">
      <w:pPr>
        <w:spacing w:before="120" w:after="120" w:line="276" w:lineRule="auto"/>
        <w:jc w:val="both"/>
        <w:rPr>
          <w:rFonts w:ascii="Times New Roman" w:eastAsia="Calibri" w:hAnsi="Times New Roman" w:cs="Times New Roman"/>
          <w:color w:val="000000" w:themeColor="text1"/>
          <w:sz w:val="24"/>
          <w:szCs w:val="24"/>
          <w:lang w:val="sq-AL"/>
        </w:rPr>
      </w:pPr>
      <w:r w:rsidRPr="00D7447D">
        <w:rPr>
          <w:rFonts w:ascii="Times New Roman" w:eastAsia="Calibri" w:hAnsi="Times New Roman" w:cs="Times New Roman"/>
          <w:color w:val="000000" w:themeColor="text1"/>
          <w:sz w:val="24"/>
          <w:szCs w:val="24"/>
          <w:lang w:val="sq-AL"/>
        </w:rPr>
        <w:t>Partnerёt kryesorё tregtar pёr ekonominё shqiptare si Italia, Greqia dhe Gjermania shënuan rritje të PBB-së nё nivelin prej +4.7%, +7.7% dhe +1.7% përkatësisht, në tremujorin e dytë 2022, krahasuar me të njëjtin tremujor të një viti më parë.</w:t>
      </w:r>
    </w:p>
    <w:p w14:paraId="137AF285" w14:textId="77777777" w:rsidR="00EF5076" w:rsidRPr="00D7447D" w:rsidRDefault="00EF5076" w:rsidP="000B3CCC">
      <w:pPr>
        <w:spacing w:before="120" w:after="120" w:line="276" w:lineRule="auto"/>
        <w:jc w:val="both"/>
        <w:rPr>
          <w:rFonts w:ascii="Times New Roman" w:eastAsia="Calibri" w:hAnsi="Times New Roman" w:cs="Times New Roman"/>
          <w:color w:val="000000" w:themeColor="text1"/>
          <w:sz w:val="24"/>
          <w:szCs w:val="24"/>
          <w:lang w:val="sq-AL"/>
        </w:rPr>
      </w:pPr>
      <w:r w:rsidRPr="00D7447D">
        <w:rPr>
          <w:rFonts w:ascii="Times New Roman" w:eastAsia="Calibri" w:hAnsi="Times New Roman" w:cs="Times New Roman"/>
          <w:color w:val="000000" w:themeColor="text1"/>
          <w:sz w:val="24"/>
          <w:szCs w:val="24"/>
          <w:lang w:val="sq-AL"/>
        </w:rPr>
        <w:t>Aktiviteti ekonomik në Shqipëri është i ndikuar drejtpërsëdrejti nga ecuria ekonomike në mjedisin ndërkombëtar, veçanërisht nga partnerët e saj kryesorë tregtarë, kryesisht nëpërmjet eksporteve drejt tyre, remitancave, si dhe Investimeve të Huaja Direkte (IHD-të).</w:t>
      </w:r>
    </w:p>
    <w:p w14:paraId="6EB68BCA" w14:textId="77777777" w:rsidR="00EF5076" w:rsidRPr="00D7447D" w:rsidRDefault="00EF5076" w:rsidP="000B3CCC">
      <w:pPr>
        <w:spacing w:before="120" w:after="120" w:line="276" w:lineRule="auto"/>
        <w:jc w:val="both"/>
        <w:rPr>
          <w:rFonts w:ascii="Times New Roman" w:eastAsia="Calibri" w:hAnsi="Times New Roman" w:cs="Times New Roman"/>
          <w:color w:val="000000" w:themeColor="text1"/>
          <w:sz w:val="24"/>
          <w:szCs w:val="24"/>
          <w:lang w:val="sq-AL"/>
        </w:rPr>
      </w:pPr>
      <w:r w:rsidRPr="00D7447D">
        <w:rPr>
          <w:rFonts w:ascii="Times New Roman" w:eastAsia="Calibri" w:hAnsi="Times New Roman" w:cs="Times New Roman"/>
          <w:color w:val="000000" w:themeColor="text1"/>
          <w:sz w:val="24"/>
          <w:szCs w:val="24"/>
          <w:lang w:val="sq-AL"/>
        </w:rPr>
        <w:t>Në korrik 2022, sipas vlerësimit nga Eurostat norma e papunësisë</w:t>
      </w:r>
      <w:r w:rsidRPr="00D7447D">
        <w:rPr>
          <w:rStyle w:val="FootnoteReference"/>
          <w:rFonts w:ascii="Times New Roman" w:eastAsia="Calibri" w:hAnsi="Times New Roman" w:cs="Times New Roman"/>
          <w:color w:val="000000" w:themeColor="text1"/>
          <w:sz w:val="24"/>
          <w:szCs w:val="24"/>
          <w:lang w:val="sq-AL"/>
        </w:rPr>
        <w:footnoteReference w:id="3"/>
      </w:r>
      <w:r w:rsidRPr="00D7447D">
        <w:rPr>
          <w:rFonts w:ascii="Times New Roman" w:eastAsia="Calibri" w:hAnsi="Times New Roman" w:cs="Times New Roman"/>
          <w:color w:val="000000" w:themeColor="text1"/>
          <w:sz w:val="24"/>
          <w:szCs w:val="24"/>
          <w:lang w:val="sq-AL"/>
        </w:rPr>
        <w:t xml:space="preserve"> e përshtatur sezonalisht në Eurozonë ishte 6,6 %, nga 6,7 % në qershor 2022 dhe nga 7,7 % në Korrik 2021. Shkalla e papunësisë në BE ishte 6,0 % në Korrik 2022, nga 6,1 % në Qershor 2022 dhe nga 6,9 % në Korrik 2021. Vendet që shënuan rritje të punësimit gjatë tremujorin e dytë të 2022 në BE janë Lituania (+3,1%), Çekia dhe Irlanda (të dyja +1,6%) shënuan rritjen më të lartë punësimit në persona krahasuar me tremujorin paraardhës. Punësimi ra në Spanjë (-1.1%), Portugalia (-0,7%), Estonia (-0,6%), Rumania (-0,5%) dhe Kroacia (-0,4%).</w:t>
      </w:r>
    </w:p>
    <w:p w14:paraId="6C1DBC6A" w14:textId="77777777" w:rsidR="00EF5076" w:rsidRPr="00D7447D" w:rsidRDefault="00EF5076" w:rsidP="000B3CCC">
      <w:pPr>
        <w:spacing w:before="120" w:after="120" w:line="276" w:lineRule="auto"/>
        <w:jc w:val="both"/>
        <w:rPr>
          <w:rFonts w:ascii="Times New Roman" w:eastAsia="Calibri" w:hAnsi="Times New Roman" w:cs="Times New Roman"/>
          <w:color w:val="000000" w:themeColor="text1"/>
          <w:sz w:val="24"/>
          <w:szCs w:val="24"/>
          <w:lang w:val="sq-AL"/>
        </w:rPr>
      </w:pPr>
      <w:r w:rsidRPr="00D7447D">
        <w:rPr>
          <w:rFonts w:ascii="Times New Roman" w:eastAsia="Calibri" w:hAnsi="Times New Roman" w:cs="Times New Roman"/>
          <w:color w:val="000000" w:themeColor="text1"/>
          <w:sz w:val="24"/>
          <w:szCs w:val="24"/>
          <w:lang w:val="sq-AL"/>
        </w:rPr>
        <w:t>Norma vjetore e inflacionit</w:t>
      </w:r>
      <w:r w:rsidRPr="00D7447D">
        <w:rPr>
          <w:rStyle w:val="FootnoteReference"/>
          <w:rFonts w:ascii="Times New Roman" w:eastAsia="Calibri" w:hAnsi="Times New Roman" w:cs="Times New Roman"/>
          <w:color w:val="000000" w:themeColor="text1"/>
          <w:sz w:val="24"/>
          <w:szCs w:val="24"/>
          <w:lang w:val="sq-AL"/>
        </w:rPr>
        <w:footnoteReference w:id="4"/>
      </w:r>
      <w:r w:rsidRPr="00D7447D">
        <w:rPr>
          <w:rFonts w:ascii="Times New Roman" w:eastAsia="Calibri" w:hAnsi="Times New Roman" w:cs="Times New Roman"/>
          <w:color w:val="000000" w:themeColor="text1"/>
          <w:sz w:val="24"/>
          <w:szCs w:val="24"/>
          <w:lang w:val="sq-AL"/>
        </w:rPr>
        <w:t xml:space="preserve"> në eurozonë sipas vlerësimeve të fundit të bëra nga Eurostat ishte 8.9% në Korrik 2022, nga 8.6% në Qershor 2022. Një vit më parë, norma ishte 2.2%. Inflacioni vjetor i Bashkimit Evropian ishte 9.8% në Korrik 2022, nga 9.6% në Qershor. Një vit më parë, norma ishte 2.5%. Normat më të ulëta vjetore janë regjistruar në Francë, Maltë (të dyja 6.8%) dhe Finlandë (8.0%). Normat më të larta vjetore u regjistruan në Estoni (23.2%), Letoni (21.3%) dhe Lituani (20.9%). Krahasuar me Qershorin, inflacioni vjetor ra në gjashtë shtete anëtare, mbeti i qëndrueshëm në tre dhe u rrit në tetëmbëdhjetë vende të tjera antare të BE-së. Në Korrik, grupet të cilat patën kontributin më të lartë në inflacionin e përgjithshëm vjetor ishin: energjia (+4,02 pikë përqindje), e ndjekur nga ushqimi, alkooli dhe duhani (+2,08 pikë përqindje), shërbimet (+1,60 pikë përqindje) dhe mallrat industriale joenergjetike (+1,16 pikë përqindje).</w:t>
      </w:r>
    </w:p>
    <w:p w14:paraId="4BD22E69" w14:textId="77777777" w:rsidR="00EF5076" w:rsidRPr="00D7447D" w:rsidRDefault="00EF5076" w:rsidP="000B3CCC">
      <w:pPr>
        <w:spacing w:before="120" w:after="120" w:line="276" w:lineRule="auto"/>
        <w:jc w:val="both"/>
        <w:rPr>
          <w:rFonts w:ascii="Times New Roman" w:eastAsia="Calibri" w:hAnsi="Times New Roman" w:cs="Times New Roman"/>
          <w:b/>
          <w:bCs/>
          <w:i/>
          <w:color w:val="244061"/>
          <w:sz w:val="24"/>
          <w:szCs w:val="24"/>
          <w:lang w:val="sq-AL"/>
        </w:rPr>
      </w:pPr>
      <w:r w:rsidRPr="00D7447D">
        <w:rPr>
          <w:rFonts w:ascii="Times New Roman" w:eastAsia="Calibri" w:hAnsi="Times New Roman" w:cs="Times New Roman"/>
          <w:color w:val="000000" w:themeColor="text1"/>
          <w:sz w:val="24"/>
          <w:szCs w:val="24"/>
          <w:lang w:val="sq-AL"/>
        </w:rPr>
        <w:t xml:space="preserve">Banka Qendrore Evropiane (BQE) </w:t>
      </w:r>
      <w:r w:rsidRPr="00D7447D">
        <w:rPr>
          <w:rStyle w:val="FootnoteReference"/>
          <w:rFonts w:ascii="Times New Roman" w:eastAsia="Calibri" w:hAnsi="Times New Roman" w:cs="Times New Roman"/>
          <w:color w:val="000000" w:themeColor="text1"/>
          <w:sz w:val="24"/>
          <w:szCs w:val="24"/>
          <w:lang w:val="sq-AL"/>
        </w:rPr>
        <w:footnoteReference w:id="5"/>
      </w:r>
      <w:r w:rsidRPr="00D7447D">
        <w:rPr>
          <w:rFonts w:ascii="Times New Roman" w:eastAsia="Calibri" w:hAnsi="Times New Roman" w:cs="Times New Roman"/>
          <w:color w:val="000000" w:themeColor="text1"/>
          <w:sz w:val="24"/>
          <w:szCs w:val="24"/>
          <w:lang w:val="sq-AL"/>
        </w:rPr>
        <w:t>parashikon që inflacioni do të mbetet i lartë në afat të shkurtër për shkak të rritjes së çmimeve të energjisë dhe ushqimeve, mungesës së ofertës dhe efekteve të rihapjes së ekonomisë. Ndërsa këta faktorë zbehen, inflacioni do të bjerë nga 8.1% në 2022 në 2.3% në 2024, i mbështetur ende nga pagat më të larta dhe euro më e dobët.</w:t>
      </w:r>
    </w:p>
    <w:p w14:paraId="594B4E61" w14:textId="77777777" w:rsidR="00EF5076" w:rsidRPr="00D7447D" w:rsidRDefault="00EF5076" w:rsidP="000B3CCC">
      <w:pPr>
        <w:spacing w:before="120" w:after="120" w:line="276" w:lineRule="auto"/>
        <w:jc w:val="both"/>
        <w:rPr>
          <w:rFonts w:ascii="Times New Roman" w:eastAsia="Calibri" w:hAnsi="Times New Roman" w:cs="Times New Roman"/>
          <w:b/>
          <w:bCs/>
          <w:i/>
          <w:color w:val="244061"/>
          <w:sz w:val="24"/>
          <w:szCs w:val="24"/>
          <w:lang w:val="sq-AL"/>
        </w:rPr>
      </w:pPr>
    </w:p>
    <w:p w14:paraId="390AD015" w14:textId="77777777" w:rsidR="00EF5076" w:rsidRPr="00D7447D" w:rsidRDefault="00EF5076" w:rsidP="000B3CCC">
      <w:pPr>
        <w:spacing w:before="120" w:after="120" w:line="276" w:lineRule="auto"/>
        <w:jc w:val="both"/>
        <w:rPr>
          <w:rFonts w:ascii="Times New Roman" w:eastAsia="Calibri" w:hAnsi="Times New Roman" w:cs="Times New Roman"/>
          <w:b/>
          <w:bCs/>
          <w:i/>
          <w:color w:val="244061"/>
          <w:sz w:val="24"/>
          <w:szCs w:val="24"/>
          <w:lang w:val="sq-AL"/>
        </w:rPr>
      </w:pPr>
      <w:r w:rsidRPr="00D7447D">
        <w:rPr>
          <w:rFonts w:ascii="Times New Roman" w:eastAsia="Calibri" w:hAnsi="Times New Roman" w:cs="Times New Roman"/>
          <w:b/>
          <w:bCs/>
          <w:i/>
          <w:color w:val="244061"/>
          <w:sz w:val="24"/>
          <w:szCs w:val="24"/>
          <w:lang w:val="sq-AL"/>
        </w:rPr>
        <w:lastRenderedPageBreak/>
        <w:t xml:space="preserve">Zhvillimet në Shqipëri </w:t>
      </w:r>
    </w:p>
    <w:p w14:paraId="6EDD7E3B"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bCs/>
          <w:color w:val="244061"/>
          <w:sz w:val="24"/>
          <w:szCs w:val="24"/>
          <w:lang w:val="sq-AL"/>
        </w:rPr>
      </w:pPr>
      <w:r w:rsidRPr="00D7447D">
        <w:rPr>
          <w:rFonts w:ascii="Times New Roman" w:eastAsia="Calibri" w:hAnsi="Times New Roman" w:cs="Times New Roman"/>
          <w:bCs/>
          <w:color w:val="244061"/>
          <w:sz w:val="24"/>
          <w:szCs w:val="24"/>
          <w:lang w:val="sq-AL"/>
        </w:rPr>
        <w:t xml:space="preserve">Sektori real   </w:t>
      </w:r>
    </w:p>
    <w:p w14:paraId="42409E03" w14:textId="77777777" w:rsidR="00EF5076" w:rsidRPr="00D7447D" w:rsidRDefault="00EF5076" w:rsidP="000B3CCC">
      <w:p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 xml:space="preserve">Ekonomia e vendit ka qenë tejet elastike përballë dy goditjeve të njëpasnjëshme që ishin: tërmeti i nëntorit 2019 dhe shpërthimi i pandemisë COVID-19. Mbështetja e politikës fiskale dhe monetare së bashku me masat e duhura rregullatore kanë ndihmuar në zbutjen e ndikimit  të rëndë që të dy goditjet kanë patur në ekonomi dhe kanë përgatitur terrenin për një rimëkëmbje të shpejtë dhe të fortë. Pas një tkurrjeje prej -3.5 përqind në vitin 2020, ekonomia u rrit me 8.5 përqind në vitin 2021, e cila rezultoi të ishte më e fortë dhe në një bazë më të gjerë krahasuar me sa pritej, e nxitur nga një rikthim i shpejtë i turizmit, si dhe nga investimet e larta. </w:t>
      </w:r>
    </w:p>
    <w:p w14:paraId="43FAA73D" w14:textId="77777777" w:rsidR="00EF5076" w:rsidRPr="00D7447D" w:rsidRDefault="00EF5076" w:rsidP="000B3CCC">
      <w:pPr>
        <w:spacing w:after="0" w:line="276" w:lineRule="auto"/>
        <w:jc w:val="both"/>
        <w:rPr>
          <w:rFonts w:ascii="Times New Roman" w:hAnsi="Times New Roman" w:cs="Times New Roman"/>
          <w:sz w:val="24"/>
          <w:szCs w:val="24"/>
          <w:lang w:val="sq-AL"/>
        </w:rPr>
      </w:pPr>
    </w:p>
    <w:p w14:paraId="01EEBA50" w14:textId="77777777" w:rsidR="00EF5076" w:rsidRPr="00D7447D" w:rsidRDefault="00EF5076" w:rsidP="000B3CCC">
      <w:p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Përgjatë vitit 2021 ekonomia ka shfaqur shenja mjaft inkurajuese, duke shënuar një rikuperim të shpejtë të aktivitetit ekonomik. Sipas vlerësimeve të fundit të INSTAT, PBB-ja reale u rrit me 8.54 përqind në terma vjetorë në vitin 2021, krahasuar me vitin paraardhës. Kjo rimëkëmbje e fortë mbështetet në një gamë të gjerë faktorësh dhe është e pranishme pothuajse në të gjithë sektorët e ekonomisë. Ulja (pothuajse heqja) e kufizimeve pas rënies së infeksioneve, ku rol kyç ka luajtur edhe procesi i vaksinimit, rritja e besimit të biznesit dhe konsumatorit, përmirësimi i ekonomive partnere, si dhe politikat mbështetëse fiskale dhe monetare, kanë çuar në rritjen e konsumit privat, investimeve publike dhe private, si dhe eksporteve. Si sektori i prodhimit ashtu dhe ai i shërbimeve kanë përfituar nga këto zhvillime, duke siguruar rimëkëmbje për biznesin dhe punësimin dhe duke krijuar premisa të mira për perspektivën afatmesme.</w:t>
      </w:r>
    </w:p>
    <w:p w14:paraId="3E6E38CC" w14:textId="77777777" w:rsidR="00EF5076" w:rsidRPr="00D7447D" w:rsidRDefault="00EF5076" w:rsidP="000B3CCC">
      <w:pPr>
        <w:spacing w:after="0" w:line="276" w:lineRule="auto"/>
        <w:jc w:val="both"/>
        <w:rPr>
          <w:rFonts w:ascii="Times New Roman" w:eastAsia="Times New Roman" w:hAnsi="Times New Roman" w:cs="Times New Roman"/>
          <w:sz w:val="24"/>
          <w:szCs w:val="24"/>
          <w:lang w:val="sq-AL"/>
        </w:rPr>
      </w:pPr>
    </w:p>
    <w:p w14:paraId="2585CA9F" w14:textId="77777777" w:rsidR="00EF5076" w:rsidRPr="00D7447D" w:rsidRDefault="00EF5076" w:rsidP="000B3CCC">
      <w:pPr>
        <w:spacing w:after="0" w:line="276" w:lineRule="auto"/>
        <w:jc w:val="both"/>
        <w:rPr>
          <w:rFonts w:ascii="Times New Roman" w:eastAsia="Times New Roman" w:hAnsi="Times New Roman" w:cs="Times New Roman"/>
          <w:sz w:val="24"/>
          <w:szCs w:val="24"/>
        </w:rPr>
      </w:pPr>
      <w:r w:rsidRPr="00D7447D">
        <w:rPr>
          <w:rFonts w:ascii="Times New Roman" w:hAnsi="Times New Roman" w:cs="Times New Roman"/>
          <w:sz w:val="24"/>
          <w:szCs w:val="24"/>
          <w:lang w:val="sq-AL"/>
        </w:rPr>
        <w:t>Sipas vlerësimeve më të fundit nga Instat, për tremujorin e parë të vitit 2022 jepet një vlerësim paraprak ku treguesi i PBB vlerësohet me një rritje prej 5.97%, krahasuar me të njëjtin tremujor të një viti më parë.</w:t>
      </w:r>
    </w:p>
    <w:p w14:paraId="18BAFE72" w14:textId="77777777" w:rsidR="00EF5076" w:rsidRPr="00D7447D" w:rsidRDefault="00EF5076" w:rsidP="000B3CCC">
      <w:pPr>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Grafiku i mëposhtëm pasqyron ecurinë ekonomike në vend që nga viti 2012-2021,  duke përfshirë dhe tremujorin e parë të 2022. (sipas vlerësimeve më të fundit nga INSTAT).</w:t>
      </w:r>
      <w:r w:rsidRPr="00D7447D">
        <w:rPr>
          <w:rFonts w:ascii="Times New Roman" w:eastAsia="Calibri" w:hAnsi="Times New Roman" w:cs="Times New Roman"/>
          <w:sz w:val="24"/>
          <w:szCs w:val="24"/>
          <w:vertAlign w:val="superscript"/>
          <w:lang w:val="sq-AL"/>
        </w:rPr>
        <w:footnoteReference w:id="6"/>
      </w:r>
    </w:p>
    <w:p w14:paraId="58C0163B" w14:textId="77777777" w:rsidR="00EF5076" w:rsidRPr="00D7447D" w:rsidRDefault="00EF5076" w:rsidP="000B3CCC">
      <w:pPr>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Grafiku 2.1</w:t>
      </w:r>
      <w:r w:rsidRPr="00D7447D">
        <w:rPr>
          <w:rFonts w:ascii="Times New Roman" w:eastAsia="Calibri" w:hAnsi="Times New Roman" w:cs="Times New Roman"/>
          <w:sz w:val="24"/>
          <w:szCs w:val="24"/>
          <w:lang w:val="sq-AL"/>
        </w:rPr>
        <w:t>: Ecuria vjetore e PBB-së, dhe tremujori i parë i vitit 2022</w:t>
      </w:r>
    </w:p>
    <w:p w14:paraId="5C21C5D3" w14:textId="77777777" w:rsidR="00EF5076" w:rsidRPr="00D7447D" w:rsidRDefault="00EF5076" w:rsidP="000B3CCC">
      <w:pPr>
        <w:spacing w:line="276" w:lineRule="auto"/>
        <w:jc w:val="center"/>
        <w:rPr>
          <w:rFonts w:ascii="Times New Roman" w:hAnsi="Times New Roman" w:cs="Times New Roman"/>
          <w:sz w:val="24"/>
          <w:szCs w:val="24"/>
        </w:rPr>
      </w:pPr>
      <w:r w:rsidRPr="00D7447D">
        <w:rPr>
          <w:rFonts w:ascii="Times New Roman" w:hAnsi="Times New Roman" w:cs="Times New Roman"/>
          <w:noProof/>
          <w:sz w:val="24"/>
          <w:szCs w:val="24"/>
        </w:rPr>
        <w:lastRenderedPageBreak/>
        <w:drawing>
          <wp:inline distT="0" distB="0" distL="0" distR="0" wp14:anchorId="01C577B8" wp14:editId="0F8E8CC9">
            <wp:extent cx="4881845" cy="2353586"/>
            <wp:effectExtent l="0" t="0" r="0" b="889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7292" cy="2356212"/>
                    </a:xfrm>
                    <a:prstGeom prst="rect">
                      <a:avLst/>
                    </a:prstGeom>
                    <a:noFill/>
                    <a:ln>
                      <a:noFill/>
                    </a:ln>
                  </pic:spPr>
                </pic:pic>
              </a:graphicData>
            </a:graphic>
          </wp:inline>
        </w:drawing>
      </w:r>
    </w:p>
    <w:p w14:paraId="16AF1B2D" w14:textId="77777777" w:rsidR="00EF5076" w:rsidRPr="00D7447D" w:rsidRDefault="00EF5076" w:rsidP="000B3CCC">
      <w:pPr>
        <w:spacing w:line="276" w:lineRule="auto"/>
        <w:jc w:val="both"/>
        <w:rPr>
          <w:rFonts w:ascii="Times New Roman" w:hAnsi="Times New Roman" w:cs="Times New Roman"/>
          <w:i/>
          <w:sz w:val="24"/>
          <w:szCs w:val="24"/>
        </w:rPr>
      </w:pPr>
      <w:r w:rsidRPr="00D7447D">
        <w:rPr>
          <w:rFonts w:ascii="Times New Roman" w:hAnsi="Times New Roman" w:cs="Times New Roman"/>
          <w:i/>
          <w:sz w:val="24"/>
          <w:szCs w:val="24"/>
        </w:rPr>
        <w:t xml:space="preserve">               Burimi: INSTAT, Qeshor 2022</w:t>
      </w:r>
    </w:p>
    <w:p w14:paraId="56B259EC" w14:textId="77777777" w:rsidR="00EF5076" w:rsidRPr="00D7447D" w:rsidRDefault="00EF5076" w:rsidP="000B3CCC">
      <w:pPr>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Nga optika e ofertës, kontribut pozitiv përgjatë tremujorit të parë të 2022 dhanë degët: “Ndërtimi” me rritje 25.49% dhe kontribut 1.95 pikë përqindje; “Tregtia, transporti, Akomodimi dhe Shërbimi ushqimor” me rritje 10.55% dhe kontribut 1.55 pikë përqindje; “Aktivitete të pasurive të paluajtshme (real estate)” me rritje 14.86% dhe kontribut 0.91 pikë përqindje; “Aktivitete profesionale dhe administrative” me rritje 11.88% në terma real dhe kontribut prej 0.66 pikë përqindje, etj.</w:t>
      </w:r>
    </w:p>
    <w:p w14:paraId="1330A501" w14:textId="77777777" w:rsidR="00EF5076" w:rsidRPr="00D7447D" w:rsidRDefault="00EF5076" w:rsidP="000B3CCC">
      <w:pPr>
        <w:spacing w:before="120" w:after="120" w:line="276" w:lineRule="auto"/>
        <w:jc w:val="both"/>
        <w:rPr>
          <w:rFonts w:ascii="Times New Roman" w:hAnsi="Times New Roman" w:cs="Times New Roman"/>
          <w:sz w:val="24"/>
          <w:szCs w:val="24"/>
          <w:lang w:val="da-DK"/>
        </w:rPr>
      </w:pPr>
      <w:r w:rsidRPr="00D7447D">
        <w:rPr>
          <w:rFonts w:ascii="Times New Roman" w:eastAsia="Calibri" w:hAnsi="Times New Roman" w:cs="Times New Roman"/>
          <w:sz w:val="24"/>
          <w:szCs w:val="24"/>
          <w:lang w:val="sq-AL"/>
        </w:rPr>
        <w:t xml:space="preserve">Tabela më poshtë paraqet rritjen dhe kontributin sipas sektorëve të prodhimit në rritjen ekonomike </w:t>
      </w:r>
      <w:r w:rsidRPr="00D7447D">
        <w:rPr>
          <w:rFonts w:ascii="Times New Roman" w:eastAsia="Calibri" w:hAnsi="Times New Roman" w:cs="Times New Roman"/>
          <w:sz w:val="24"/>
          <w:szCs w:val="24"/>
          <w:lang w:val="da-DK"/>
        </w:rPr>
        <w:t xml:space="preserve">në </w:t>
      </w:r>
      <w:r w:rsidRPr="00D7447D">
        <w:rPr>
          <w:rFonts w:ascii="Times New Roman" w:hAnsi="Times New Roman" w:cs="Times New Roman"/>
          <w:sz w:val="24"/>
          <w:szCs w:val="24"/>
          <w:lang w:val="da-DK"/>
        </w:rPr>
        <w:t xml:space="preserve">tremujorin e parë të vitit 2022 krahasuar me po të njëjtin tremujor të një viti më parë (T1-2021).  </w:t>
      </w:r>
    </w:p>
    <w:p w14:paraId="4C36CAEA" w14:textId="77777777" w:rsidR="00EF5076" w:rsidRPr="00D7447D" w:rsidRDefault="00EF5076" w:rsidP="000B3CCC">
      <w:pPr>
        <w:spacing w:before="120" w:after="120" w:line="276" w:lineRule="auto"/>
        <w:jc w:val="both"/>
        <w:rPr>
          <w:rFonts w:ascii="Times New Roman" w:eastAsia="Calibri" w:hAnsi="Times New Roman" w:cs="Times New Roman"/>
          <w:i/>
          <w:sz w:val="24"/>
          <w:szCs w:val="24"/>
          <w:lang w:val="da-DK"/>
        </w:rPr>
      </w:pPr>
      <w:r w:rsidRPr="00D7447D">
        <w:rPr>
          <w:rFonts w:ascii="Times New Roman" w:eastAsia="Calibri" w:hAnsi="Times New Roman" w:cs="Times New Roman"/>
          <w:b/>
          <w:sz w:val="24"/>
          <w:szCs w:val="24"/>
          <w:lang w:val="da-DK"/>
        </w:rPr>
        <w:t>Tabela 2.1</w:t>
      </w:r>
      <w:r w:rsidRPr="00D7447D">
        <w:rPr>
          <w:rFonts w:ascii="Times New Roman" w:eastAsia="Calibri" w:hAnsi="Times New Roman" w:cs="Times New Roman"/>
          <w:b/>
          <w:i/>
          <w:sz w:val="24"/>
          <w:szCs w:val="24"/>
          <w:lang w:val="da-DK"/>
        </w:rPr>
        <w:t>:</w:t>
      </w:r>
      <w:r w:rsidRPr="00D7447D">
        <w:rPr>
          <w:rFonts w:ascii="Times New Roman" w:eastAsia="Calibri" w:hAnsi="Times New Roman" w:cs="Times New Roman"/>
          <w:i/>
          <w:sz w:val="24"/>
          <w:szCs w:val="24"/>
          <w:lang w:val="da-DK"/>
        </w:rPr>
        <w:t xml:space="preserve"> Rritja dhe kontributi sipas sektorëve të prodhimit në rritjen ekonomike</w:t>
      </w:r>
    </w:p>
    <w:p w14:paraId="6D134BA5" w14:textId="77777777" w:rsidR="00EF5076" w:rsidRPr="00D7447D" w:rsidRDefault="00EF5076" w:rsidP="000B3CCC">
      <w:pPr>
        <w:spacing w:line="276" w:lineRule="auto"/>
        <w:contextualSpacing/>
        <w:jc w:val="center"/>
        <w:rPr>
          <w:rFonts w:ascii="Times New Roman" w:hAnsi="Times New Roman" w:cs="Times New Roman"/>
          <w:sz w:val="24"/>
          <w:szCs w:val="24"/>
        </w:rPr>
      </w:pPr>
      <w:r w:rsidRPr="00D7447D">
        <w:rPr>
          <w:rFonts w:ascii="Times New Roman" w:hAnsi="Times New Roman" w:cs="Times New Roman"/>
          <w:noProof/>
          <w:sz w:val="24"/>
          <w:szCs w:val="24"/>
        </w:rPr>
        <w:drawing>
          <wp:inline distT="0" distB="0" distL="0" distR="0" wp14:anchorId="6ABBC4AD" wp14:editId="40750088">
            <wp:extent cx="5339751" cy="245237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288" cy="2453994"/>
                    </a:xfrm>
                    <a:prstGeom prst="rect">
                      <a:avLst/>
                    </a:prstGeom>
                    <a:noFill/>
                    <a:ln>
                      <a:noFill/>
                    </a:ln>
                  </pic:spPr>
                </pic:pic>
              </a:graphicData>
            </a:graphic>
          </wp:inline>
        </w:drawing>
      </w:r>
    </w:p>
    <w:p w14:paraId="1849F493" w14:textId="77777777" w:rsidR="00EF5076" w:rsidRPr="00D7447D" w:rsidRDefault="00EF5076" w:rsidP="000B3CCC">
      <w:pPr>
        <w:spacing w:line="276" w:lineRule="auto"/>
        <w:contextualSpacing/>
        <w:jc w:val="both"/>
        <w:rPr>
          <w:rFonts w:ascii="Times New Roman" w:hAnsi="Times New Roman" w:cs="Times New Roman"/>
          <w:i/>
          <w:sz w:val="24"/>
          <w:szCs w:val="24"/>
        </w:rPr>
      </w:pPr>
      <w:r w:rsidRPr="00D7447D">
        <w:rPr>
          <w:rFonts w:ascii="Times New Roman" w:hAnsi="Times New Roman" w:cs="Times New Roman"/>
          <w:i/>
          <w:sz w:val="24"/>
          <w:szCs w:val="24"/>
        </w:rPr>
        <w:t>Burimi: INSTAT, Qeshor 2022</w:t>
      </w:r>
    </w:p>
    <w:p w14:paraId="68387A26" w14:textId="77777777" w:rsidR="00EF5076" w:rsidRPr="00D7447D" w:rsidRDefault="00EF5076" w:rsidP="000B3CCC">
      <w:pPr>
        <w:spacing w:line="276" w:lineRule="auto"/>
        <w:contextualSpacing/>
        <w:jc w:val="both"/>
        <w:rPr>
          <w:rFonts w:ascii="Times New Roman" w:hAnsi="Times New Roman" w:cs="Times New Roman"/>
          <w:i/>
          <w:sz w:val="24"/>
          <w:szCs w:val="24"/>
        </w:rPr>
      </w:pPr>
    </w:p>
    <w:p w14:paraId="59B30056" w14:textId="77777777" w:rsidR="00EF5076" w:rsidRPr="00D7447D" w:rsidRDefault="00EF5076" w:rsidP="000B3CCC">
      <w:pPr>
        <w:spacing w:line="276" w:lineRule="auto"/>
        <w:jc w:val="both"/>
        <w:rPr>
          <w:rFonts w:ascii="Times New Roman" w:eastAsia="Calibri" w:hAnsi="Times New Roman" w:cs="Times New Roman"/>
          <w:sz w:val="24"/>
          <w:szCs w:val="24"/>
          <w:lang w:val="da-DK"/>
        </w:rPr>
      </w:pPr>
      <w:r w:rsidRPr="00D7447D">
        <w:rPr>
          <w:rFonts w:ascii="Times New Roman" w:eastAsia="Calibri" w:hAnsi="Times New Roman" w:cs="Times New Roman"/>
          <w:sz w:val="24"/>
          <w:szCs w:val="24"/>
          <w:lang w:val="da-DK"/>
        </w:rPr>
        <w:t xml:space="preserve">Në anën e kërkesës agregate,  konsumi final total, i cili përbën peshën më të madhe në ekonomi, pësoi rritje me rreth 6.81 përqind në terma real në tremujorin e parë të vitit 2022, po ashtu konsumi </w:t>
      </w:r>
      <w:r w:rsidRPr="00D7447D">
        <w:rPr>
          <w:rFonts w:ascii="Times New Roman" w:eastAsia="Calibri" w:hAnsi="Times New Roman" w:cs="Times New Roman"/>
          <w:sz w:val="24"/>
          <w:szCs w:val="24"/>
          <w:lang w:val="da-DK"/>
        </w:rPr>
        <w:lastRenderedPageBreak/>
        <w:t xml:space="preserve">final i popullatës u paraqit me rritje prej 8.63 përqind, ndërsa konsumi i administratës publike pësoi rënie me me 2.79%. </w:t>
      </w:r>
    </w:p>
    <w:p w14:paraId="4E8E2940" w14:textId="39249214" w:rsidR="00EF5076" w:rsidRPr="00D7447D" w:rsidRDefault="00EF5076" w:rsidP="000B3CCC">
      <w:pPr>
        <w:spacing w:before="120" w:after="120" w:line="276" w:lineRule="auto"/>
        <w:jc w:val="both"/>
        <w:rPr>
          <w:rFonts w:ascii="Times New Roman" w:hAnsi="Times New Roman" w:cs="Times New Roman"/>
          <w:sz w:val="24"/>
          <w:szCs w:val="24"/>
          <w:lang w:val="da-DK"/>
        </w:rPr>
      </w:pPr>
      <w:r w:rsidRPr="00D7447D">
        <w:rPr>
          <w:rFonts w:ascii="Times New Roman" w:eastAsia="Calibri" w:hAnsi="Times New Roman" w:cs="Times New Roman"/>
          <w:sz w:val="24"/>
          <w:szCs w:val="24"/>
          <w:lang w:val="sq-AL"/>
        </w:rPr>
        <w:t xml:space="preserve">Tabela më poshtë paraqet rritjen e çdo komponenti të kërkesës agregate, si dhe kontributin e secilit prej tyre </w:t>
      </w:r>
      <w:r w:rsidRPr="00D7447D">
        <w:rPr>
          <w:rFonts w:ascii="Times New Roman" w:eastAsia="Calibri" w:hAnsi="Times New Roman" w:cs="Times New Roman"/>
          <w:sz w:val="24"/>
          <w:szCs w:val="24"/>
          <w:lang w:val="da-DK"/>
        </w:rPr>
        <w:t xml:space="preserve">për </w:t>
      </w:r>
      <w:r w:rsidRPr="00D7447D">
        <w:rPr>
          <w:rFonts w:ascii="Times New Roman" w:hAnsi="Times New Roman" w:cs="Times New Roman"/>
          <w:sz w:val="24"/>
          <w:szCs w:val="24"/>
          <w:lang w:val="da-DK"/>
        </w:rPr>
        <w:t>tremujorin e dytë të vitit 2022 krahasuar me po të njëjtin tremujor të një viti më parë (T1-2021).</w:t>
      </w:r>
    </w:p>
    <w:p w14:paraId="3ED15471" w14:textId="77777777" w:rsidR="00EF5076" w:rsidRPr="00D7447D" w:rsidRDefault="00EF5076" w:rsidP="000B3CCC">
      <w:pPr>
        <w:spacing w:line="276" w:lineRule="auto"/>
        <w:jc w:val="both"/>
        <w:rPr>
          <w:rFonts w:ascii="Times New Roman" w:eastAsia="Calibri" w:hAnsi="Times New Roman" w:cs="Times New Roman"/>
          <w:b/>
          <w:sz w:val="24"/>
          <w:szCs w:val="24"/>
          <w:lang w:val="da-DK"/>
        </w:rPr>
      </w:pPr>
    </w:p>
    <w:p w14:paraId="7FA144DE" w14:textId="77777777" w:rsidR="00EF5076" w:rsidRPr="00D7447D" w:rsidRDefault="00EF5076" w:rsidP="000B3CCC">
      <w:pPr>
        <w:spacing w:line="276" w:lineRule="auto"/>
        <w:jc w:val="both"/>
        <w:rPr>
          <w:rFonts w:ascii="Times New Roman" w:hAnsi="Times New Roman" w:cs="Times New Roman"/>
          <w:sz w:val="24"/>
          <w:szCs w:val="24"/>
          <w:lang w:val="da-DK"/>
        </w:rPr>
      </w:pPr>
      <w:r w:rsidRPr="00D7447D">
        <w:rPr>
          <w:rFonts w:ascii="Times New Roman" w:eastAsia="Calibri" w:hAnsi="Times New Roman" w:cs="Times New Roman"/>
          <w:b/>
          <w:sz w:val="24"/>
          <w:szCs w:val="24"/>
          <w:lang w:val="da-DK"/>
        </w:rPr>
        <w:t>Tabela 2.2:</w:t>
      </w:r>
      <w:r w:rsidRPr="00D7447D">
        <w:rPr>
          <w:rFonts w:ascii="Times New Roman" w:eastAsia="Calibri" w:hAnsi="Times New Roman" w:cs="Times New Roman"/>
          <w:sz w:val="24"/>
          <w:szCs w:val="24"/>
          <w:lang w:val="da-DK"/>
        </w:rPr>
        <w:t xml:space="preserve"> Rritja e çdo komponenti të kërkesës agregate dhe kontributi sipas metodës së shpenzimeve</w:t>
      </w:r>
      <w:r w:rsidRPr="00D7447D">
        <w:rPr>
          <w:rFonts w:ascii="Times New Roman" w:hAnsi="Times New Roman" w:cs="Times New Roman"/>
          <w:sz w:val="24"/>
          <w:szCs w:val="24"/>
          <w:lang w:val="da-DK"/>
        </w:rPr>
        <w:t xml:space="preserve"> </w:t>
      </w:r>
    </w:p>
    <w:p w14:paraId="68DC0656" w14:textId="77777777" w:rsidR="00EF5076" w:rsidRPr="00D7447D" w:rsidRDefault="00EF5076" w:rsidP="000B3CCC">
      <w:pPr>
        <w:spacing w:line="276" w:lineRule="auto"/>
        <w:contextualSpacing/>
        <w:jc w:val="center"/>
        <w:rPr>
          <w:rFonts w:ascii="Times New Roman" w:hAnsi="Times New Roman" w:cs="Times New Roman"/>
          <w:sz w:val="24"/>
          <w:szCs w:val="24"/>
        </w:rPr>
      </w:pPr>
      <w:r w:rsidRPr="00D7447D">
        <w:rPr>
          <w:rFonts w:ascii="Times New Roman" w:hAnsi="Times New Roman" w:cs="Times New Roman"/>
          <w:noProof/>
          <w:sz w:val="24"/>
          <w:szCs w:val="24"/>
        </w:rPr>
        <w:drawing>
          <wp:inline distT="0" distB="0" distL="0" distR="0" wp14:anchorId="63A23985" wp14:editId="61859488">
            <wp:extent cx="5029200" cy="1925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4436" cy="1927960"/>
                    </a:xfrm>
                    <a:prstGeom prst="rect">
                      <a:avLst/>
                    </a:prstGeom>
                    <a:noFill/>
                    <a:ln>
                      <a:noFill/>
                    </a:ln>
                  </pic:spPr>
                </pic:pic>
              </a:graphicData>
            </a:graphic>
          </wp:inline>
        </w:drawing>
      </w:r>
    </w:p>
    <w:p w14:paraId="5BEBFDA9" w14:textId="77777777" w:rsidR="00EF5076" w:rsidRPr="00D7447D" w:rsidRDefault="00EF5076" w:rsidP="000B3CCC">
      <w:pPr>
        <w:spacing w:line="276" w:lineRule="auto"/>
        <w:contextualSpacing/>
        <w:jc w:val="both"/>
        <w:rPr>
          <w:rFonts w:ascii="Times New Roman" w:hAnsi="Times New Roman" w:cs="Times New Roman"/>
          <w:i/>
          <w:sz w:val="24"/>
          <w:szCs w:val="24"/>
        </w:rPr>
      </w:pPr>
      <w:r w:rsidRPr="00D7447D">
        <w:rPr>
          <w:rFonts w:ascii="Times New Roman" w:hAnsi="Times New Roman" w:cs="Times New Roman"/>
          <w:i/>
          <w:sz w:val="24"/>
          <w:szCs w:val="24"/>
        </w:rPr>
        <w:t>Burimi: INSTAT, Qeshor 2022</w:t>
      </w:r>
    </w:p>
    <w:p w14:paraId="076F363B" w14:textId="77777777" w:rsidR="00EF5076" w:rsidRPr="00D7447D" w:rsidRDefault="00EF5076" w:rsidP="000B3CCC">
      <w:pPr>
        <w:spacing w:line="276" w:lineRule="auto"/>
        <w:contextualSpacing/>
        <w:jc w:val="both"/>
        <w:rPr>
          <w:rFonts w:ascii="Times New Roman" w:hAnsi="Times New Roman" w:cs="Times New Roman"/>
          <w:i/>
          <w:sz w:val="24"/>
          <w:szCs w:val="24"/>
        </w:rPr>
      </w:pPr>
    </w:p>
    <w:p w14:paraId="5080363F" w14:textId="77777777" w:rsidR="00EF5076" w:rsidRPr="00D7447D" w:rsidRDefault="00EF5076" w:rsidP="000B3CCC">
      <w:pPr>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Të dhënat e papunësisë sipas Anketës Tremujore të Forcave të Punës (LFS) tregojnë se situata aktuale po përmirësohet, pas gati tre tremujorëve me rënie, dhe po kthehet në nivelet e para krizës, me një periudhe të gjatë me tregues në rritje për punësimin dhe rënie të normës së papunësisë.</w:t>
      </w:r>
    </w:p>
    <w:p w14:paraId="61ADED4B" w14:textId="77777777" w:rsidR="00EF5076" w:rsidRPr="00D7447D" w:rsidRDefault="00EF5076" w:rsidP="000B3CCC">
      <w:pPr>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Të dhënat më të fundit për tremujorin e dytë të vitit 2022 tregojnë se norma zyrtare e papunësisë</w:t>
      </w:r>
      <w:r w:rsidRPr="00D7447D">
        <w:rPr>
          <w:rStyle w:val="FootnoteReference"/>
          <w:rFonts w:ascii="Times New Roman" w:eastAsia="Calibri" w:hAnsi="Times New Roman" w:cs="Times New Roman"/>
          <w:sz w:val="24"/>
          <w:szCs w:val="24"/>
          <w:lang w:val="sq-AL"/>
        </w:rPr>
        <w:footnoteReference w:id="7"/>
      </w:r>
      <w:r w:rsidRPr="00D7447D">
        <w:rPr>
          <w:rFonts w:ascii="Times New Roman" w:eastAsia="Calibri" w:hAnsi="Times New Roman" w:cs="Times New Roman"/>
          <w:sz w:val="24"/>
          <w:szCs w:val="24"/>
          <w:lang w:val="sq-AL"/>
        </w:rPr>
        <w:t xml:space="preserve"> për grupmoshat 15-64 vjeç është 11.5%, kundrejt 11.6% që ishte për të njëjtin tremujor të një viti më parë. Ndërsa për grup-moshën e punës 15 vjeç e lart, shkalla e papunësisë zyrtare në tremujorin e dytë të 2022 shënoi vlerën prej 11.1%, kundrejt 11.3% që ishte për të njëjtin tremujor të një viti më parë. Numri i personave të papunë në moshë pune (15-64 vjeç) në tremujorin e parë të vitit 2022 ishte 158,994 persona. </w:t>
      </w:r>
    </w:p>
    <w:p w14:paraId="6875515A" w14:textId="77777777" w:rsidR="00EF5076" w:rsidRPr="00D7447D" w:rsidRDefault="00EF5076" w:rsidP="000B3CCC">
      <w:pPr>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Në tremujorin e parë të dytë 2022 numri të punësuarve në moshë pune (15-64 vjeç) ishte 1,222,734 persona. Krahasuar me të njëjtin tremujor të një viti më parë (T2-2021), numri i personave të punësuar, u rrit me 50,866 persona ose +4.34%. </w:t>
      </w:r>
    </w:p>
    <w:p w14:paraId="77BED43E" w14:textId="77777777" w:rsidR="00EF5076" w:rsidRPr="00D7447D" w:rsidRDefault="00EF5076" w:rsidP="000B3CCC">
      <w:pPr>
        <w:spacing w:before="120" w:after="120" w:line="276" w:lineRule="auto"/>
        <w:contextualSpacing/>
        <w:jc w:val="both"/>
        <w:rPr>
          <w:rFonts w:ascii="Times New Roman" w:eastAsia="Calibri" w:hAnsi="Times New Roman" w:cs="Times New Roman"/>
          <w:sz w:val="24"/>
          <w:szCs w:val="24"/>
          <w:lang w:val="sq-AL"/>
        </w:rPr>
      </w:pPr>
    </w:p>
    <w:p w14:paraId="6EE13399" w14:textId="77777777" w:rsidR="00EF5076" w:rsidRPr="00D7447D" w:rsidRDefault="00EF5076" w:rsidP="000B3CCC">
      <w:pPr>
        <w:spacing w:before="120" w:after="120" w:line="276" w:lineRule="auto"/>
        <w:contextualSpacing/>
        <w:jc w:val="both"/>
        <w:rPr>
          <w:rFonts w:ascii="Times New Roman" w:eastAsia="Calibri" w:hAnsi="Times New Roman" w:cs="Times New Roman"/>
          <w:sz w:val="24"/>
          <w:szCs w:val="24"/>
          <w:lang w:val="sq-AL"/>
        </w:rPr>
      </w:pPr>
    </w:p>
    <w:p w14:paraId="50857622"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2B11D271"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65C2F597"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03549912"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5F80FAA3"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721C3AC5"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40079C90"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7F0E2A08" w14:textId="77777777" w:rsidR="00EF5076" w:rsidRPr="00D7447D" w:rsidRDefault="00EF5076" w:rsidP="000B3CCC">
      <w:pPr>
        <w:spacing w:before="120" w:after="120" w:line="276" w:lineRule="auto"/>
        <w:contextualSpacing/>
        <w:jc w:val="both"/>
        <w:rPr>
          <w:rFonts w:ascii="Times New Roman" w:eastAsia="Calibri" w:hAnsi="Times New Roman" w:cs="Times New Roman"/>
          <w:b/>
          <w:sz w:val="24"/>
          <w:szCs w:val="24"/>
          <w:lang w:val="sq-AL"/>
        </w:rPr>
      </w:pPr>
    </w:p>
    <w:p w14:paraId="5D6F806C" w14:textId="77777777" w:rsidR="00EF5076" w:rsidRPr="00D7447D" w:rsidRDefault="00EF5076" w:rsidP="000B3CCC">
      <w:pPr>
        <w:spacing w:before="120" w:after="12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Grafiku 2.2:</w:t>
      </w:r>
      <w:r w:rsidRPr="00D7447D">
        <w:rPr>
          <w:rFonts w:ascii="Times New Roman" w:eastAsia="Calibri" w:hAnsi="Times New Roman" w:cs="Times New Roman"/>
          <w:sz w:val="24"/>
          <w:szCs w:val="24"/>
          <w:lang w:val="sq-AL"/>
        </w:rPr>
        <w:t xml:space="preserve"> Numri i tё papunёve; Shkalla e papunёsisё; Numri i tё punёsuarve</w:t>
      </w:r>
    </w:p>
    <w:p w14:paraId="199E9178" w14:textId="77777777" w:rsidR="00EF5076" w:rsidRPr="00D7447D" w:rsidRDefault="00EF5076" w:rsidP="000B3CCC">
      <w:pPr>
        <w:spacing w:before="120" w:after="120" w:line="276" w:lineRule="auto"/>
        <w:contextualSpacing/>
        <w:jc w:val="both"/>
        <w:rPr>
          <w:rFonts w:ascii="Times New Roman" w:eastAsia="Calibri" w:hAnsi="Times New Roman" w:cs="Times New Roman"/>
          <w:i/>
          <w:sz w:val="24"/>
          <w:szCs w:val="24"/>
          <w:lang w:val="sq-AL"/>
        </w:rPr>
      </w:pPr>
      <w:r w:rsidRPr="00D7447D">
        <w:rPr>
          <w:rFonts w:ascii="Times New Roman" w:hAnsi="Times New Roman" w:cs="Times New Roman"/>
          <w:noProof/>
          <w:sz w:val="24"/>
          <w:szCs w:val="24"/>
        </w:rPr>
        <w:drawing>
          <wp:inline distT="0" distB="0" distL="0" distR="0" wp14:anchorId="5CA010DA" wp14:editId="03B3672C">
            <wp:extent cx="5943600" cy="320028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00285"/>
                    </a:xfrm>
                    <a:prstGeom prst="rect">
                      <a:avLst/>
                    </a:prstGeom>
                    <a:noFill/>
                    <a:ln>
                      <a:noFill/>
                    </a:ln>
                  </pic:spPr>
                </pic:pic>
              </a:graphicData>
            </a:graphic>
          </wp:inline>
        </w:drawing>
      </w:r>
    </w:p>
    <w:p w14:paraId="733F6116" w14:textId="77777777" w:rsidR="00EF5076" w:rsidRPr="00D7447D" w:rsidRDefault="00EF5076" w:rsidP="000B3CCC">
      <w:pPr>
        <w:spacing w:line="276" w:lineRule="auto"/>
        <w:contextualSpacing/>
        <w:jc w:val="both"/>
        <w:rPr>
          <w:rFonts w:ascii="Times New Roman" w:hAnsi="Times New Roman" w:cs="Times New Roman"/>
          <w:i/>
          <w:sz w:val="24"/>
          <w:szCs w:val="24"/>
          <w:lang w:val="sq-AL"/>
        </w:rPr>
      </w:pPr>
      <w:r w:rsidRPr="00D7447D">
        <w:rPr>
          <w:rFonts w:ascii="Times New Roman" w:hAnsi="Times New Roman" w:cs="Times New Roman"/>
          <w:i/>
          <w:sz w:val="24"/>
          <w:szCs w:val="24"/>
          <w:lang w:val="sq-AL"/>
        </w:rPr>
        <w:t>Burimi: INSTAT, Shtator 2022</w:t>
      </w:r>
    </w:p>
    <w:p w14:paraId="617C878B" w14:textId="77777777" w:rsidR="00EF5076" w:rsidRPr="00D7447D" w:rsidRDefault="00EF5076" w:rsidP="000B3CCC">
      <w:pPr>
        <w:autoSpaceDE w:val="0"/>
        <w:autoSpaceDN w:val="0"/>
        <w:adjustRightInd w:val="0"/>
        <w:spacing w:before="100" w:beforeAutospacing="1" w:after="0" w:line="276" w:lineRule="auto"/>
        <w:jc w:val="both"/>
        <w:rPr>
          <w:rFonts w:ascii="Times New Roman" w:eastAsia="Calibri" w:hAnsi="Times New Roman" w:cs="Times New Roman"/>
          <w:bCs/>
          <w:color w:val="1F4E79" w:themeColor="accent1" w:themeShade="80"/>
          <w:sz w:val="24"/>
          <w:szCs w:val="24"/>
          <w:lang w:val="sq-AL"/>
        </w:rPr>
      </w:pPr>
      <w:r w:rsidRPr="00D7447D">
        <w:rPr>
          <w:rFonts w:ascii="Times New Roman" w:eastAsia="Calibri" w:hAnsi="Times New Roman" w:cs="Times New Roman"/>
          <w:bCs/>
          <w:color w:val="1F4E79" w:themeColor="accent1" w:themeShade="80"/>
          <w:sz w:val="24"/>
          <w:szCs w:val="24"/>
          <w:lang w:val="sq-AL"/>
        </w:rPr>
        <w:t xml:space="preserve">Sektori monetar   </w:t>
      </w:r>
    </w:p>
    <w:p w14:paraId="0168D7C3" w14:textId="77777777" w:rsidR="00EF5076" w:rsidRPr="00D7447D" w:rsidRDefault="00EF5076" w:rsidP="000B3CCC">
      <w:pPr>
        <w:autoSpaceDE w:val="0"/>
        <w:autoSpaceDN w:val="0"/>
        <w:adjustRightInd w:val="0"/>
        <w:spacing w:before="120" w:after="120" w:line="276" w:lineRule="auto"/>
        <w:jc w:val="both"/>
        <w:rPr>
          <w:rFonts w:ascii="Times New Roman" w:eastAsia="Times New Roman" w:hAnsi="Times New Roman" w:cs="Times New Roman"/>
          <w:sz w:val="24"/>
          <w:szCs w:val="24"/>
          <w:lang w:val="da-DK"/>
        </w:rPr>
      </w:pPr>
      <w:bookmarkStart w:id="15" w:name="_Toc84515333"/>
      <w:r w:rsidRPr="00D7447D">
        <w:rPr>
          <w:rFonts w:ascii="Times New Roman" w:eastAsia="Times New Roman" w:hAnsi="Times New Roman" w:cs="Times New Roman"/>
          <w:sz w:val="24"/>
          <w:szCs w:val="24"/>
          <w:lang w:val="da-DK"/>
        </w:rPr>
        <w:t xml:space="preserve">Inflacioni mesatar pёr periudhёn janar – gusht 2022 ishte +6.1%. Në muajin gusht 2022 ndryshimi vjetor i indeksit të çmimeve të konsumit ishte +8.0%. Nё grafikun më poshtë paraqitet ecuria e çmimeve për tre vitet e fundit: </w:t>
      </w:r>
    </w:p>
    <w:p w14:paraId="2E29F569"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b/>
          <w:sz w:val="24"/>
          <w:szCs w:val="24"/>
          <w:lang w:val="sq-AL"/>
        </w:rPr>
        <w:t>Grafiku 2.3:</w:t>
      </w:r>
      <w:r w:rsidRPr="00D7447D">
        <w:rPr>
          <w:rFonts w:ascii="Times New Roman" w:eastAsia="Times New Roman" w:hAnsi="Times New Roman" w:cs="Times New Roman"/>
          <w:sz w:val="24"/>
          <w:szCs w:val="24"/>
          <w:lang w:val="sq-AL"/>
        </w:rPr>
        <w:t xml:space="preserve"> Ndryshimi vjetor i inflacionit 2019-2022, në përqindje</w:t>
      </w:r>
    </w:p>
    <w:p w14:paraId="1AB87F03"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i/>
          <w:sz w:val="24"/>
          <w:szCs w:val="24"/>
          <w:lang w:val="sq-AL"/>
        </w:rPr>
      </w:pPr>
      <w:r w:rsidRPr="00D7447D">
        <w:rPr>
          <w:rFonts w:ascii="Times New Roman" w:hAnsi="Times New Roman" w:cs="Times New Roman"/>
          <w:noProof/>
          <w:sz w:val="24"/>
          <w:szCs w:val="24"/>
        </w:rPr>
        <w:drawing>
          <wp:inline distT="0" distB="0" distL="0" distR="0" wp14:anchorId="1489ACA6" wp14:editId="00B10F7C">
            <wp:extent cx="5724525" cy="22764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2276475"/>
                    </a:xfrm>
                    <a:prstGeom prst="rect">
                      <a:avLst/>
                    </a:prstGeom>
                    <a:noFill/>
                    <a:ln>
                      <a:noFill/>
                    </a:ln>
                  </pic:spPr>
                </pic:pic>
              </a:graphicData>
            </a:graphic>
          </wp:inline>
        </w:drawing>
      </w:r>
    </w:p>
    <w:p w14:paraId="32ED481B" w14:textId="77777777" w:rsidR="00EF5076" w:rsidRPr="00D7447D" w:rsidRDefault="00EF5076" w:rsidP="000B3CCC">
      <w:pPr>
        <w:autoSpaceDE w:val="0"/>
        <w:autoSpaceDN w:val="0"/>
        <w:adjustRightInd w:val="0"/>
        <w:spacing w:before="120" w:after="100" w:afterAutospacing="1" w:line="276" w:lineRule="auto"/>
        <w:contextualSpacing/>
        <w:jc w:val="both"/>
        <w:rPr>
          <w:rFonts w:ascii="Times New Roman" w:eastAsia="Times New Roman" w:hAnsi="Times New Roman" w:cs="Times New Roman"/>
          <w:i/>
          <w:sz w:val="24"/>
          <w:szCs w:val="24"/>
          <w:lang w:val="sq-AL"/>
        </w:rPr>
      </w:pPr>
      <w:r w:rsidRPr="00D7447D">
        <w:rPr>
          <w:rFonts w:ascii="Times New Roman" w:eastAsia="Times New Roman" w:hAnsi="Times New Roman" w:cs="Times New Roman"/>
          <w:i/>
          <w:sz w:val="24"/>
          <w:szCs w:val="24"/>
          <w:lang w:val="sq-AL"/>
        </w:rPr>
        <w:lastRenderedPageBreak/>
        <w:t>Burimi: INSTAT, Shtator 2022</w:t>
      </w:r>
    </w:p>
    <w:p w14:paraId="53F403DE" w14:textId="77777777" w:rsidR="00EF5076" w:rsidRPr="00D7447D" w:rsidRDefault="00EF5076" w:rsidP="000B3CCC">
      <w:pPr>
        <w:autoSpaceDE w:val="0"/>
        <w:autoSpaceDN w:val="0"/>
        <w:adjustRightInd w:val="0"/>
        <w:spacing w:before="120" w:after="100" w:afterAutospacing="1" w:line="276" w:lineRule="auto"/>
        <w:contextualSpacing/>
        <w:jc w:val="both"/>
        <w:rPr>
          <w:rFonts w:ascii="Times New Roman" w:eastAsia="Times New Roman" w:hAnsi="Times New Roman" w:cs="Times New Roman"/>
          <w:i/>
          <w:sz w:val="24"/>
          <w:szCs w:val="24"/>
          <w:lang w:val="sq-AL"/>
        </w:rPr>
      </w:pPr>
    </w:p>
    <w:p w14:paraId="53454BDA" w14:textId="77777777" w:rsidR="00EF5076" w:rsidRPr="00D7447D" w:rsidRDefault="00EF5076" w:rsidP="000B3CCC">
      <w:pPr>
        <w:autoSpaceDE w:val="0"/>
        <w:autoSpaceDN w:val="0"/>
        <w:adjustRightInd w:val="0"/>
        <w:spacing w:before="120"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Pёrgjatё kёsaj periudhe, nga tërësia e mallrave dhe shërbimeve që përbëjnë shportën e konsumit, kontributin mё tё lartё nё inflacionin e pёrgjithshёm e ka pasur zёri i “</w:t>
      </w:r>
      <w:r w:rsidRPr="00D7447D">
        <w:rPr>
          <w:rFonts w:ascii="Times New Roman" w:eastAsia="Times New Roman" w:hAnsi="Times New Roman" w:cs="Times New Roman"/>
          <w:i/>
          <w:sz w:val="24"/>
          <w:szCs w:val="24"/>
          <w:lang w:val="sq-AL"/>
        </w:rPr>
        <w:t>Ushqime dhe pije joalkolike</w:t>
      </w:r>
      <w:r w:rsidRPr="00D7447D">
        <w:rPr>
          <w:rFonts w:ascii="Times New Roman" w:eastAsia="Times New Roman" w:hAnsi="Times New Roman" w:cs="Times New Roman"/>
          <w:sz w:val="24"/>
          <w:szCs w:val="24"/>
          <w:lang w:val="sq-AL"/>
        </w:rPr>
        <w:t xml:space="preserve">”. Në tabelën e mëposhtme mund të vihen re kontributet dhe rritjet respektive në çmime për çdo grup mallrash pёr muajin gusht 2022. </w:t>
      </w:r>
    </w:p>
    <w:p w14:paraId="247BD771"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b/>
          <w:sz w:val="24"/>
          <w:szCs w:val="24"/>
          <w:lang w:val="sq-AL"/>
        </w:rPr>
        <w:t>Tabela 2.3:</w:t>
      </w:r>
      <w:r w:rsidRPr="00D7447D">
        <w:rPr>
          <w:rFonts w:ascii="Times New Roman" w:eastAsia="Times New Roman" w:hAnsi="Times New Roman" w:cs="Times New Roman"/>
          <w:sz w:val="24"/>
          <w:szCs w:val="24"/>
          <w:lang w:val="sq-AL"/>
        </w:rPr>
        <w:t xml:space="preserve"> Rritja vjetore e çmimeve (gusht’22/gusht’21) dhe kontributi në inflacionin e përgjithshëm </w:t>
      </w:r>
    </w:p>
    <w:p w14:paraId="3E04DD72"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23ABBDD9" wp14:editId="0E9EF159">
            <wp:extent cx="5943600" cy="2567112"/>
            <wp:effectExtent l="0" t="0" r="0" b="508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567112"/>
                    </a:xfrm>
                    <a:prstGeom prst="rect">
                      <a:avLst/>
                    </a:prstGeom>
                    <a:noFill/>
                    <a:ln>
                      <a:noFill/>
                    </a:ln>
                  </pic:spPr>
                </pic:pic>
              </a:graphicData>
            </a:graphic>
          </wp:inline>
        </w:drawing>
      </w:r>
    </w:p>
    <w:p w14:paraId="5BB03E9F"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i/>
          <w:sz w:val="24"/>
          <w:szCs w:val="24"/>
          <w:lang w:val="sq-AL"/>
        </w:rPr>
      </w:pPr>
      <w:r w:rsidRPr="00D7447D">
        <w:rPr>
          <w:rFonts w:ascii="Times New Roman" w:eastAsia="Times New Roman" w:hAnsi="Times New Roman" w:cs="Times New Roman"/>
          <w:i/>
          <w:sz w:val="24"/>
          <w:szCs w:val="24"/>
          <w:lang w:val="sq-AL"/>
        </w:rPr>
        <w:t>Burimi: INSTAT, Shtator 2022</w:t>
      </w:r>
    </w:p>
    <w:p w14:paraId="135F3C4C"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i/>
          <w:sz w:val="24"/>
          <w:szCs w:val="24"/>
          <w:lang w:val="sq-AL"/>
        </w:rPr>
      </w:pPr>
    </w:p>
    <w:p w14:paraId="4798DD9D" w14:textId="77777777" w:rsidR="00EF5076" w:rsidRPr="00D7447D" w:rsidRDefault="00EF5076" w:rsidP="000B3CCC">
      <w:pPr>
        <w:spacing w:before="120" w:after="120" w:line="276" w:lineRule="auto"/>
        <w:jc w:val="both"/>
        <w:rPr>
          <w:rFonts w:ascii="Times New Roman" w:eastAsia="MS Mincho" w:hAnsi="Times New Roman" w:cs="Times New Roman"/>
          <w:sz w:val="24"/>
          <w:szCs w:val="24"/>
          <w:lang w:val="sq-AL"/>
        </w:rPr>
      </w:pPr>
      <w:r w:rsidRPr="00D7447D">
        <w:rPr>
          <w:rFonts w:ascii="Times New Roman" w:eastAsia="MS Mincho" w:hAnsi="Times New Roman" w:cs="Times New Roman"/>
          <w:sz w:val="24"/>
          <w:szCs w:val="24"/>
          <w:lang w:val="sq-AL"/>
        </w:rPr>
        <w:t>Standardet e kreditimit për bizneset u shtrënguan në tremujorin e dytë të vitit 2022, kryesisht në sajë të shtrëngimit të tyre në kreditë akorduar për financimin e investimeve. Në terma të madhësisë së biznesit, standardet për kreditë e dhëna u shtrënguan në të dyja kategoritë, si për biznesin e vogël e të mesëm, ashtu edhe për atë të madh. Standardet e kreditimit për individët vijuan lehtësimin edhe në tremujorin e dytë të vitit 2022. Lehtësimi i standardeve u vërejt në të dyja kategoritë e qëllimit të përdorimit të kredisë, si në kreditë për blerjen e banesave, ashtu edhe në atë konsumatore.</w:t>
      </w:r>
    </w:p>
    <w:p w14:paraId="4E7ABE1B" w14:textId="77777777" w:rsidR="00EF5076" w:rsidRPr="00D7447D" w:rsidRDefault="00EF5076" w:rsidP="000B3CCC">
      <w:pPr>
        <w:spacing w:before="120" w:after="120" w:line="276" w:lineRule="auto"/>
        <w:jc w:val="both"/>
        <w:rPr>
          <w:rFonts w:ascii="Times New Roman" w:hAnsi="Times New Roman" w:cs="Times New Roman"/>
          <w:sz w:val="24"/>
          <w:szCs w:val="24"/>
          <w:lang w:val="sq-AL"/>
        </w:rPr>
      </w:pPr>
      <w:r w:rsidRPr="00D7447D">
        <w:rPr>
          <w:rFonts w:ascii="Times New Roman" w:eastAsia="MS Mincho" w:hAnsi="Times New Roman" w:cs="Times New Roman"/>
          <w:sz w:val="24"/>
          <w:szCs w:val="24"/>
          <w:lang w:val="sq-AL"/>
        </w:rPr>
        <w:t>Gjatë tremujorit të dytë të vitit 2022, k</w:t>
      </w:r>
      <w:r w:rsidRPr="00D7447D">
        <w:rPr>
          <w:rFonts w:ascii="Times New Roman" w:hAnsi="Times New Roman" w:cs="Times New Roman"/>
          <w:sz w:val="24"/>
          <w:szCs w:val="24"/>
          <w:lang w:val="sq-AL"/>
        </w:rPr>
        <w:t>ërkesa për kredi vijoi e lartë, si nga bizneset ashtu edhe individët. Bizneset kanë shtuar dukshëm kërkesën për kredi, si në kreditë për biznesin e madh, ashtu edhe në atë të vogël e të mesëm. Balanca e kërkesës për kredi në mbulimin e nevojave për likuiditete shënoi vlerën më të lartë historike. Gjithashtu, edhe kërkesa për kredi për financimin e investimeve u raportua e lartë në këtë tremujor. Në të njëjtën kohë, edhe kërkesa e individëve për kredi u perceptua e lartë në këtë tremujor, si për kreditë për blerjen e banesave, ashtu edhe për ato konsumatore.</w:t>
      </w:r>
    </w:p>
    <w:p w14:paraId="55DBE521" w14:textId="77777777" w:rsidR="00EF5076" w:rsidRPr="00D7447D" w:rsidRDefault="00EF5076" w:rsidP="000B3CCC">
      <w:pPr>
        <w:spacing w:before="120" w:after="120" w:line="276" w:lineRule="auto"/>
        <w:jc w:val="both"/>
        <w:rPr>
          <w:rFonts w:ascii="Times New Roman" w:eastAsia="MS Mincho" w:hAnsi="Times New Roman" w:cs="Times New Roman"/>
          <w:sz w:val="24"/>
          <w:szCs w:val="24"/>
          <w:lang w:val="sq-AL"/>
        </w:rPr>
      </w:pPr>
      <w:r w:rsidRPr="00D7447D">
        <w:rPr>
          <w:rFonts w:ascii="Times New Roman" w:eastAsia="MS Mincho" w:hAnsi="Times New Roman" w:cs="Times New Roman"/>
          <w:sz w:val="24"/>
          <w:szCs w:val="24"/>
          <w:lang w:val="sq-AL"/>
        </w:rPr>
        <w:t xml:space="preserve">Për bizneset, bankat raportuan se përgjatë tremujorit të dytë të vitit 2022, kërkesa për kredi e koorporatave dhe SME-ve shënuan vlera respektivisht me +36.4% dhe +31.4%. Për individët, </w:t>
      </w:r>
      <w:r w:rsidRPr="00D7447D">
        <w:rPr>
          <w:rFonts w:ascii="Times New Roman" w:eastAsia="MS Mincho" w:hAnsi="Times New Roman" w:cs="Times New Roman"/>
          <w:sz w:val="24"/>
          <w:szCs w:val="24"/>
          <w:lang w:val="sq-AL"/>
        </w:rPr>
        <w:lastRenderedPageBreak/>
        <w:t xml:space="preserve">bankat raportuan se përgjatë tremujorit të dytë 2022, kërkesa për kredi për banesa u rrit me +9.0% dhe për konsum u rrit +3.9%. </w:t>
      </w:r>
    </w:p>
    <w:p w14:paraId="6FF1FC3A" w14:textId="77777777" w:rsidR="00EF5076" w:rsidRPr="00D7447D" w:rsidRDefault="00EF5076" w:rsidP="000B3CCC">
      <w:pPr>
        <w:spacing w:before="120" w:after="120" w:line="276" w:lineRule="auto"/>
        <w:jc w:val="both"/>
        <w:rPr>
          <w:rFonts w:ascii="Times New Roman" w:eastAsia="MS Mincho" w:hAnsi="Times New Roman" w:cs="Times New Roman"/>
          <w:sz w:val="24"/>
          <w:szCs w:val="24"/>
          <w:lang w:val="sq-AL"/>
        </w:rPr>
      </w:pPr>
      <w:r w:rsidRPr="00D7447D">
        <w:rPr>
          <w:rFonts w:ascii="Times New Roman" w:eastAsia="MS Mincho" w:hAnsi="Times New Roman" w:cs="Times New Roman"/>
          <w:sz w:val="24"/>
          <w:szCs w:val="24"/>
          <w:lang w:val="sq-AL"/>
        </w:rPr>
        <w:t xml:space="preserve">Referuar tё dhёnave tё deritanishme, gjatë muajit korrik të vitit 2022 stoku total i depozitave bankare ka shënuar rritje me 7.3% krahasuar me korrikun e vitit 2021. Stoku total i depozitave në Lekë pësoi rritje me 2.0%, ndërsa ai në valutë është rritur me 11.9%, krahasuar me të njëjtin muaj të vitit 2021.  </w:t>
      </w:r>
    </w:p>
    <w:p w14:paraId="316623B9" w14:textId="77777777" w:rsidR="00EF5076" w:rsidRPr="00D7447D" w:rsidRDefault="00EF5076" w:rsidP="000B3CCC">
      <w:pPr>
        <w:spacing w:before="120" w:after="120" w:line="276" w:lineRule="auto"/>
        <w:jc w:val="both"/>
        <w:rPr>
          <w:rFonts w:ascii="Times New Roman" w:eastAsia="MS Mincho" w:hAnsi="Times New Roman" w:cs="Times New Roman"/>
          <w:sz w:val="24"/>
          <w:szCs w:val="24"/>
          <w:lang w:val="sq-AL"/>
        </w:rPr>
      </w:pPr>
      <w:r w:rsidRPr="00D7447D">
        <w:rPr>
          <w:rFonts w:ascii="Times New Roman" w:eastAsia="MS Mincho" w:hAnsi="Times New Roman" w:cs="Times New Roman"/>
          <w:sz w:val="24"/>
          <w:szCs w:val="24"/>
          <w:lang w:val="sq-AL"/>
        </w:rPr>
        <w:t xml:space="preserve">Në korrik 2022 rezulton se rreth 43.8% e totalit të stokut të depozitave përbëhet nga depozitat në Lekë, ndërsa pjesa tjetër prej 56.2% përbëhet nga depozitimet në valutë të huaj. Stoku total i depozitave vetëm për muajin korrik 2022 shënoi rritje me 0.6 miliardë Lekë kundrejt muajit paraardhës (qershor 2022). </w:t>
      </w:r>
    </w:p>
    <w:p w14:paraId="3675445A" w14:textId="77777777" w:rsidR="00EF5076" w:rsidRPr="00D7447D" w:rsidRDefault="00EF5076" w:rsidP="000B3CCC">
      <w:pPr>
        <w:spacing w:before="120" w:after="120" w:line="276" w:lineRule="auto"/>
        <w:jc w:val="both"/>
        <w:rPr>
          <w:rFonts w:ascii="Times New Roman" w:eastAsia="MS Mincho" w:hAnsi="Times New Roman" w:cs="Times New Roman"/>
          <w:sz w:val="24"/>
          <w:szCs w:val="24"/>
          <w:lang w:val="sq-AL"/>
        </w:rPr>
      </w:pPr>
      <w:r w:rsidRPr="00D7447D">
        <w:rPr>
          <w:rFonts w:ascii="Times New Roman" w:eastAsia="MS Mincho" w:hAnsi="Times New Roman" w:cs="Times New Roman"/>
          <w:sz w:val="24"/>
          <w:szCs w:val="24"/>
          <w:lang w:val="sq-AL"/>
        </w:rPr>
        <w:t>Stoku total i depozitave të bizneseve në muajin korrik të vitit 2022 shënoi rritje prej 16.9% krahasuar me korrikun e vitit 2021, ndërsa stoku total i depozitave të individëve ka shënuar rritje prej 5.4% krahasuar me të njëjtin muaj të një viti më parë.</w:t>
      </w:r>
    </w:p>
    <w:p w14:paraId="4BCC09DC" w14:textId="77777777" w:rsidR="00EF5076" w:rsidRPr="00D7447D" w:rsidRDefault="00EF5076" w:rsidP="000B3CCC">
      <w:pPr>
        <w:spacing w:before="120" w:after="120" w:line="276" w:lineRule="auto"/>
        <w:jc w:val="both"/>
        <w:rPr>
          <w:rFonts w:ascii="Times New Roman" w:eastAsia="MS Mincho" w:hAnsi="Times New Roman" w:cs="Times New Roman"/>
          <w:sz w:val="24"/>
          <w:szCs w:val="24"/>
          <w:lang w:val="sq-AL"/>
        </w:rPr>
      </w:pPr>
      <w:r w:rsidRPr="00D7447D">
        <w:rPr>
          <w:rFonts w:ascii="Times New Roman" w:eastAsia="Times New Roman" w:hAnsi="Times New Roman" w:cs="Times New Roman"/>
          <w:b/>
          <w:bCs/>
          <w:sz w:val="24"/>
          <w:szCs w:val="24"/>
          <w:lang w:val="sq-AL"/>
        </w:rPr>
        <w:t>Grafiku 2.4:</w:t>
      </w:r>
      <w:r w:rsidRPr="00D7447D">
        <w:rPr>
          <w:rFonts w:ascii="Times New Roman" w:eastAsia="Times New Roman" w:hAnsi="Times New Roman" w:cs="Times New Roman"/>
          <w:bCs/>
          <w:sz w:val="24"/>
          <w:szCs w:val="24"/>
          <w:lang w:val="sq-AL"/>
        </w:rPr>
        <w:t xml:space="preserve"> Ecuria e stokut të depozitave 2021-2022, në përqindje</w:t>
      </w:r>
    </w:p>
    <w:p w14:paraId="6DA31C9A" w14:textId="77777777" w:rsidR="00EF5076" w:rsidRPr="00D7447D" w:rsidRDefault="00EF5076" w:rsidP="000B3CCC">
      <w:pPr>
        <w:autoSpaceDE w:val="0"/>
        <w:autoSpaceDN w:val="0"/>
        <w:adjustRightInd w:val="0"/>
        <w:spacing w:before="120" w:after="120" w:line="276" w:lineRule="auto"/>
        <w:contextualSpacing/>
        <w:jc w:val="center"/>
        <w:rPr>
          <w:rFonts w:ascii="Times New Roman" w:eastAsia="Times New Roman" w:hAnsi="Times New Roman" w:cs="Times New Roman"/>
          <w:bCs/>
          <w:i/>
          <w:sz w:val="24"/>
          <w:szCs w:val="24"/>
          <w:lang w:val="sq-AL"/>
        </w:rPr>
      </w:pPr>
      <w:r w:rsidRPr="00D7447D">
        <w:rPr>
          <w:rFonts w:ascii="Times New Roman" w:hAnsi="Times New Roman" w:cs="Times New Roman"/>
          <w:noProof/>
          <w:sz w:val="24"/>
          <w:szCs w:val="24"/>
        </w:rPr>
        <w:drawing>
          <wp:inline distT="0" distB="0" distL="0" distR="0" wp14:anchorId="029D9533" wp14:editId="727187A6">
            <wp:extent cx="4246880" cy="2414016"/>
            <wp:effectExtent l="0" t="0" r="127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1343" cy="2444974"/>
                    </a:xfrm>
                    <a:prstGeom prst="rect">
                      <a:avLst/>
                    </a:prstGeom>
                    <a:noFill/>
                    <a:ln>
                      <a:noFill/>
                    </a:ln>
                  </pic:spPr>
                </pic:pic>
              </a:graphicData>
            </a:graphic>
          </wp:inline>
        </w:drawing>
      </w:r>
    </w:p>
    <w:p w14:paraId="258D3E6D" w14:textId="77777777" w:rsidR="00EF5076" w:rsidRPr="00D7447D" w:rsidRDefault="00EF5076" w:rsidP="000B3CCC">
      <w:pPr>
        <w:autoSpaceDE w:val="0"/>
        <w:autoSpaceDN w:val="0"/>
        <w:adjustRightInd w:val="0"/>
        <w:spacing w:before="120" w:after="100" w:afterAutospacing="1" w:line="276" w:lineRule="auto"/>
        <w:contextualSpacing/>
        <w:jc w:val="center"/>
        <w:rPr>
          <w:rFonts w:ascii="Times New Roman" w:eastAsia="Times New Roman" w:hAnsi="Times New Roman" w:cs="Times New Roman"/>
          <w:bCs/>
          <w:i/>
          <w:sz w:val="24"/>
          <w:szCs w:val="24"/>
          <w:lang w:val="sq-AL"/>
        </w:rPr>
      </w:pPr>
      <w:r w:rsidRPr="00D7447D">
        <w:rPr>
          <w:rFonts w:ascii="Times New Roman" w:eastAsia="Times New Roman" w:hAnsi="Times New Roman" w:cs="Times New Roman"/>
          <w:bCs/>
          <w:i/>
          <w:sz w:val="24"/>
          <w:szCs w:val="24"/>
          <w:lang w:val="sq-AL"/>
        </w:rPr>
        <w:t>Burimi: Banka e Shqipërisë, Gusht 2022</w:t>
      </w:r>
    </w:p>
    <w:p w14:paraId="36A0A674" w14:textId="77777777" w:rsidR="00EF5076" w:rsidRPr="00D7447D" w:rsidRDefault="00EF5076" w:rsidP="000B3CCC">
      <w:pPr>
        <w:autoSpaceDE w:val="0"/>
        <w:autoSpaceDN w:val="0"/>
        <w:adjustRightInd w:val="0"/>
        <w:spacing w:before="120" w:after="100" w:afterAutospacing="1" w:line="276" w:lineRule="auto"/>
        <w:contextualSpacing/>
        <w:jc w:val="both"/>
        <w:rPr>
          <w:rFonts w:ascii="Times New Roman" w:eastAsia="Times New Roman" w:hAnsi="Times New Roman" w:cs="Times New Roman"/>
          <w:bCs/>
          <w:i/>
          <w:sz w:val="24"/>
          <w:szCs w:val="24"/>
          <w:lang w:val="sq-AL"/>
        </w:rPr>
      </w:pPr>
    </w:p>
    <w:p w14:paraId="4C1E7539" w14:textId="77777777" w:rsidR="00EF5076" w:rsidRPr="00D7447D" w:rsidRDefault="00EF5076" w:rsidP="000B3CCC">
      <w:pPr>
        <w:autoSpaceDE w:val="0"/>
        <w:autoSpaceDN w:val="0"/>
        <w:adjustRightInd w:val="0"/>
        <w:spacing w:before="120"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Referuar të dhënave të deritanishme, gjatë muajit korrik të vitit 2022, stoku total i kredive bankare pati një rritje me 12.0%, krahasuar me muajin korrik të vitit 2021. Stoku i kredive në lekë shënoi një rritje prej 8.8%, ndërsa ai në valutë rritje prej 15.6%, krahasuar me një vit më parë.</w:t>
      </w:r>
    </w:p>
    <w:p w14:paraId="4783F7AE"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b/>
          <w:sz w:val="24"/>
          <w:szCs w:val="24"/>
          <w:lang w:val="sq-AL"/>
        </w:rPr>
        <w:t>Tabela 2.4:</w:t>
      </w:r>
      <w:r w:rsidRPr="00D7447D">
        <w:rPr>
          <w:rFonts w:ascii="Times New Roman" w:eastAsia="Times New Roman" w:hAnsi="Times New Roman" w:cs="Times New Roman"/>
          <w:i/>
          <w:sz w:val="24"/>
          <w:szCs w:val="24"/>
          <w:lang w:val="sq-AL"/>
        </w:rPr>
        <w:t xml:space="preserve"> </w:t>
      </w:r>
      <w:r w:rsidRPr="00D7447D">
        <w:rPr>
          <w:rFonts w:ascii="Times New Roman" w:eastAsia="Times New Roman" w:hAnsi="Times New Roman" w:cs="Times New Roman"/>
          <w:sz w:val="24"/>
          <w:szCs w:val="24"/>
          <w:lang w:val="sq-AL"/>
        </w:rPr>
        <w:t>Ecuria e kredisë për bizneset dhe individët, në përqindje</w:t>
      </w:r>
    </w:p>
    <w:p w14:paraId="2CC19E3C"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i/>
          <w:sz w:val="24"/>
          <w:szCs w:val="24"/>
          <w:lang w:val="sq-AL"/>
        </w:rPr>
      </w:pPr>
      <w:r w:rsidRPr="00D7447D">
        <w:rPr>
          <w:rFonts w:ascii="Times New Roman" w:hAnsi="Times New Roman" w:cs="Times New Roman"/>
          <w:noProof/>
          <w:sz w:val="24"/>
          <w:szCs w:val="24"/>
        </w:rPr>
        <w:drawing>
          <wp:inline distT="0" distB="0" distL="0" distR="0" wp14:anchorId="086DE3C2" wp14:editId="7AC74065">
            <wp:extent cx="5943600" cy="772794"/>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72794"/>
                    </a:xfrm>
                    <a:prstGeom prst="rect">
                      <a:avLst/>
                    </a:prstGeom>
                    <a:noFill/>
                    <a:ln>
                      <a:noFill/>
                    </a:ln>
                  </pic:spPr>
                </pic:pic>
              </a:graphicData>
            </a:graphic>
          </wp:inline>
        </w:drawing>
      </w:r>
    </w:p>
    <w:p w14:paraId="1AE03D57" w14:textId="77777777" w:rsidR="00EF5076" w:rsidRPr="00D7447D" w:rsidRDefault="00EF5076" w:rsidP="000B3CCC">
      <w:pPr>
        <w:autoSpaceDE w:val="0"/>
        <w:autoSpaceDN w:val="0"/>
        <w:adjustRightInd w:val="0"/>
        <w:spacing w:before="120" w:after="100" w:afterAutospacing="1" w:line="276" w:lineRule="auto"/>
        <w:contextualSpacing/>
        <w:jc w:val="both"/>
        <w:rPr>
          <w:rFonts w:ascii="Times New Roman" w:eastAsia="Times New Roman" w:hAnsi="Times New Roman" w:cs="Times New Roman"/>
          <w:bCs/>
          <w:i/>
          <w:sz w:val="24"/>
          <w:szCs w:val="24"/>
          <w:lang w:val="sq-AL"/>
        </w:rPr>
      </w:pPr>
      <w:r w:rsidRPr="00D7447D">
        <w:rPr>
          <w:rFonts w:ascii="Times New Roman" w:eastAsia="Times New Roman" w:hAnsi="Times New Roman" w:cs="Times New Roman"/>
          <w:bCs/>
          <w:i/>
          <w:sz w:val="24"/>
          <w:szCs w:val="24"/>
          <w:lang w:val="sq-AL"/>
        </w:rPr>
        <w:t xml:space="preserve">Burimi: Banka e Shqipërisë, Gusht 2022 </w:t>
      </w:r>
    </w:p>
    <w:p w14:paraId="279DE868"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i/>
          <w:sz w:val="24"/>
          <w:szCs w:val="24"/>
          <w:lang w:val="sq-AL"/>
        </w:rPr>
      </w:pPr>
    </w:p>
    <w:p w14:paraId="6FE9A14A" w14:textId="77777777" w:rsidR="00EF5076" w:rsidRPr="00D7447D" w:rsidRDefault="00EF5076" w:rsidP="000B3CCC">
      <w:pPr>
        <w:autoSpaceDE w:val="0"/>
        <w:autoSpaceDN w:val="0"/>
        <w:adjustRightInd w:val="0"/>
        <w:spacing w:before="120"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lastRenderedPageBreak/>
        <w:t>Stoku i kredive akorduar bizneseve jo-financiare (private dhe publike) për muajin korrik 2022 shënoi një rritje me 11.4%. Kredia vetëm për bizneset private jo-financiare u rrit me 5.5%, duke kontribuar pozitivisht me 5.1 pikë përqindje në ndryshimin e stokut total të kredisë. Ndërsa, stoku i kredive akorduar bizneseve publike jo-financiare për muajin korrik të vitit 2022 ka shënuar rritje me 103%, krahasuar me korrik 2021, me kontribut pozitiv prej 2.0 pikë përqindje.</w:t>
      </w:r>
    </w:p>
    <w:p w14:paraId="70DD86F8" w14:textId="77777777" w:rsidR="00EF5076" w:rsidRPr="00D7447D" w:rsidRDefault="00EF5076" w:rsidP="000B3CCC">
      <w:pPr>
        <w:autoSpaceDE w:val="0"/>
        <w:autoSpaceDN w:val="0"/>
        <w:adjustRightInd w:val="0"/>
        <w:spacing w:before="120"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Niveli i kredive me probleme ndaj totalit të kredive në fund të muajit korrik 2022 arriti në 5.27%.</w:t>
      </w:r>
    </w:p>
    <w:p w14:paraId="7D8FD84B" w14:textId="77777777" w:rsidR="00EF5076" w:rsidRPr="00D7447D" w:rsidRDefault="00EF5076" w:rsidP="000B3CCC">
      <w:pPr>
        <w:autoSpaceDE w:val="0"/>
        <w:autoSpaceDN w:val="0"/>
        <w:adjustRightInd w:val="0"/>
        <w:spacing w:before="120" w:after="100" w:afterAutospacing="1"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b/>
          <w:sz w:val="24"/>
          <w:szCs w:val="24"/>
          <w:lang w:val="sq-AL"/>
        </w:rPr>
        <w:t>Tabela 2.5:</w:t>
      </w:r>
      <w:r w:rsidRPr="00D7447D">
        <w:rPr>
          <w:rFonts w:ascii="Times New Roman" w:eastAsia="Times New Roman" w:hAnsi="Times New Roman" w:cs="Times New Roman"/>
          <w:sz w:val="24"/>
          <w:szCs w:val="24"/>
          <w:lang w:val="sq-AL"/>
        </w:rPr>
        <w:t xml:space="preserve"> Ecuria e kredive të këqija, në përqindje</w:t>
      </w:r>
    </w:p>
    <w:p w14:paraId="1269AD5C" w14:textId="77777777" w:rsidR="00EF5076" w:rsidRPr="00D7447D" w:rsidRDefault="00EF5076" w:rsidP="000B3CCC">
      <w:pPr>
        <w:autoSpaceDE w:val="0"/>
        <w:autoSpaceDN w:val="0"/>
        <w:adjustRightInd w:val="0"/>
        <w:spacing w:before="120" w:after="120" w:line="276" w:lineRule="auto"/>
        <w:contextualSpacing/>
        <w:jc w:val="both"/>
        <w:rPr>
          <w:rFonts w:ascii="Times New Roman" w:hAnsi="Times New Roman" w:cs="Times New Roman"/>
          <w:noProof/>
          <w:sz w:val="24"/>
          <w:szCs w:val="24"/>
        </w:rPr>
      </w:pPr>
      <w:r w:rsidRPr="00D7447D">
        <w:rPr>
          <w:rFonts w:ascii="Times New Roman" w:hAnsi="Times New Roman" w:cs="Times New Roman"/>
          <w:noProof/>
          <w:sz w:val="24"/>
          <w:szCs w:val="24"/>
        </w:rPr>
        <w:drawing>
          <wp:inline distT="0" distB="0" distL="0" distR="0" wp14:anchorId="48FE685D" wp14:editId="62F6936C">
            <wp:extent cx="5943600" cy="391608"/>
            <wp:effectExtent l="0" t="0" r="0" b="8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1608"/>
                    </a:xfrm>
                    <a:prstGeom prst="rect">
                      <a:avLst/>
                    </a:prstGeom>
                    <a:noFill/>
                    <a:ln>
                      <a:noFill/>
                    </a:ln>
                  </pic:spPr>
                </pic:pic>
              </a:graphicData>
            </a:graphic>
          </wp:inline>
        </w:drawing>
      </w:r>
    </w:p>
    <w:p w14:paraId="7B2C5C7D"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i/>
          <w:sz w:val="24"/>
          <w:szCs w:val="24"/>
          <w:lang w:val="sq-AL"/>
        </w:rPr>
      </w:pPr>
      <w:r w:rsidRPr="00D7447D">
        <w:rPr>
          <w:rFonts w:ascii="Times New Roman" w:eastAsia="Times New Roman" w:hAnsi="Times New Roman" w:cs="Times New Roman"/>
          <w:i/>
          <w:sz w:val="24"/>
          <w:szCs w:val="24"/>
          <w:lang w:val="sq-AL"/>
        </w:rPr>
        <w:t xml:space="preserve">Burimi: Banka e Shqipërisë, Shtator 2022 </w:t>
      </w:r>
    </w:p>
    <w:p w14:paraId="6FE51ED8" w14:textId="77777777" w:rsidR="00EF5076" w:rsidRPr="00D7447D" w:rsidRDefault="00EF5076" w:rsidP="000B3CCC">
      <w:pPr>
        <w:autoSpaceDE w:val="0"/>
        <w:autoSpaceDN w:val="0"/>
        <w:adjustRightInd w:val="0"/>
        <w:spacing w:before="120" w:after="120" w:line="276" w:lineRule="auto"/>
        <w:jc w:val="both"/>
        <w:rPr>
          <w:rFonts w:ascii="Times New Roman" w:eastAsia="Times New Roman" w:hAnsi="Times New Roman" w:cs="Times New Roman"/>
          <w:sz w:val="24"/>
          <w:szCs w:val="24"/>
          <w:lang w:val="sq-AL"/>
        </w:rPr>
      </w:pPr>
    </w:p>
    <w:p w14:paraId="43DD32FD" w14:textId="77777777" w:rsidR="00EF5076" w:rsidRPr="00D7447D" w:rsidRDefault="00EF5076" w:rsidP="000B3CCC">
      <w:pPr>
        <w:autoSpaceDE w:val="0"/>
        <w:autoSpaceDN w:val="0"/>
        <w:adjustRightInd w:val="0"/>
        <w:spacing w:before="120" w:after="12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Sa i takon ecurisë së normave të interesit vihet re: </w:t>
      </w:r>
    </w:p>
    <w:p w14:paraId="17F9EAC1" w14:textId="77777777" w:rsidR="00EF5076" w:rsidRPr="00D7447D" w:rsidRDefault="00EF5076" w:rsidP="000B3CCC">
      <w:pPr>
        <w:pStyle w:val="ListParagraph"/>
        <w:numPr>
          <w:ilvl w:val="0"/>
          <w:numId w:val="36"/>
        </w:numPr>
        <w:tabs>
          <w:tab w:val="clear" w:pos="1440"/>
        </w:tabs>
        <w:spacing w:before="120" w:after="120" w:line="276" w:lineRule="auto"/>
        <w:ind w:left="360"/>
        <w:jc w:val="both"/>
        <w:rPr>
          <w:rFonts w:ascii="Times New Roman" w:hAnsi="Times New Roman" w:cs="Times New Roman"/>
          <w:b/>
          <w:noProof/>
          <w:sz w:val="24"/>
          <w:szCs w:val="24"/>
          <w:lang w:val="sq-AL"/>
        </w:rPr>
      </w:pPr>
      <w:r w:rsidRPr="00D7447D">
        <w:rPr>
          <w:rFonts w:ascii="Times New Roman" w:hAnsi="Times New Roman" w:cs="Times New Roman"/>
          <w:b/>
          <w:noProof/>
          <w:sz w:val="24"/>
          <w:szCs w:val="24"/>
          <w:lang w:val="sq-AL"/>
        </w:rPr>
        <w:t>Depozitat në Lekë</w:t>
      </w:r>
      <w:r w:rsidRPr="00D7447D">
        <w:rPr>
          <w:rFonts w:ascii="Times New Roman" w:hAnsi="Times New Roman" w:cs="Times New Roman"/>
          <w:noProof/>
          <w:sz w:val="24"/>
          <w:szCs w:val="24"/>
          <w:lang w:val="sq-AL"/>
        </w:rPr>
        <w:t xml:space="preserve"> - Norma mesatare e interesit për totalin e depozitave (duke përfshirë të gjitha maturimet) për Korrik 2022 shënoi vlerën 1.04%, duke u rritur me 0.34 p.p krahasuar me të njëjtën periudhë të vitit të kaluar dhe duke u rritur me 0.08 p.p krahasuar me muajin paraardhës. Ndërkohë, norma e interesit për depozitën 12 mujore u rrit me 0.21 p.p. krahasuar me një vit më parë dhe u rrit me 0.04 p.p, në krahasim me një muaj më parë</w:t>
      </w:r>
    </w:p>
    <w:p w14:paraId="69AFB598" w14:textId="77777777" w:rsidR="00EF5076" w:rsidRPr="00D7447D" w:rsidRDefault="00EF5076" w:rsidP="000B3CCC">
      <w:pPr>
        <w:pStyle w:val="ListParagraph"/>
        <w:numPr>
          <w:ilvl w:val="0"/>
          <w:numId w:val="36"/>
        </w:numPr>
        <w:tabs>
          <w:tab w:val="clear" w:pos="1440"/>
        </w:tabs>
        <w:spacing w:before="120" w:after="120" w:line="276" w:lineRule="auto"/>
        <w:ind w:left="360"/>
        <w:jc w:val="both"/>
        <w:rPr>
          <w:rFonts w:ascii="Times New Roman" w:hAnsi="Times New Roman" w:cs="Times New Roman"/>
          <w:b/>
          <w:noProof/>
          <w:sz w:val="24"/>
          <w:szCs w:val="24"/>
          <w:lang w:val="sq-AL"/>
        </w:rPr>
      </w:pPr>
      <w:r w:rsidRPr="00D7447D">
        <w:rPr>
          <w:rFonts w:ascii="Times New Roman" w:hAnsi="Times New Roman" w:cs="Times New Roman"/>
          <w:b/>
          <w:noProof/>
          <w:sz w:val="24"/>
          <w:szCs w:val="24"/>
          <w:lang w:val="sq-AL"/>
        </w:rPr>
        <w:t xml:space="preserve">Depozitat në US ($) – </w:t>
      </w:r>
      <w:r w:rsidRPr="00D7447D">
        <w:rPr>
          <w:rFonts w:ascii="Times New Roman" w:hAnsi="Times New Roman" w:cs="Times New Roman"/>
          <w:noProof/>
          <w:sz w:val="24"/>
          <w:szCs w:val="24"/>
          <w:lang w:val="sq-AL"/>
        </w:rPr>
        <w:t>Norma mesatare e interesit për totalin e depozitave shënoi vlerën 0.76%, ose 0.28 p.p. më shumë krahasuar me një vit më parë dhe duke u rritur me 0.22 p.p krahasuar  me një muaj më parë. Ndërkohë, norma e interesit për depozitën 12 mujore u rrit me 0.19 p.p krahasuar me një vit më parë dhe u rrit me 0.02 p.p, në krahasim me një muaj më parë.</w:t>
      </w:r>
    </w:p>
    <w:p w14:paraId="14D66D00" w14:textId="77777777" w:rsidR="00EF5076" w:rsidRPr="00D7447D" w:rsidRDefault="00EF5076" w:rsidP="000B3CCC">
      <w:pPr>
        <w:pStyle w:val="ListParagraph"/>
        <w:numPr>
          <w:ilvl w:val="0"/>
          <w:numId w:val="36"/>
        </w:numPr>
        <w:tabs>
          <w:tab w:val="clear" w:pos="1440"/>
        </w:tabs>
        <w:spacing w:before="120" w:after="120" w:line="276" w:lineRule="auto"/>
        <w:ind w:left="360"/>
        <w:jc w:val="both"/>
        <w:rPr>
          <w:rFonts w:ascii="Times New Roman" w:hAnsi="Times New Roman" w:cs="Times New Roman"/>
          <w:b/>
          <w:noProof/>
          <w:sz w:val="24"/>
          <w:szCs w:val="24"/>
          <w:lang w:val="sq-AL"/>
        </w:rPr>
      </w:pPr>
      <w:r w:rsidRPr="00D7447D">
        <w:rPr>
          <w:rFonts w:ascii="Times New Roman" w:hAnsi="Times New Roman" w:cs="Times New Roman"/>
          <w:b/>
          <w:noProof/>
          <w:sz w:val="24"/>
          <w:szCs w:val="24"/>
          <w:lang w:val="sq-AL"/>
        </w:rPr>
        <w:t xml:space="preserve">Depozitat në EUR (€) - </w:t>
      </w:r>
      <w:r w:rsidRPr="00D7447D">
        <w:rPr>
          <w:rFonts w:ascii="Times New Roman" w:hAnsi="Times New Roman" w:cs="Times New Roman"/>
          <w:noProof/>
          <w:sz w:val="24"/>
          <w:szCs w:val="24"/>
          <w:lang w:val="sq-AL"/>
        </w:rPr>
        <w:t>Norma mesatare e interesit për totalin e depozitave shënoi vlerën 0.6%, duke u rritur me 0.31 p.p krahasuar me një vit më parë dhe duke u rritur me 0.03 p.p krahasuar me një muaj më parë. Ndërkohë, norma e interesit për depozitën 12 mujore u rrit me 0.33 p.p krahasuar me një vit më parë dhe u rrit me 0.02 p.p, në krahasim me një muaj më parë.</w:t>
      </w:r>
    </w:p>
    <w:p w14:paraId="0120583E" w14:textId="77777777" w:rsidR="00EF5076" w:rsidRPr="00D7447D" w:rsidRDefault="00EF5076" w:rsidP="000B3CCC">
      <w:pPr>
        <w:pStyle w:val="ListParagraph"/>
        <w:numPr>
          <w:ilvl w:val="0"/>
          <w:numId w:val="36"/>
        </w:numPr>
        <w:tabs>
          <w:tab w:val="clear" w:pos="1440"/>
        </w:tabs>
        <w:spacing w:before="120" w:after="120" w:line="276" w:lineRule="auto"/>
        <w:ind w:left="387" w:hanging="425"/>
        <w:jc w:val="both"/>
        <w:rPr>
          <w:rFonts w:ascii="Times New Roman" w:hAnsi="Times New Roman" w:cs="Times New Roman"/>
          <w:noProof/>
          <w:sz w:val="24"/>
          <w:szCs w:val="24"/>
          <w:lang w:val="sq-AL"/>
        </w:rPr>
      </w:pPr>
      <w:r w:rsidRPr="00D7447D">
        <w:rPr>
          <w:rFonts w:ascii="Times New Roman" w:hAnsi="Times New Roman" w:cs="Times New Roman"/>
          <w:b/>
          <w:noProof/>
          <w:sz w:val="24"/>
          <w:szCs w:val="24"/>
          <w:lang w:val="sq-AL"/>
        </w:rPr>
        <w:t>Kreditë në Lekë</w:t>
      </w:r>
      <w:r w:rsidRPr="00D7447D">
        <w:rPr>
          <w:rFonts w:ascii="Times New Roman" w:hAnsi="Times New Roman" w:cs="Times New Roman"/>
          <w:noProof/>
          <w:sz w:val="24"/>
          <w:szCs w:val="24"/>
          <w:lang w:val="sq-AL"/>
        </w:rPr>
        <w:t xml:space="preserve"> - Norma mesatare e interesit për totalin e kredive (duke përfshirë të gjitha maturimet) për Korrik 2022 shënoi vlerën 6.44%, ose 0.53 p.p. më shumë se e njëjta periudhë e vitit të kaluar dhe 0.41 p.p. më shumë se muaji paraardhës. Ndërkohë, norma e interesit për kreditimin mbi 5 vjeçarë ka shënuar rritje prej 1.39 p.p. krahasuar me një vit më parë dhe u rrit me 0.75 p.p krahasuar me muajin Qershor 2022. </w:t>
      </w:r>
    </w:p>
    <w:p w14:paraId="50E601B0" w14:textId="77777777" w:rsidR="00EF5076" w:rsidRPr="00D7447D" w:rsidRDefault="00EF5076" w:rsidP="000B3CCC">
      <w:pPr>
        <w:pStyle w:val="ListParagraph"/>
        <w:numPr>
          <w:ilvl w:val="0"/>
          <w:numId w:val="36"/>
        </w:numPr>
        <w:tabs>
          <w:tab w:val="clear" w:pos="1440"/>
        </w:tabs>
        <w:spacing w:before="120" w:after="120" w:line="276" w:lineRule="auto"/>
        <w:ind w:left="387" w:hanging="425"/>
        <w:jc w:val="both"/>
        <w:rPr>
          <w:rFonts w:ascii="Times New Roman" w:hAnsi="Times New Roman" w:cs="Times New Roman"/>
          <w:noProof/>
          <w:sz w:val="24"/>
          <w:szCs w:val="24"/>
          <w:lang w:val="sq-AL"/>
        </w:rPr>
      </w:pPr>
      <w:r w:rsidRPr="00D7447D">
        <w:rPr>
          <w:rFonts w:ascii="Times New Roman" w:hAnsi="Times New Roman" w:cs="Times New Roman"/>
          <w:b/>
          <w:noProof/>
          <w:sz w:val="24"/>
          <w:szCs w:val="24"/>
          <w:lang w:val="sq-AL"/>
        </w:rPr>
        <w:t xml:space="preserve">Kreditë në US($) </w:t>
      </w:r>
      <w:r w:rsidRPr="00D7447D">
        <w:rPr>
          <w:rFonts w:ascii="Times New Roman" w:hAnsi="Times New Roman" w:cs="Times New Roman"/>
          <w:noProof/>
          <w:sz w:val="24"/>
          <w:szCs w:val="24"/>
          <w:lang w:val="sq-AL"/>
        </w:rPr>
        <w:t>- Norma mesatare e interesit për totalin e kredive shënoi vlerën 5.60%, duke shënuar rritje me 1.73 p.p. krahasuar me një vit më parë dhe një rritje me 0.11 p.p krahasuar me muajin paraardhës.</w:t>
      </w:r>
    </w:p>
    <w:p w14:paraId="22DB9B80" w14:textId="77777777" w:rsidR="00EF5076" w:rsidRPr="00D7447D" w:rsidRDefault="00EF5076" w:rsidP="000B3CCC">
      <w:pPr>
        <w:pStyle w:val="ListParagraph"/>
        <w:numPr>
          <w:ilvl w:val="0"/>
          <w:numId w:val="36"/>
        </w:numPr>
        <w:tabs>
          <w:tab w:val="clear" w:pos="1440"/>
        </w:tabs>
        <w:spacing w:before="120" w:after="120" w:line="276" w:lineRule="auto"/>
        <w:ind w:left="387" w:hanging="425"/>
        <w:jc w:val="both"/>
        <w:rPr>
          <w:rFonts w:ascii="Times New Roman" w:hAnsi="Times New Roman" w:cs="Times New Roman"/>
          <w:noProof/>
          <w:sz w:val="24"/>
          <w:szCs w:val="24"/>
          <w:lang w:val="sq-AL"/>
        </w:rPr>
      </w:pPr>
      <w:r w:rsidRPr="00D7447D">
        <w:rPr>
          <w:rFonts w:ascii="Times New Roman" w:hAnsi="Times New Roman" w:cs="Times New Roman"/>
          <w:b/>
          <w:noProof/>
          <w:sz w:val="24"/>
          <w:szCs w:val="24"/>
          <w:lang w:val="sq-AL"/>
        </w:rPr>
        <w:t xml:space="preserve">Kreditë në EUR (€) </w:t>
      </w:r>
      <w:r w:rsidRPr="00D7447D">
        <w:rPr>
          <w:rFonts w:ascii="Times New Roman" w:hAnsi="Times New Roman" w:cs="Times New Roman"/>
          <w:noProof/>
          <w:sz w:val="24"/>
          <w:szCs w:val="24"/>
          <w:lang w:val="sq-AL"/>
        </w:rPr>
        <w:t>- Norma mesatare e interesit për totalin e kredive për Korrik 2022 shënoi vlerën 4.56%, ose 0.71 p.p. më shumë se e njëjta periudhë e vitit të kaluar dhe 0.67 p.p.më shumë krahasuar me një muaj më parë. Norma e interesit për kreditimin mbi 5 vjeçar u rrit me 0.67 p.p krahasuar me një vit më parë, gjithashtu, u rrit me 0.94 p.p. krahasuar me muajin Qershor 2022.</w:t>
      </w:r>
    </w:p>
    <w:p w14:paraId="5DE94548" w14:textId="77777777" w:rsidR="00EF5076" w:rsidRPr="00D7447D" w:rsidRDefault="00EF5076" w:rsidP="000B3CCC">
      <w:pPr>
        <w:pStyle w:val="ListParagraph"/>
        <w:spacing w:before="120" w:after="120" w:line="276" w:lineRule="auto"/>
        <w:ind w:left="387"/>
        <w:jc w:val="both"/>
        <w:rPr>
          <w:rFonts w:ascii="Times New Roman" w:hAnsi="Times New Roman" w:cs="Times New Roman"/>
          <w:noProof/>
          <w:sz w:val="24"/>
          <w:szCs w:val="24"/>
          <w:lang w:val="sq-AL"/>
        </w:rPr>
      </w:pPr>
    </w:p>
    <w:p w14:paraId="5913B572" w14:textId="77777777" w:rsidR="00EF5076" w:rsidRPr="00D7447D" w:rsidRDefault="00EF5076" w:rsidP="000B3CCC">
      <w:pPr>
        <w:autoSpaceDE w:val="0"/>
        <w:autoSpaceDN w:val="0"/>
        <w:adjustRightInd w:val="0"/>
        <w:spacing w:before="120"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Gjatë muajit gusht të vitit 2022, kursi mesatar i këmbimit të lekut kundrejt euros arriti 117 lekë/euro duke pësuar rënie në vlerë me 3.77%, krahasuar me një vit më parë. </w:t>
      </w:r>
    </w:p>
    <w:p w14:paraId="6424AB88" w14:textId="77777777" w:rsidR="00EF5076" w:rsidRPr="00D7447D" w:rsidRDefault="00EF5076" w:rsidP="000B3CCC">
      <w:pPr>
        <w:autoSpaceDE w:val="0"/>
        <w:autoSpaceDN w:val="0"/>
        <w:adjustRightInd w:val="0"/>
        <w:spacing w:before="120"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Kursi mesatar i këmbimit të lekut kundrejt dollarit amerikan për muajin gusht të vitit 2022 arriti në 115.47 lekë/dollar amerikan duke pësuar rritje me 11.8%,. krahasuar me një vit më parë .</w:t>
      </w:r>
    </w:p>
    <w:p w14:paraId="6DD5676E" w14:textId="77777777" w:rsidR="00EF5076" w:rsidRPr="00D7447D" w:rsidRDefault="00EF5076" w:rsidP="000B3CCC">
      <w:pPr>
        <w:autoSpaceDE w:val="0"/>
        <w:autoSpaceDN w:val="0"/>
        <w:adjustRightInd w:val="0"/>
        <w:spacing w:before="120" w:after="100" w:afterAutospacing="1"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b/>
          <w:sz w:val="24"/>
          <w:szCs w:val="24"/>
          <w:lang w:val="sq-AL"/>
        </w:rPr>
        <w:t>Tabela 2.6:</w:t>
      </w:r>
      <w:r w:rsidRPr="00D7447D">
        <w:rPr>
          <w:rFonts w:ascii="Times New Roman" w:eastAsia="Times New Roman" w:hAnsi="Times New Roman" w:cs="Times New Roman"/>
          <w:sz w:val="24"/>
          <w:szCs w:val="24"/>
          <w:lang w:val="sq-AL"/>
        </w:rPr>
        <w:t xml:space="preserve"> Ecuria e kursit të këmbimit 2015-2022</w:t>
      </w:r>
    </w:p>
    <w:p w14:paraId="2EEDDDCC"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Times New Roman" w:hAnsi="Times New Roman" w:cs="Times New Roman"/>
          <w:i/>
          <w:sz w:val="24"/>
          <w:szCs w:val="24"/>
          <w:lang w:val="sq-AL"/>
        </w:rPr>
      </w:pPr>
      <w:r w:rsidRPr="00D7447D">
        <w:rPr>
          <w:rFonts w:ascii="Times New Roman" w:hAnsi="Times New Roman" w:cs="Times New Roman"/>
          <w:noProof/>
          <w:sz w:val="24"/>
          <w:szCs w:val="24"/>
        </w:rPr>
        <w:drawing>
          <wp:inline distT="0" distB="0" distL="0" distR="0" wp14:anchorId="288275B2" wp14:editId="2FE9F0E0">
            <wp:extent cx="5943600" cy="668929"/>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668929"/>
                    </a:xfrm>
                    <a:prstGeom prst="rect">
                      <a:avLst/>
                    </a:prstGeom>
                    <a:noFill/>
                    <a:ln>
                      <a:noFill/>
                    </a:ln>
                  </pic:spPr>
                </pic:pic>
              </a:graphicData>
            </a:graphic>
          </wp:inline>
        </w:drawing>
      </w:r>
    </w:p>
    <w:p w14:paraId="7662B83E" w14:textId="77777777" w:rsidR="00EF5076" w:rsidRPr="00D7447D" w:rsidRDefault="00EF5076" w:rsidP="000B3CCC">
      <w:p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lang w:val="sq-AL"/>
        </w:rPr>
      </w:pPr>
      <w:r w:rsidRPr="00D7447D">
        <w:rPr>
          <w:rFonts w:ascii="Times New Roman" w:eastAsia="Times New Roman" w:hAnsi="Times New Roman" w:cs="Times New Roman"/>
          <w:i/>
          <w:sz w:val="24"/>
          <w:szCs w:val="24"/>
          <w:lang w:val="sq-AL"/>
        </w:rPr>
        <w:t xml:space="preserve">Burimi: Banka e Shqipërisë, Shtator 2022 </w:t>
      </w:r>
    </w:p>
    <w:p w14:paraId="44431A42" w14:textId="77777777" w:rsidR="00EF5076" w:rsidRPr="00D7447D" w:rsidRDefault="00EF5076" w:rsidP="000B3CCC">
      <w:pPr>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i/>
          <w:sz w:val="24"/>
          <w:szCs w:val="24"/>
          <w:lang w:val="sq-AL"/>
        </w:rPr>
      </w:pPr>
    </w:p>
    <w:p w14:paraId="5D533A01" w14:textId="77777777" w:rsidR="00EF5076" w:rsidRPr="00D7447D" w:rsidRDefault="00EF5076" w:rsidP="000B3CCC">
      <w:pPr>
        <w:autoSpaceDE w:val="0"/>
        <w:autoSpaceDN w:val="0"/>
        <w:adjustRightInd w:val="0"/>
        <w:spacing w:before="100" w:beforeAutospacing="1" w:after="100" w:afterAutospacing="1" w:line="276" w:lineRule="auto"/>
        <w:jc w:val="both"/>
        <w:rPr>
          <w:rFonts w:ascii="Times New Roman" w:eastAsia="Calibri" w:hAnsi="Times New Roman" w:cs="Times New Roman"/>
          <w:bCs/>
          <w:color w:val="1F4E79" w:themeColor="accent1" w:themeShade="80"/>
          <w:sz w:val="24"/>
          <w:szCs w:val="24"/>
          <w:lang w:val="sq-AL"/>
        </w:rPr>
      </w:pPr>
      <w:r w:rsidRPr="00D7447D">
        <w:rPr>
          <w:rFonts w:ascii="Times New Roman" w:eastAsia="Calibri" w:hAnsi="Times New Roman" w:cs="Times New Roman"/>
          <w:bCs/>
          <w:color w:val="1F4E79" w:themeColor="accent1" w:themeShade="80"/>
          <w:sz w:val="24"/>
          <w:szCs w:val="24"/>
          <w:lang w:val="sq-AL"/>
        </w:rPr>
        <w:t xml:space="preserve">Sektori i jashtëm </w:t>
      </w:r>
    </w:p>
    <w:p w14:paraId="5CE52502" w14:textId="77777777" w:rsidR="00EF5076" w:rsidRPr="00D7447D" w:rsidRDefault="00EF5076" w:rsidP="000B3CCC">
      <w:pPr>
        <w:spacing w:before="120" w:line="276" w:lineRule="auto"/>
        <w:jc w:val="both"/>
        <w:rPr>
          <w:rFonts w:ascii="Times New Roman" w:hAnsi="Times New Roman" w:cs="Times New Roman"/>
          <w:noProof/>
          <w:sz w:val="24"/>
          <w:szCs w:val="24"/>
          <w:lang w:val="sq-AL"/>
        </w:rPr>
      </w:pPr>
      <w:r w:rsidRPr="00D7447D">
        <w:rPr>
          <w:rFonts w:ascii="Times New Roman" w:eastAsia="Calibri" w:hAnsi="Times New Roman" w:cs="Times New Roman"/>
          <w:sz w:val="24"/>
          <w:szCs w:val="24"/>
          <w:lang w:val="sq-AL"/>
        </w:rPr>
        <w:t>Referuar statistikave të tregtisë së jashtme nga INSTAT, e</w:t>
      </w:r>
      <w:r w:rsidRPr="00D7447D">
        <w:rPr>
          <w:rFonts w:ascii="Times New Roman" w:hAnsi="Times New Roman" w:cs="Times New Roman"/>
          <w:noProof/>
          <w:sz w:val="24"/>
          <w:szCs w:val="24"/>
          <w:lang w:val="sq-AL"/>
        </w:rPr>
        <w:t xml:space="preserve">ksportet e mallrave për periudhёn janar - gusht 2022 shënuan </w:t>
      </w:r>
      <w:r w:rsidRPr="00D7447D">
        <w:rPr>
          <w:rFonts w:ascii="Times New Roman" w:hAnsi="Times New Roman" w:cs="Times New Roman"/>
          <w:sz w:val="24"/>
          <w:szCs w:val="24"/>
          <w:lang w:val="da-DK"/>
        </w:rPr>
        <w:t>rritje prej +40.9</w:t>
      </w:r>
      <w:r w:rsidRPr="00D7447D">
        <w:rPr>
          <w:rFonts w:ascii="Times New Roman" w:hAnsi="Times New Roman" w:cs="Times New Roman"/>
          <w:noProof/>
          <w:sz w:val="24"/>
          <w:szCs w:val="24"/>
          <w:lang w:val="sq-AL"/>
        </w:rPr>
        <w:t xml:space="preserve">% krahasuar me një vit më parë, ndёrsa vetёm pёr muajin gusht 2022 eksportet shёnuan </w:t>
      </w:r>
      <w:r w:rsidRPr="00D7447D">
        <w:rPr>
          <w:rFonts w:ascii="Times New Roman" w:hAnsi="Times New Roman" w:cs="Times New Roman"/>
          <w:sz w:val="24"/>
          <w:szCs w:val="24"/>
          <w:lang w:val="da-DK"/>
        </w:rPr>
        <w:t>rritje</w:t>
      </w:r>
      <w:r w:rsidRPr="00D7447D">
        <w:rPr>
          <w:rFonts w:ascii="Times New Roman" w:hAnsi="Times New Roman" w:cs="Times New Roman"/>
          <w:noProof/>
          <w:sz w:val="24"/>
          <w:szCs w:val="24"/>
          <w:lang w:val="sq-AL"/>
        </w:rPr>
        <w:t xml:space="preserve"> prej +48.1%, nё krahasim mё muajin gusht 2021.</w:t>
      </w:r>
    </w:p>
    <w:p w14:paraId="5DC9A61A" w14:textId="77777777" w:rsidR="00EF5076" w:rsidRPr="00D7447D" w:rsidRDefault="00EF5076" w:rsidP="000B3CCC">
      <w:pPr>
        <w:autoSpaceDE w:val="0"/>
        <w:autoSpaceDN w:val="0"/>
        <w:adjustRightInd w:val="0"/>
        <w:spacing w:before="120" w:after="120" w:line="276" w:lineRule="auto"/>
        <w:jc w:val="both"/>
        <w:rPr>
          <w:rFonts w:ascii="Times New Roman" w:hAnsi="Times New Roman" w:cs="Times New Roman"/>
          <w:sz w:val="24"/>
          <w:szCs w:val="24"/>
          <w:lang w:val="sq-AL"/>
        </w:rPr>
      </w:pPr>
      <w:r w:rsidRPr="00D7447D">
        <w:rPr>
          <w:rFonts w:ascii="Times New Roman" w:hAnsi="Times New Roman" w:cs="Times New Roman"/>
          <w:color w:val="000000"/>
          <w:sz w:val="24"/>
          <w:szCs w:val="24"/>
          <w:lang w:val="da-DK"/>
        </w:rPr>
        <w:t xml:space="preserve">Në muajin gusht 2022, eksportet e mallrave arritën vlerën 35.19 mld lekë, duke u rritur me 48.1%, në krahasim me të njëjtën periudhë të një viti më parë dhe duke rënë me 10.8% në krahasim me korrik 2022. Në tetë-mujorin e vitit 2022 eksportet e mallrave arritën vlerën 327.7 mld lekë, duke u rritur me 40.9%, krahasuar me një vit më parë. </w:t>
      </w:r>
      <w:r w:rsidRPr="00D7447D">
        <w:rPr>
          <w:rFonts w:ascii="Times New Roman" w:hAnsi="Times New Roman" w:cs="Times New Roman"/>
          <w:sz w:val="24"/>
          <w:szCs w:val="24"/>
          <w:lang w:val="sq-AL"/>
        </w:rPr>
        <w:t>Rritja vjetore e eksporteve prej 48.1%, këtë muaj është ndikuar nga grupet: “Minerale lëndë djegëse, energji elektrike” me kontribut +19.4 pikë përqindje, “Materiale ndërtimi dhe metale” me +14.8 pikë përqindje.</w:t>
      </w:r>
    </w:p>
    <w:p w14:paraId="1BF60E43"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Në grafikun e mëposhtëm ilustrohet rritja mujore e totalit të eksporteve në përqindje, kundrejt të njëjtit muaj të një viti më parë.</w:t>
      </w:r>
    </w:p>
    <w:p w14:paraId="24A06676"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b/>
          <w:sz w:val="24"/>
          <w:szCs w:val="24"/>
          <w:lang w:val="sq-AL"/>
        </w:rPr>
      </w:pPr>
    </w:p>
    <w:p w14:paraId="38877344"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Grafiku 2.5:</w:t>
      </w:r>
      <w:r w:rsidRPr="00D7447D">
        <w:rPr>
          <w:rFonts w:ascii="Times New Roman" w:eastAsia="Calibri" w:hAnsi="Times New Roman" w:cs="Times New Roman"/>
          <w:sz w:val="24"/>
          <w:szCs w:val="24"/>
          <w:lang w:val="sq-AL"/>
        </w:rPr>
        <w:t xml:space="preserve"> Rritja mujore e eksporteve (Gusht’22/Gusht’21), në përqindje.</w:t>
      </w:r>
    </w:p>
    <w:p w14:paraId="3F5DCC99"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3CCA9898" wp14:editId="434CC32E">
            <wp:extent cx="5940331" cy="2169994"/>
            <wp:effectExtent l="0" t="0" r="3810"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8329" cy="2176569"/>
                    </a:xfrm>
                    <a:prstGeom prst="rect">
                      <a:avLst/>
                    </a:prstGeom>
                    <a:noFill/>
                    <a:ln>
                      <a:noFill/>
                    </a:ln>
                  </pic:spPr>
                </pic:pic>
              </a:graphicData>
            </a:graphic>
          </wp:inline>
        </w:drawing>
      </w:r>
    </w:p>
    <w:p w14:paraId="0C7EDBB5"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i/>
          <w:sz w:val="24"/>
          <w:szCs w:val="24"/>
          <w:lang w:val="sq-AL"/>
        </w:rPr>
      </w:pPr>
      <w:r w:rsidRPr="00D7447D">
        <w:rPr>
          <w:rFonts w:ascii="Times New Roman" w:eastAsia="Calibri" w:hAnsi="Times New Roman" w:cs="Times New Roman"/>
          <w:i/>
          <w:sz w:val="24"/>
          <w:szCs w:val="24"/>
          <w:lang w:val="sq-AL"/>
        </w:rPr>
        <w:lastRenderedPageBreak/>
        <w:t xml:space="preserve">Burimi: INSTAT, Shtator 2022 </w:t>
      </w:r>
    </w:p>
    <w:p w14:paraId="79BF6539" w14:textId="77777777" w:rsidR="00EF5076" w:rsidRPr="00D7447D" w:rsidRDefault="00EF5076" w:rsidP="000B3CCC">
      <w:pPr>
        <w:spacing w:before="120" w:line="276" w:lineRule="auto"/>
        <w:jc w:val="both"/>
        <w:rPr>
          <w:rFonts w:ascii="Times New Roman" w:hAnsi="Times New Roman" w:cs="Times New Roman"/>
          <w:sz w:val="24"/>
          <w:szCs w:val="24"/>
          <w:lang w:val="da-DK"/>
        </w:rPr>
      </w:pPr>
      <w:r w:rsidRPr="00D7447D">
        <w:rPr>
          <w:rFonts w:ascii="Times New Roman" w:hAnsi="Times New Roman" w:cs="Times New Roman"/>
          <w:noProof/>
          <w:sz w:val="24"/>
          <w:szCs w:val="24"/>
          <w:lang w:val="sq-AL"/>
        </w:rPr>
        <w:t xml:space="preserve">Importet e mallrave për periudhёn janar – gusht 2022 shënuan </w:t>
      </w:r>
      <w:r w:rsidRPr="00D7447D">
        <w:rPr>
          <w:rFonts w:ascii="Times New Roman" w:hAnsi="Times New Roman" w:cs="Times New Roman"/>
          <w:sz w:val="24"/>
          <w:szCs w:val="24"/>
          <w:lang w:val="da-DK"/>
        </w:rPr>
        <w:t xml:space="preserve">rritje </w:t>
      </w:r>
      <w:r w:rsidRPr="00D7447D">
        <w:rPr>
          <w:rFonts w:ascii="Times New Roman" w:hAnsi="Times New Roman" w:cs="Times New Roman"/>
          <w:noProof/>
          <w:sz w:val="24"/>
          <w:szCs w:val="24"/>
          <w:lang w:val="sq-AL"/>
        </w:rPr>
        <w:t xml:space="preserve">prej +24.8% krahasuar me një vit më parё, ndërsa vetëm për muajin gusht 2022 importet shënuan </w:t>
      </w:r>
      <w:r w:rsidRPr="00D7447D">
        <w:rPr>
          <w:rFonts w:ascii="Times New Roman" w:hAnsi="Times New Roman" w:cs="Times New Roman"/>
          <w:sz w:val="24"/>
          <w:szCs w:val="24"/>
          <w:lang w:val="da-DK"/>
        </w:rPr>
        <w:t xml:space="preserve">rritje </w:t>
      </w:r>
      <w:r w:rsidRPr="00D7447D">
        <w:rPr>
          <w:rFonts w:ascii="Times New Roman" w:hAnsi="Times New Roman" w:cs="Times New Roman"/>
          <w:noProof/>
          <w:sz w:val="24"/>
          <w:szCs w:val="24"/>
          <w:lang w:val="sq-AL"/>
        </w:rPr>
        <w:t>vjetore prej +30.8% në krahasim me muajin gusht 2021.</w:t>
      </w:r>
    </w:p>
    <w:p w14:paraId="3E9B3DEF" w14:textId="77777777" w:rsidR="00EF5076" w:rsidRPr="00D7447D" w:rsidRDefault="00EF5076" w:rsidP="000B3CCC">
      <w:pPr>
        <w:autoSpaceDE w:val="0"/>
        <w:autoSpaceDN w:val="0"/>
        <w:adjustRightInd w:val="0"/>
        <w:spacing w:before="120" w:after="120" w:line="276" w:lineRule="auto"/>
        <w:jc w:val="both"/>
        <w:rPr>
          <w:rFonts w:ascii="Times New Roman" w:hAnsi="Times New Roman" w:cs="Times New Roman"/>
          <w:color w:val="000000"/>
          <w:sz w:val="24"/>
          <w:szCs w:val="24"/>
          <w:lang w:val="da-DK"/>
        </w:rPr>
      </w:pPr>
      <w:r w:rsidRPr="00D7447D">
        <w:rPr>
          <w:rFonts w:ascii="Times New Roman" w:hAnsi="Times New Roman" w:cs="Times New Roman"/>
          <w:color w:val="000000"/>
          <w:sz w:val="24"/>
          <w:szCs w:val="24"/>
          <w:lang w:val="da-DK"/>
        </w:rPr>
        <w:t>Në muajin gusht 2022 importet e mallrave arritën vlerën 79.57 mld lekë, duke u rritur me 30.8%, në krahasim me një vit më parë dhe duke rënë me 2.57%, në krahasim me korrik 2022. Në tetë-mujorin e 2022, importet e mallrave arritën vlerën 607.26 mld lekë, duke u rritur me 24.8%, krahasuar me një vit më parë. Rritja vjetore e importeve prej 30.8%, këtë muaj është ndikuar kryesisht nga grupet: “Minerale, lëndë djegëse, energji elektrike” me +20.3 pikë përqindje, “Materiale ndërtimi dhe metale” me kontribut +2.6 pikë përqindje.</w:t>
      </w:r>
    </w:p>
    <w:p w14:paraId="64A3C7F9" w14:textId="77777777" w:rsidR="00EF5076" w:rsidRPr="00D7447D" w:rsidRDefault="00EF5076" w:rsidP="000B3CCC">
      <w:pPr>
        <w:autoSpaceDE w:val="0"/>
        <w:autoSpaceDN w:val="0"/>
        <w:adjustRightInd w:val="0"/>
        <w:spacing w:before="120"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Në grafikun e mëposhtëm ilustrohet rritja mujore e totalit të importeve në përqindje, kundrejt të njëjtit muaj të një viti më parë.</w:t>
      </w:r>
    </w:p>
    <w:p w14:paraId="7A3B869A"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Grafiku 2.6:</w:t>
      </w:r>
      <w:r w:rsidRPr="00D7447D">
        <w:rPr>
          <w:rFonts w:ascii="Times New Roman" w:eastAsia="Calibri" w:hAnsi="Times New Roman" w:cs="Times New Roman"/>
          <w:sz w:val="24"/>
          <w:szCs w:val="24"/>
          <w:lang w:val="sq-AL"/>
        </w:rPr>
        <w:t xml:space="preserve"> Rritja mujore e importeve (Gusht’22/Gusht’21), në përqindje.</w:t>
      </w:r>
    </w:p>
    <w:p w14:paraId="58A7B868"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Calibri"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72E88BE2" wp14:editId="5E4B4493">
            <wp:extent cx="5943381" cy="2224585"/>
            <wp:effectExtent l="0" t="0" r="63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9647" cy="2226930"/>
                    </a:xfrm>
                    <a:prstGeom prst="rect">
                      <a:avLst/>
                    </a:prstGeom>
                    <a:noFill/>
                    <a:ln>
                      <a:noFill/>
                    </a:ln>
                  </pic:spPr>
                </pic:pic>
              </a:graphicData>
            </a:graphic>
          </wp:inline>
        </w:drawing>
      </w:r>
    </w:p>
    <w:p w14:paraId="355A4E5D" w14:textId="77777777" w:rsidR="00EF5076" w:rsidRPr="00D7447D" w:rsidRDefault="00EF5076" w:rsidP="000B3CCC">
      <w:pPr>
        <w:autoSpaceDE w:val="0"/>
        <w:autoSpaceDN w:val="0"/>
        <w:adjustRightInd w:val="0"/>
        <w:spacing w:before="120" w:after="120" w:line="276" w:lineRule="auto"/>
        <w:contextualSpacing/>
        <w:jc w:val="both"/>
        <w:rPr>
          <w:rFonts w:ascii="Times New Roman" w:eastAsia="Calibri" w:hAnsi="Times New Roman" w:cs="Times New Roman"/>
          <w:i/>
          <w:sz w:val="24"/>
          <w:szCs w:val="24"/>
          <w:lang w:val="sq-AL"/>
        </w:rPr>
      </w:pPr>
      <w:r w:rsidRPr="00D7447D">
        <w:rPr>
          <w:rFonts w:ascii="Times New Roman" w:eastAsia="Calibri" w:hAnsi="Times New Roman" w:cs="Times New Roman"/>
          <w:i/>
          <w:sz w:val="24"/>
          <w:szCs w:val="24"/>
          <w:lang w:val="sq-AL"/>
        </w:rPr>
        <w:t>Burimi: INSTAT, Shtator 2022</w:t>
      </w:r>
    </w:p>
    <w:p w14:paraId="647D24CB" w14:textId="77777777" w:rsidR="00EF5076" w:rsidRPr="00D7447D" w:rsidRDefault="00EF5076" w:rsidP="000B3CCC">
      <w:pPr>
        <w:tabs>
          <w:tab w:val="left" w:pos="90"/>
        </w:tabs>
        <w:spacing w:before="120" w:line="276" w:lineRule="auto"/>
        <w:jc w:val="both"/>
        <w:rPr>
          <w:rFonts w:ascii="Times New Roman" w:hAnsi="Times New Roman" w:cs="Times New Roman"/>
          <w:noProof/>
          <w:sz w:val="24"/>
          <w:szCs w:val="24"/>
          <w:lang w:val="sq-AL"/>
        </w:rPr>
      </w:pPr>
    </w:p>
    <w:p w14:paraId="73D0AA79" w14:textId="73B959BD" w:rsidR="00EF5076" w:rsidRPr="00D7447D" w:rsidRDefault="00EF5076" w:rsidP="000B3CCC">
      <w:pPr>
        <w:tabs>
          <w:tab w:val="left" w:pos="90"/>
        </w:tabs>
        <w:spacing w:before="120" w:line="276" w:lineRule="auto"/>
        <w:jc w:val="both"/>
        <w:rPr>
          <w:rFonts w:ascii="Times New Roman" w:hAnsi="Times New Roman" w:cs="Times New Roman"/>
          <w:noProof/>
          <w:sz w:val="24"/>
          <w:szCs w:val="24"/>
          <w:lang w:val="sq-AL"/>
        </w:rPr>
      </w:pPr>
      <w:r w:rsidRPr="00D7447D">
        <w:rPr>
          <w:rFonts w:ascii="Times New Roman" w:hAnsi="Times New Roman" w:cs="Times New Roman"/>
          <w:noProof/>
          <w:sz w:val="24"/>
          <w:szCs w:val="24"/>
          <w:lang w:val="sq-AL"/>
        </w:rPr>
        <w:t>Gjatë periudhës janar - gusht 2022, bilanci tregtar u përkeqësua me rreth 10% krahasuar me të njëjtën periudhë të 2021, ndërsa vetёm pёr muajin gusht 2022, bilanci tregtar u përkeqësua me 19.6% krahasuar me muajin gusht 2021.</w:t>
      </w:r>
      <w:bookmarkEnd w:id="15"/>
      <w:r w:rsidRPr="00D7447D">
        <w:rPr>
          <w:rFonts w:ascii="Times New Roman" w:hAnsi="Times New Roman" w:cs="Times New Roman"/>
          <w:noProof/>
          <w:sz w:val="24"/>
          <w:szCs w:val="24"/>
          <w:lang w:val="sq-AL"/>
        </w:rPr>
        <w:t xml:space="preserve"> </w:t>
      </w:r>
      <w:r w:rsidRPr="00D7447D">
        <w:rPr>
          <w:rFonts w:ascii="Times New Roman" w:hAnsi="Times New Roman" w:cs="Times New Roman"/>
          <w:sz w:val="24"/>
          <w:szCs w:val="24"/>
          <w:lang w:val="sq-AL"/>
        </w:rPr>
        <w:t>Deficiti tregtar i këtij muaji është 44.38 mld lekë, duke u përkeqësuar me 19.6%, krahasuar me gusht 2021 dhe duke u rritur me 5.15%, në krahasim me korrik 2022.</w:t>
      </w:r>
    </w:p>
    <w:p w14:paraId="38FEDBE8" w14:textId="3965072A" w:rsidR="00F7609B" w:rsidRPr="00D7447D" w:rsidRDefault="00C56E02" w:rsidP="000B3CCC">
      <w:pPr>
        <w:pStyle w:val="Heading1"/>
        <w:spacing w:line="276" w:lineRule="auto"/>
        <w:rPr>
          <w:rFonts w:ascii="Times New Roman" w:hAnsi="Times New Roman" w:cs="Times New Roman"/>
          <w:b/>
          <w:color w:val="000000" w:themeColor="text1"/>
          <w:sz w:val="24"/>
          <w:szCs w:val="24"/>
          <w:lang w:val="en"/>
        </w:rPr>
      </w:pPr>
      <w:bookmarkStart w:id="16" w:name="_Toc115701041"/>
      <w:r w:rsidRPr="00D7447D">
        <w:rPr>
          <w:rFonts w:ascii="Times New Roman" w:hAnsi="Times New Roman" w:cs="Times New Roman"/>
          <w:b/>
          <w:color w:val="000000" w:themeColor="text1"/>
          <w:sz w:val="24"/>
          <w:szCs w:val="24"/>
          <w:lang w:val="en"/>
        </w:rPr>
        <w:t xml:space="preserve">PROGRAMI BUXHETOR AFATMESËM </w:t>
      </w:r>
      <w:r w:rsidR="00EE2BFD" w:rsidRPr="00D7447D">
        <w:rPr>
          <w:rFonts w:ascii="Times New Roman" w:hAnsi="Times New Roman" w:cs="Times New Roman"/>
          <w:b/>
          <w:color w:val="000000" w:themeColor="text1"/>
          <w:sz w:val="24"/>
          <w:szCs w:val="24"/>
          <w:lang w:val="en"/>
        </w:rPr>
        <w:t>202</w:t>
      </w:r>
      <w:r w:rsidR="00E17F58" w:rsidRPr="00D7447D">
        <w:rPr>
          <w:rFonts w:ascii="Times New Roman" w:hAnsi="Times New Roman" w:cs="Times New Roman"/>
          <w:b/>
          <w:color w:val="000000" w:themeColor="text1"/>
          <w:sz w:val="24"/>
          <w:szCs w:val="24"/>
          <w:lang w:val="en"/>
        </w:rPr>
        <w:t>3</w:t>
      </w:r>
      <w:r w:rsidR="00EE2BFD" w:rsidRPr="00D7447D">
        <w:rPr>
          <w:rFonts w:ascii="Times New Roman" w:hAnsi="Times New Roman" w:cs="Times New Roman"/>
          <w:b/>
          <w:color w:val="000000" w:themeColor="text1"/>
          <w:sz w:val="24"/>
          <w:szCs w:val="24"/>
          <w:lang w:val="en"/>
        </w:rPr>
        <w:t>-202</w:t>
      </w:r>
      <w:r w:rsidR="00E17F58" w:rsidRPr="00D7447D">
        <w:rPr>
          <w:rFonts w:ascii="Times New Roman" w:hAnsi="Times New Roman" w:cs="Times New Roman"/>
          <w:b/>
          <w:color w:val="000000" w:themeColor="text1"/>
          <w:sz w:val="24"/>
          <w:szCs w:val="24"/>
          <w:lang w:val="en"/>
        </w:rPr>
        <w:t>5</w:t>
      </w:r>
      <w:bookmarkEnd w:id="16"/>
    </w:p>
    <w:p w14:paraId="2447245B" w14:textId="77777777" w:rsidR="003C74A3" w:rsidRPr="00D7447D" w:rsidRDefault="003C74A3" w:rsidP="000B3CCC">
      <w:pPr>
        <w:pStyle w:val="Heading2"/>
        <w:spacing w:line="276" w:lineRule="auto"/>
        <w:rPr>
          <w:rFonts w:ascii="Times New Roman" w:eastAsia="Calibri" w:hAnsi="Times New Roman" w:cs="Times New Roman"/>
          <w:i w:val="0"/>
          <w:sz w:val="24"/>
          <w:szCs w:val="24"/>
        </w:rPr>
      </w:pPr>
      <w:bookmarkStart w:id="17" w:name="_Toc516534"/>
      <w:bookmarkStart w:id="18" w:name="_Toc115701042"/>
      <w:r w:rsidRPr="00D7447D">
        <w:rPr>
          <w:rFonts w:ascii="Times New Roman" w:eastAsia="Calibri" w:hAnsi="Times New Roman" w:cs="Times New Roman"/>
          <w:i w:val="0"/>
          <w:sz w:val="24"/>
          <w:szCs w:val="24"/>
        </w:rPr>
        <w:t>MINISTRIA E SHËNDETËSISË DHE MBROJTJES SOCIALE</w:t>
      </w:r>
      <w:bookmarkEnd w:id="17"/>
      <w:bookmarkEnd w:id="18"/>
    </w:p>
    <w:p w14:paraId="495B877A" w14:textId="77777777" w:rsidR="009D37F5" w:rsidRPr="00D7447D" w:rsidRDefault="009D37F5" w:rsidP="000B3CCC">
      <w:pPr>
        <w:spacing w:after="200" w:line="276" w:lineRule="auto"/>
        <w:jc w:val="both"/>
        <w:rPr>
          <w:rFonts w:ascii="Times New Roman" w:eastAsia="Calibri" w:hAnsi="Times New Roman" w:cs="Times New Roman"/>
          <w:sz w:val="24"/>
          <w:szCs w:val="24"/>
          <w:lang w:val="sq-AL"/>
        </w:rPr>
      </w:pPr>
      <w:bookmarkStart w:id="19" w:name="_Toc516535"/>
      <w:r w:rsidRPr="00D7447D">
        <w:rPr>
          <w:rFonts w:ascii="Times New Roman" w:eastAsia="Calibri" w:hAnsi="Times New Roman" w:cs="Times New Roman"/>
          <w:sz w:val="24"/>
          <w:szCs w:val="24"/>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14:paraId="57692DD5" w14:textId="77777777" w:rsidR="009D37F5" w:rsidRPr="00D7447D" w:rsidRDefault="009D37F5"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lastRenderedPageBreak/>
        <w:t xml:space="preserve">Për periudhën 2023-2025, sektori i shëndetësisë do të përmbushë objektivat e synuar përmes fondeve buxhetore të alokuara sipas tabelës së mëposhtme. </w:t>
      </w:r>
    </w:p>
    <w:p w14:paraId="79102E66" w14:textId="77777777" w:rsidR="009D37F5" w:rsidRPr="00D7447D" w:rsidRDefault="009D37F5" w:rsidP="000B3CCC">
      <w:pPr>
        <w:spacing w:line="276" w:lineRule="auto"/>
        <w:contextualSpacing/>
        <w:rPr>
          <w:rFonts w:ascii="Times New Roman" w:eastAsia="Times New Roman" w:hAnsi="Times New Roman" w:cs="Times New Roman"/>
          <w:sz w:val="24"/>
          <w:szCs w:val="24"/>
          <w:lang w:val="sq-AL"/>
        </w:rPr>
      </w:pPr>
      <w:r w:rsidRPr="00D7447D">
        <w:rPr>
          <w:rFonts w:ascii="Times New Roman" w:eastAsia="Times New Roman" w:hAnsi="Times New Roman" w:cs="Times New Roman"/>
          <w:b/>
          <w:sz w:val="24"/>
          <w:szCs w:val="24"/>
          <w:lang w:val="sq-AL"/>
        </w:rPr>
        <w:t xml:space="preserve">Tabela 3: </w:t>
      </w:r>
      <w:r w:rsidRPr="00D7447D">
        <w:rPr>
          <w:rFonts w:ascii="Times New Roman" w:eastAsia="Times New Roman" w:hAnsi="Times New Roman" w:cs="Times New Roman"/>
          <w:sz w:val="24"/>
          <w:szCs w:val="24"/>
          <w:lang w:val="sq-AL"/>
        </w:rPr>
        <w:t>Shpenzimet për Ministrinë e Shëndetësisë dhe Mbrojtjes Sociale në vitet 2023-2025</w:t>
      </w:r>
    </w:p>
    <w:p w14:paraId="7CD10014" w14:textId="77777777" w:rsidR="009D37F5" w:rsidRPr="00D7447D" w:rsidRDefault="009D37F5" w:rsidP="000B3CCC">
      <w:pPr>
        <w:spacing w:line="276" w:lineRule="auto"/>
        <w:contextualSpacing/>
        <w:rPr>
          <w:rFonts w:ascii="Times New Roman" w:eastAsia="Times New Roman" w:hAnsi="Times New Roman" w:cs="Times New Roman"/>
          <w:sz w:val="24"/>
          <w:szCs w:val="24"/>
          <w:lang w:val="sq-AL"/>
        </w:rPr>
      </w:pPr>
    </w:p>
    <w:p w14:paraId="78FCF75F" w14:textId="77777777" w:rsidR="009D37F5" w:rsidRPr="00D7447D" w:rsidRDefault="009D37F5" w:rsidP="000B3CCC">
      <w:pPr>
        <w:spacing w:line="276" w:lineRule="auto"/>
        <w:contextualSpacing/>
        <w:rPr>
          <w:rFonts w:ascii="Times New Roman" w:eastAsia="Times New Roman"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3552D33E" wp14:editId="457EB170">
            <wp:extent cx="5943600" cy="14503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450340"/>
                    </a:xfrm>
                    <a:prstGeom prst="rect">
                      <a:avLst/>
                    </a:prstGeom>
                  </pic:spPr>
                </pic:pic>
              </a:graphicData>
            </a:graphic>
          </wp:inline>
        </w:drawing>
      </w:r>
    </w:p>
    <w:p w14:paraId="09EAEDDA" w14:textId="77777777" w:rsidR="009D37F5" w:rsidRPr="00D7447D" w:rsidRDefault="009D37F5" w:rsidP="000B3CCC">
      <w:pPr>
        <w:keepNext/>
        <w:keepLines/>
        <w:spacing w:before="40" w:after="0" w:line="276" w:lineRule="auto"/>
        <w:outlineLvl w:val="2"/>
        <w:rPr>
          <w:rFonts w:ascii="Times New Roman" w:eastAsia="MS Gothic" w:hAnsi="Times New Roman" w:cs="Times New Roman"/>
          <w:b/>
          <w:sz w:val="24"/>
          <w:szCs w:val="24"/>
          <w:lang w:val="sq-AL"/>
        </w:rPr>
      </w:pPr>
    </w:p>
    <w:p w14:paraId="14B36CCF" w14:textId="77777777" w:rsidR="009D37F5" w:rsidRPr="00D7447D" w:rsidRDefault="009D37F5" w:rsidP="000B3CCC">
      <w:pPr>
        <w:keepNext/>
        <w:keepLines/>
        <w:numPr>
          <w:ilvl w:val="2"/>
          <w:numId w:val="17"/>
        </w:numPr>
        <w:tabs>
          <w:tab w:val="num" w:pos="360"/>
        </w:tabs>
        <w:spacing w:before="40" w:after="0" w:line="276" w:lineRule="auto"/>
        <w:ind w:left="0" w:firstLine="0"/>
        <w:outlineLvl w:val="2"/>
        <w:rPr>
          <w:rFonts w:ascii="Times New Roman" w:eastAsia="MS Gothic" w:hAnsi="Times New Roman" w:cs="Times New Roman"/>
          <w:b/>
          <w:sz w:val="24"/>
          <w:szCs w:val="24"/>
          <w:lang w:val="sq-AL"/>
        </w:rPr>
      </w:pPr>
      <w:r w:rsidRPr="00D7447D">
        <w:rPr>
          <w:rFonts w:ascii="Times New Roman" w:eastAsia="MS Gothic" w:hAnsi="Times New Roman" w:cs="Times New Roman"/>
          <w:b/>
          <w:sz w:val="24"/>
          <w:szCs w:val="24"/>
          <w:lang w:val="sq-AL"/>
        </w:rPr>
        <w:t>Prioritetet e sektorit për periudhën 2023-2025</w:t>
      </w:r>
    </w:p>
    <w:p w14:paraId="426205E9" w14:textId="77777777" w:rsidR="009D37F5" w:rsidRPr="00D7447D" w:rsidRDefault="009D37F5" w:rsidP="000B3CCC">
      <w:pPr>
        <w:spacing w:after="200" w:line="276" w:lineRule="auto"/>
        <w:contextualSpacing/>
        <w:jc w:val="both"/>
        <w:rPr>
          <w:rFonts w:ascii="Times New Roman" w:eastAsia="Calibri" w:hAnsi="Times New Roman" w:cs="Times New Roman"/>
          <w:sz w:val="24"/>
          <w:szCs w:val="24"/>
          <w:lang w:val="sq-AL"/>
        </w:rPr>
      </w:pPr>
    </w:p>
    <w:p w14:paraId="458984C6" w14:textId="77777777" w:rsidR="009D37F5" w:rsidRPr="00D7447D" w:rsidRDefault="009D37F5" w:rsidP="000B3CCC">
      <w:pPr>
        <w:numPr>
          <w:ilvl w:val="0"/>
          <w:numId w:val="26"/>
        </w:numPr>
        <w:tabs>
          <w:tab w:val="left" w:pos="1440"/>
        </w:tabs>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Financimi i shërbimeve shëndetësore (parësore e spitalore);</w:t>
      </w:r>
    </w:p>
    <w:p w14:paraId="47B7848F" w14:textId="77777777" w:rsidR="009D37F5" w:rsidRPr="00D7447D" w:rsidRDefault="009D37F5" w:rsidP="000B3CCC">
      <w:pPr>
        <w:numPr>
          <w:ilvl w:val="0"/>
          <w:numId w:val="26"/>
        </w:numPr>
        <w:tabs>
          <w:tab w:val="left" w:pos="1440"/>
        </w:tabs>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Qëndrueshmëria dhe përmirësimi i situatës financiare institucioneve shëndetësore e të mbrojtjes sociale, nëpërmjet përdorimit me efektivitet të burimeve të financimit, forcimit të kontrollit të shpenzimeve;</w:t>
      </w:r>
    </w:p>
    <w:p w14:paraId="6665399D" w14:textId="77777777" w:rsidR="009D37F5" w:rsidRPr="00D7447D" w:rsidRDefault="009D37F5" w:rsidP="000B3CCC">
      <w:pPr>
        <w:numPr>
          <w:ilvl w:val="0"/>
          <w:numId w:val="26"/>
        </w:numPr>
        <w:tabs>
          <w:tab w:val="left" w:pos="1440"/>
        </w:tabs>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e kosto-efektivitetit të listës së barnave e pajisjeve të rimbursueshme;</w:t>
      </w:r>
    </w:p>
    <w:p w14:paraId="546029CE" w14:textId="77777777" w:rsidR="009D37F5" w:rsidRPr="00D7447D" w:rsidRDefault="009D37F5" w:rsidP="000B3CCC">
      <w:pPr>
        <w:numPr>
          <w:ilvl w:val="0"/>
          <w:numId w:val="26"/>
        </w:numPr>
        <w:tabs>
          <w:tab w:val="left" w:pos="1440"/>
        </w:tabs>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Financimi i paketave të miratuara të shërbimit spitalor në spitalet publike e jopublike;</w:t>
      </w:r>
    </w:p>
    <w:p w14:paraId="0830A1A6" w14:textId="77777777" w:rsidR="009D37F5" w:rsidRPr="00D7447D" w:rsidRDefault="009D37F5" w:rsidP="000B3CCC">
      <w:pPr>
        <w:numPr>
          <w:ilvl w:val="0"/>
          <w:numId w:val="26"/>
        </w:numPr>
        <w:tabs>
          <w:tab w:val="left" w:pos="1440"/>
        </w:tabs>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Pagesat për kujdes shëndetësor, sipas marrëveshjeve ndërkombëtare të nënshkruara;</w:t>
      </w:r>
    </w:p>
    <w:p w14:paraId="4CB620AA" w14:textId="77777777" w:rsidR="009D37F5" w:rsidRPr="00D7447D" w:rsidRDefault="009D37F5" w:rsidP="000B3CCC">
      <w:pPr>
        <w:numPr>
          <w:ilvl w:val="0"/>
          <w:numId w:val="26"/>
        </w:numPr>
        <w:tabs>
          <w:tab w:val="left" w:pos="1440"/>
        </w:tabs>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Intensifikimi i punës për kostimin e shërbimeve të reja shëndetësore, në kujdesin shëndetësor, me synim ndryshimin e mënyrës së financimit të shërbimeve shëndetësore;</w:t>
      </w:r>
    </w:p>
    <w:p w14:paraId="020FFEEA" w14:textId="77777777" w:rsidR="009D37F5" w:rsidRPr="00D7447D" w:rsidRDefault="009D37F5" w:rsidP="000B3CCC">
      <w:pPr>
        <w:numPr>
          <w:ilvl w:val="0"/>
          <w:numId w:val="26"/>
        </w:numPr>
        <w:tabs>
          <w:tab w:val="left" w:pos="1440"/>
        </w:tabs>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Financimi i shërbimit të kontrollit bazë mjekësor bazë për të paktën 50% të numrit të shtetasve të moshës 35-70 vjeç.</w:t>
      </w:r>
    </w:p>
    <w:p w14:paraId="3AB312BA" w14:textId="77777777" w:rsidR="009D37F5" w:rsidRPr="00D7447D" w:rsidRDefault="009D37F5" w:rsidP="000B3CCC">
      <w:pPr>
        <w:keepNext/>
        <w:spacing w:after="200" w:line="276" w:lineRule="auto"/>
        <w:rPr>
          <w:rFonts w:ascii="Times New Roman" w:eastAsia="MS Mincho" w:hAnsi="Times New Roman" w:cs="Times New Roman"/>
          <w:b/>
          <w:bCs/>
          <w:sz w:val="24"/>
          <w:szCs w:val="24"/>
        </w:rPr>
      </w:pPr>
      <w:r w:rsidRPr="00D7447D">
        <w:rPr>
          <w:rFonts w:ascii="Times New Roman" w:eastAsia="Times New Roman" w:hAnsi="Times New Roman" w:cs="Times New Roman"/>
          <w:b/>
          <w:bCs/>
          <w:noProof/>
          <w:sz w:val="24"/>
          <w:szCs w:val="24"/>
          <w:lang w:val="sq-AL"/>
        </w:rPr>
        <w:lastRenderedPageBreak/>
        <w:t xml:space="preserve">Tabela 4: </w:t>
      </w:r>
      <w:r w:rsidRPr="00D7447D">
        <w:rPr>
          <w:rFonts w:ascii="Times New Roman" w:eastAsia="Times New Roman" w:hAnsi="Times New Roman" w:cs="Times New Roman"/>
          <w:bCs/>
          <w:noProof/>
          <w:sz w:val="24"/>
          <w:szCs w:val="24"/>
          <w:lang w:val="sq-AL"/>
        </w:rPr>
        <w:t>Shpenzimet e Ministrisë së Shëndetësisë dhe Mbrojtjes Sociale sipas programeve buxhetore dhe sipas artikujve ekonomikë</w:t>
      </w:r>
    </w:p>
    <w:p w14:paraId="02E23A80" w14:textId="77777777" w:rsidR="009D37F5" w:rsidRPr="00D7447D" w:rsidRDefault="009D37F5" w:rsidP="000B3CCC">
      <w:pPr>
        <w:spacing w:after="200" w:line="276" w:lineRule="auto"/>
        <w:jc w:val="center"/>
        <w:rPr>
          <w:rFonts w:ascii="Times New Roman" w:eastAsia="MS Gothic" w:hAnsi="Times New Roman" w:cs="Times New Roman"/>
          <w:b/>
          <w:bCs/>
          <w:color w:val="0070C0"/>
          <w:sz w:val="24"/>
          <w:szCs w:val="24"/>
          <w:lang w:val="en-GB"/>
        </w:rPr>
      </w:pPr>
      <w:r w:rsidRPr="00D7447D">
        <w:rPr>
          <w:rFonts w:ascii="Times New Roman" w:hAnsi="Times New Roman" w:cs="Times New Roman"/>
          <w:noProof/>
          <w:sz w:val="24"/>
          <w:szCs w:val="24"/>
        </w:rPr>
        <w:drawing>
          <wp:inline distT="0" distB="0" distL="0" distR="0" wp14:anchorId="2869ED35" wp14:editId="02BDC3BA">
            <wp:extent cx="5943600" cy="55930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593080"/>
                    </a:xfrm>
                    <a:prstGeom prst="rect">
                      <a:avLst/>
                    </a:prstGeom>
                  </pic:spPr>
                </pic:pic>
              </a:graphicData>
            </a:graphic>
          </wp:inline>
        </w:drawing>
      </w:r>
    </w:p>
    <w:p w14:paraId="3BEAEB36" w14:textId="77777777" w:rsidR="009D37F5" w:rsidRPr="00D7447D" w:rsidRDefault="009D37F5" w:rsidP="000B3CCC">
      <w:pPr>
        <w:spacing w:after="200" w:line="276" w:lineRule="auto"/>
        <w:rPr>
          <w:rFonts w:ascii="Times New Roman" w:eastAsia="MS Gothic" w:hAnsi="Times New Roman" w:cs="Times New Roman"/>
          <w:b/>
          <w:bCs/>
          <w:color w:val="0070C0"/>
          <w:sz w:val="24"/>
          <w:szCs w:val="24"/>
          <w:lang w:val="en-GB"/>
        </w:rPr>
      </w:pPr>
    </w:p>
    <w:p w14:paraId="3E4E3EA0" w14:textId="77777777" w:rsidR="009D37F5" w:rsidRPr="00D7447D" w:rsidRDefault="009D37F5" w:rsidP="000B3CCC">
      <w:pPr>
        <w:keepNext/>
        <w:keepLines/>
        <w:numPr>
          <w:ilvl w:val="2"/>
          <w:numId w:val="17"/>
        </w:numPr>
        <w:tabs>
          <w:tab w:val="num" w:pos="360"/>
        </w:tabs>
        <w:spacing w:before="40" w:after="0" w:line="276" w:lineRule="auto"/>
        <w:ind w:left="0" w:firstLine="0"/>
        <w:outlineLvl w:val="2"/>
        <w:rPr>
          <w:rFonts w:ascii="Times New Roman" w:eastAsia="MS Gothic" w:hAnsi="Times New Roman" w:cs="Times New Roman"/>
          <w:b/>
          <w:sz w:val="24"/>
          <w:szCs w:val="24"/>
          <w:lang w:val="sq-AL"/>
        </w:rPr>
      </w:pPr>
      <w:r w:rsidRPr="00D7447D">
        <w:rPr>
          <w:rFonts w:ascii="Times New Roman" w:eastAsia="MS Gothic" w:hAnsi="Times New Roman" w:cs="Times New Roman"/>
          <w:b/>
          <w:sz w:val="24"/>
          <w:szCs w:val="24"/>
          <w:lang w:val="sq-AL"/>
        </w:rPr>
        <w:t>Përmbledhje e Treguesve Kyç të Performancës</w:t>
      </w:r>
    </w:p>
    <w:p w14:paraId="5AC55FF5" w14:textId="77777777" w:rsidR="009D37F5" w:rsidRPr="00D7447D" w:rsidRDefault="009D37F5" w:rsidP="000B3CCC">
      <w:pPr>
        <w:spacing w:line="276" w:lineRule="auto"/>
        <w:rPr>
          <w:rFonts w:ascii="Times New Roman" w:eastAsia="MS Mincho" w:hAnsi="Times New Roman" w:cs="Times New Roman"/>
          <w:sz w:val="24"/>
          <w:szCs w:val="24"/>
          <w:lang w:val="sq-AL"/>
        </w:rPr>
      </w:pPr>
    </w:p>
    <w:p w14:paraId="60FF200E" w14:textId="77777777" w:rsidR="009D37F5" w:rsidRPr="00D7447D" w:rsidRDefault="009D37F5" w:rsidP="000B3CCC">
      <w:pPr>
        <w:spacing w:after="200" w:line="276" w:lineRule="auto"/>
        <w:jc w:val="both"/>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 xml:space="preserve">Programi “Shërbime të Kujdesit Shëndetësor Parësor” </w:t>
      </w:r>
    </w:p>
    <w:p w14:paraId="367DA210" w14:textId="77777777" w:rsidR="009D37F5" w:rsidRPr="00D7447D" w:rsidRDefault="009D37F5"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Mbulimi universal i popullsisë me shërbim shëndetësor duke parashikuar 6.4 milionë numër vizitash në periudhën 2023-2025, mbështetur në treguesit e sëmundshmërisë.</w:t>
      </w:r>
    </w:p>
    <w:p w14:paraId="0CBF05A6" w14:textId="77777777" w:rsidR="009D37F5" w:rsidRPr="00D7447D" w:rsidRDefault="009D37F5"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Ofrimi i shërbimit të kontrollit bazë (check-up) për mesatarisht 475 mijë pacientë në vit; </w:t>
      </w:r>
    </w:p>
    <w:p w14:paraId="17486FDF" w14:textId="77777777" w:rsidR="009D37F5" w:rsidRPr="00D7447D" w:rsidRDefault="009D37F5" w:rsidP="000B3CCC">
      <w:pPr>
        <w:numPr>
          <w:ilvl w:val="0"/>
          <w:numId w:val="4"/>
        </w:numPr>
        <w:spacing w:after="0" w:line="276" w:lineRule="auto"/>
        <w:contextualSpacing/>
        <w:jc w:val="both"/>
        <w:rPr>
          <w:rFonts w:ascii="Times New Roman" w:eastAsia="Calibri" w:hAnsi="Times New Roman" w:cs="Times New Roman"/>
          <w:b/>
          <w:sz w:val="24"/>
          <w:szCs w:val="24"/>
          <w:lang w:val="sq-AL"/>
        </w:rPr>
      </w:pPr>
      <w:r w:rsidRPr="00D7447D">
        <w:rPr>
          <w:rFonts w:ascii="Times New Roman" w:eastAsia="Calibri" w:hAnsi="Times New Roman" w:cs="Times New Roman"/>
          <w:sz w:val="24"/>
          <w:szCs w:val="24"/>
          <w:lang w:val="sq-AL"/>
        </w:rPr>
        <w:lastRenderedPageBreak/>
        <w:t>Trajtimi me recetë rimbursimi mesatarisht 400 mijë pacientëve në vit, bazuar në treguesit e sëmundshmërisë si dhe politikat e përfitimit nga lista e rimbursimit të barnave, përgjatë periudhës 2023-2025.</w:t>
      </w:r>
    </w:p>
    <w:p w14:paraId="50F88B30" w14:textId="77777777" w:rsidR="009D37F5" w:rsidRPr="00D7447D" w:rsidRDefault="009D37F5" w:rsidP="000B3CCC">
      <w:pPr>
        <w:spacing w:after="0" w:line="276" w:lineRule="auto"/>
        <w:ind w:left="774"/>
        <w:contextualSpacing/>
        <w:jc w:val="both"/>
        <w:rPr>
          <w:rFonts w:ascii="Times New Roman" w:eastAsia="Calibri" w:hAnsi="Times New Roman" w:cs="Times New Roman"/>
          <w:b/>
          <w:sz w:val="24"/>
          <w:szCs w:val="24"/>
          <w:lang w:val="sq-AL"/>
        </w:rPr>
      </w:pPr>
    </w:p>
    <w:p w14:paraId="6A008DB9" w14:textId="77777777" w:rsidR="009D37F5" w:rsidRPr="00D7447D" w:rsidRDefault="009D37F5" w:rsidP="000B3CCC">
      <w:pPr>
        <w:spacing w:after="0" w:line="276" w:lineRule="auto"/>
        <w:contextualSpacing/>
        <w:jc w:val="both"/>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Programi “Shërbime të Kujdesit Shëndetësor Dytësor”</w:t>
      </w:r>
    </w:p>
    <w:p w14:paraId="3249D184" w14:textId="77777777" w:rsidR="009D37F5" w:rsidRPr="00D7447D" w:rsidRDefault="009D37F5" w:rsidP="000B3CCC">
      <w:pPr>
        <w:spacing w:after="0" w:line="276" w:lineRule="auto"/>
        <w:contextualSpacing/>
        <w:jc w:val="both"/>
        <w:rPr>
          <w:rFonts w:ascii="Times New Roman" w:eastAsia="Calibri" w:hAnsi="Times New Roman" w:cs="Times New Roman"/>
          <w:b/>
          <w:sz w:val="24"/>
          <w:szCs w:val="24"/>
          <w:lang w:val="sq-AL"/>
        </w:rPr>
      </w:pPr>
    </w:p>
    <w:p w14:paraId="54F79097" w14:textId="77777777" w:rsidR="009D37F5" w:rsidRPr="00D7447D" w:rsidRDefault="009D37F5" w:rsidP="000B3CCC">
      <w:pPr>
        <w:numPr>
          <w:ilvl w:val="0"/>
          <w:numId w:val="5"/>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Numri i pacientëve të trajtuar mesatarisht 330 mijë pacientë në vit për periudhën 2023-2025;</w:t>
      </w:r>
    </w:p>
    <w:p w14:paraId="3872D051" w14:textId="77777777" w:rsidR="009D37F5" w:rsidRPr="00D7447D" w:rsidRDefault="009D37F5" w:rsidP="000B3CCC">
      <w:pPr>
        <w:numPr>
          <w:ilvl w:val="0"/>
          <w:numId w:val="5"/>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e numrit të pacientëve që përfitojnë nga paketat e kardiokirurgjisë dhe kardiologjisë mesatarisht 8 600 pacientë përgajtë periudhës 2023-2025;</w:t>
      </w:r>
    </w:p>
    <w:p w14:paraId="27AE76A3" w14:textId="77777777" w:rsidR="009D37F5" w:rsidRPr="00D7447D" w:rsidRDefault="009D37F5" w:rsidP="000B3CCC">
      <w:pPr>
        <w:numPr>
          <w:ilvl w:val="0"/>
          <w:numId w:val="5"/>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Numri i pacientëve përfitues nga shërbimi i dializës për vitin 2023 parashikohet rreth 1,570 pacientë, e çdo vit shtohen mesatarisht rreth 150 pacientë. Mesatarisht çdo pacient kryen 13 seanca në muaj. Për periudhën 2023-2025 parashikohet rritje e ndjeshme e numrit seancave për pacientët që përfitojnë nga trajtimi me dializë nga 245 mijë seanca në vitin 2023, në 270 mijë në vitin 2025; </w:t>
      </w:r>
    </w:p>
    <w:p w14:paraId="6B0A226E" w14:textId="77777777" w:rsidR="009D37F5" w:rsidRPr="00D7447D" w:rsidRDefault="009D37F5" w:rsidP="000B3CCC">
      <w:pPr>
        <w:numPr>
          <w:ilvl w:val="0"/>
          <w:numId w:val="2"/>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Trajtimi mesatarisht i 25 fëmijëve në vit më Sindromën Doën përgjatë periudhës 2023-2025.</w:t>
      </w:r>
    </w:p>
    <w:p w14:paraId="7ED7C048" w14:textId="77777777" w:rsidR="009D37F5" w:rsidRPr="00D7447D" w:rsidRDefault="009D37F5" w:rsidP="000B3CCC">
      <w:pPr>
        <w:numPr>
          <w:ilvl w:val="0"/>
          <w:numId w:val="2"/>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Reduktimit të kohës aktuale prej 13 ditësh të pritjes për ekzaminime të rëndësishme (rezonancë magnetike, skaner etj.);</w:t>
      </w:r>
    </w:p>
    <w:p w14:paraId="35F880C5" w14:textId="77777777" w:rsidR="009D37F5" w:rsidRPr="00D7447D" w:rsidRDefault="009D37F5" w:rsidP="000B3CCC">
      <w:pPr>
        <w:numPr>
          <w:ilvl w:val="0"/>
          <w:numId w:val="2"/>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Depistimi për kancerin e gjirit mesatarisht 5 mijë gra me anë të mamografisë së lëvishme, respektivisht për vitet 2023-2025;</w:t>
      </w:r>
    </w:p>
    <w:p w14:paraId="1970CDBA" w14:textId="77777777" w:rsidR="009D37F5" w:rsidRPr="00D7447D" w:rsidRDefault="009D37F5" w:rsidP="000B3CCC">
      <w:pPr>
        <w:numPr>
          <w:ilvl w:val="0"/>
          <w:numId w:val="2"/>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Depistimi për kancerin e qafës së mitrës mesatarisht 18 mijë gra përgjatë 2023-2025  me synim uljen e vdekshmërisë nga kanceri i qafës së mitrës nga 2.6/100 000 në vitin 2022 në 2.4/100 000 në vitin 2025.</w:t>
      </w:r>
    </w:p>
    <w:p w14:paraId="179108FA" w14:textId="77777777" w:rsidR="009D37F5" w:rsidRPr="00D7447D" w:rsidRDefault="009D37F5" w:rsidP="000B3CCC">
      <w:pPr>
        <w:numPr>
          <w:ilvl w:val="0"/>
          <w:numId w:val="2"/>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Rritja e numrit të thirrjeve të adresuara në njësitë e Urgjencës mjekësore nga 550 mijë thirrje në vitin 2022 në 650 mijë thirrje në vitin 2025, me një kohë reagimi mesatarisht prej 16 minutash. </w:t>
      </w:r>
    </w:p>
    <w:p w14:paraId="32121F56" w14:textId="77777777" w:rsidR="009D37F5" w:rsidRPr="00D7447D" w:rsidRDefault="009D37F5" w:rsidP="000B3CCC">
      <w:pPr>
        <w:spacing w:after="200" w:line="276" w:lineRule="auto"/>
        <w:contextualSpacing/>
        <w:jc w:val="both"/>
        <w:rPr>
          <w:rFonts w:ascii="Times New Roman" w:eastAsia="Calibri" w:hAnsi="Times New Roman" w:cs="Times New Roman"/>
          <w:sz w:val="24"/>
          <w:szCs w:val="24"/>
          <w:lang w:val="sq-AL"/>
        </w:rPr>
      </w:pPr>
    </w:p>
    <w:p w14:paraId="7C48E8C6" w14:textId="77777777" w:rsidR="009D37F5" w:rsidRPr="00D7447D" w:rsidRDefault="009D37F5" w:rsidP="000B3CCC">
      <w:p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Në fushën e mbrojtjes sociale, Ministria e Shëndetësisë dhe Mbrojtjes Sociale synon zbatimin me sukses të reformës së programit të përkujdesit social në tre shtyllat kryesore të tij: Ndihma Ekonomike, Aftësia e Kufizuar dhe Shërbimet Sociale. Më konkretisht synohet:</w:t>
      </w:r>
    </w:p>
    <w:p w14:paraId="1416FF86" w14:textId="77777777" w:rsidR="009D37F5" w:rsidRPr="00D7447D" w:rsidRDefault="009D37F5" w:rsidP="000B3CCC">
      <w:pPr>
        <w:numPr>
          <w:ilvl w:val="0"/>
          <w:numId w:val="6"/>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Numri i familjeve dhe individëve në nevojë që pritet të përfitojnë nga skema e ndihmës ekonomike parashikohet të jetë mesatarisht 63.5 mijë përfitues në vit përgjatë periudhën 2023-2025;</w:t>
      </w:r>
    </w:p>
    <w:p w14:paraId="51557A71" w14:textId="77777777" w:rsidR="009D37F5" w:rsidRPr="00D7447D" w:rsidRDefault="009D37F5" w:rsidP="000B3CCC">
      <w:pPr>
        <w:numPr>
          <w:ilvl w:val="0"/>
          <w:numId w:val="6"/>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Numri i përfituesve nga PAK dhe kujdestarëve të tyre parashikohet të shkojë në 158 mijë në vitin 2025, në kuadër të reformimit të sistemit të vlerësimit të aftësisë së kufizuar;</w:t>
      </w:r>
    </w:p>
    <w:p w14:paraId="574714D2" w14:textId="77777777" w:rsidR="009D37F5" w:rsidRPr="00D7447D" w:rsidRDefault="009D37F5" w:rsidP="000B3CCC">
      <w:pPr>
        <w:numPr>
          <w:ilvl w:val="0"/>
          <w:numId w:val="27"/>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Mbështetja e personave nga grupet e pafavorizuara përmes punësimit në ndërmarrjet sociale synohet të punësohen mesatarisht 70 persona çdo vit, me qëllim integrimin në tregun e punës.</w:t>
      </w:r>
    </w:p>
    <w:p w14:paraId="5CF698F9" w14:textId="77777777" w:rsidR="009D37F5" w:rsidRPr="00D7447D" w:rsidRDefault="009D37F5" w:rsidP="000B3CCC">
      <w:pPr>
        <w:numPr>
          <w:ilvl w:val="0"/>
          <w:numId w:val="27"/>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Mbështetjen e fondit social për njësitë e vetqeverisjes vendore për ofrimin e shërbimeve të reja sociale territoriale për grupet në nevojë dhe mbështetjen e familjeve të NE me paketa </w:t>
      </w:r>
      <w:r w:rsidRPr="00D7447D">
        <w:rPr>
          <w:rFonts w:ascii="Times New Roman" w:eastAsia="Calibri" w:hAnsi="Times New Roman" w:cs="Times New Roman"/>
          <w:sz w:val="24"/>
          <w:szCs w:val="24"/>
          <w:lang w:val="sq-AL"/>
        </w:rPr>
        <w:lastRenderedPageBreak/>
        <w:t xml:space="preserve">sociale shëndetësore, me një fond nga 200 milion lekë në 300 milion lekë për vitet 2023-2025. </w:t>
      </w:r>
    </w:p>
    <w:p w14:paraId="7B577CBE" w14:textId="77777777" w:rsidR="009D37F5" w:rsidRPr="00D7447D" w:rsidRDefault="009D37F5" w:rsidP="000B3CCC">
      <w:pPr>
        <w:numPr>
          <w:ilvl w:val="0"/>
          <w:numId w:val="27"/>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Për vitet 2023-2025, vijon të financohet politika e rishikimit të masës së përfitimit të ndihmës ekonomike, në të cilën parashikohet një rritje  me 10 % (dhjetë për qind) të masës së pagesës ekzistuese, sipas strukturës së familjes. </w:t>
      </w:r>
    </w:p>
    <w:p w14:paraId="665981A1" w14:textId="77777777" w:rsidR="009D37F5" w:rsidRPr="00D7447D" w:rsidRDefault="009D37F5" w:rsidP="000B3CCC">
      <w:pPr>
        <w:numPr>
          <w:ilvl w:val="0"/>
          <w:numId w:val="27"/>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Përgjatë viteve 2023-2025, si pjesë e grupeve në nevojë do të trajtohen me ndihmë ekonomike dhe kategoritë si më poshtë:</w:t>
      </w:r>
    </w:p>
    <w:p w14:paraId="12CEDA07" w14:textId="77777777" w:rsidR="009D37F5" w:rsidRPr="00D7447D" w:rsidRDefault="009D37F5"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Gratë kryefamiljare përfitues në programin e ndihmës ekonomike, që kanë në përbërje të familjes deri në dy fëmijë të moshës 0-18 vjeç, përfitojnë dyfishin e masës së pagesës ekzistuese të ndihmës ekonomike, sipas strukturës së familjes.</w:t>
      </w:r>
    </w:p>
    <w:p w14:paraId="248EFE89" w14:textId="77777777" w:rsidR="009D37F5" w:rsidRPr="00D7447D" w:rsidRDefault="009D37F5"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Përfituesit e programit të ndihmës ekonomike, që kanë mbushur moshën 65 vjeç, të vetmuar dhe nuk trajtohen me pension pleqërie apo pension social, përfitojnë dyfishin e masës së pagesës ekzistuese të ndihmës ekonomike.</w:t>
      </w:r>
    </w:p>
    <w:p w14:paraId="1CC785E5" w14:textId="77777777" w:rsidR="009D37F5" w:rsidRPr="00D7447D" w:rsidRDefault="009D37F5"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Anëtarët e familjeve përfituese të programit të ndihmës ekonomike që kanë mbushur 65 vjeç dhe nuk trajtohen me pension pleqërie apo pension social, përfitojnë dyfishin e masës së pagesës ekzistuese të ndihmës ekonomike, sipas strukturës së familjes.</w:t>
      </w:r>
    </w:p>
    <w:p w14:paraId="2D68578B" w14:textId="77777777" w:rsidR="009D37F5" w:rsidRPr="00D7447D" w:rsidRDefault="009D37F5" w:rsidP="000B3CCC">
      <w:pPr>
        <w:pStyle w:val="ListParagraph"/>
        <w:numPr>
          <w:ilvl w:val="0"/>
          <w:numId w:val="44"/>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Masa e ndihmës ekonomike parashikohet të rritet me 10% më shumë krahasur me masën ekzistuese për famijet që trajtohen me ndihmë ekonomike, dhe nuk janë pjesë e ndonjë kategorie tjetër përfituese.</w:t>
      </w:r>
    </w:p>
    <w:p w14:paraId="16F32F90" w14:textId="77777777" w:rsidR="009D37F5" w:rsidRPr="00D7447D" w:rsidRDefault="009D37F5" w:rsidP="000B3CCC">
      <w:pPr>
        <w:spacing w:after="200" w:line="276" w:lineRule="auto"/>
        <w:ind w:left="360"/>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Implementimi i reformës do të sjellë:</w:t>
      </w:r>
    </w:p>
    <w:p w14:paraId="0A746668" w14:textId="77777777" w:rsidR="009D37F5" w:rsidRPr="00D7447D" w:rsidRDefault="009D37F5" w:rsidP="000B3CCC">
      <w:pPr>
        <w:numPr>
          <w:ilvl w:val="0"/>
          <w:numId w:val="3"/>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Rritjen mbi 94% të numrit të përfituesve të varfër që marrin NE mbi totalin e aplikuesve.</w:t>
      </w:r>
    </w:p>
    <w:p w14:paraId="2E895503" w14:textId="77777777" w:rsidR="009D37F5" w:rsidRPr="00D7447D" w:rsidRDefault="009D37F5" w:rsidP="000B3CCC">
      <w:pPr>
        <w:numPr>
          <w:ilvl w:val="0"/>
          <w:numId w:val="3"/>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Rritjen mbi 70% të numrit të personave me aftësi të kufizuar që janë komisjonuar përmes sistemit te menaxhimit të informacionit;</w:t>
      </w:r>
    </w:p>
    <w:p w14:paraId="658F1487" w14:textId="77777777" w:rsidR="009D37F5" w:rsidRPr="00D7447D" w:rsidRDefault="009D37F5" w:rsidP="000B3CCC">
      <w:pPr>
        <w:numPr>
          <w:ilvl w:val="0"/>
          <w:numId w:val="3"/>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Rritjen mbi 90% të numrit të përfituese të grave kryefamiljare që marrin Ndihmë Ekonomike mbi totalin e aplikuesve gra kryefamiljare;</w:t>
      </w:r>
    </w:p>
    <w:p w14:paraId="3D1360FA" w14:textId="77777777" w:rsidR="009D37F5" w:rsidRPr="00D7447D" w:rsidRDefault="009D37F5" w:rsidP="000B3CCC">
      <w:pPr>
        <w:numPr>
          <w:ilvl w:val="0"/>
          <w:numId w:val="3"/>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me më shumë se 60 e numrit të grave dhe vajzave në nevojë të riintegruara pas trajtimit në institucionet e përkujdesit social.</w:t>
      </w:r>
    </w:p>
    <w:p w14:paraId="2B7C19CF" w14:textId="77777777" w:rsidR="009D37F5" w:rsidRPr="00D7447D" w:rsidRDefault="009D37F5" w:rsidP="000B3CCC">
      <w:pPr>
        <w:spacing w:after="200" w:line="276" w:lineRule="auto"/>
        <w:ind w:left="720"/>
        <w:contextualSpacing/>
        <w:jc w:val="both"/>
        <w:rPr>
          <w:rFonts w:ascii="Times New Roman" w:eastAsia="Calibri" w:hAnsi="Times New Roman" w:cs="Times New Roman"/>
          <w:sz w:val="24"/>
          <w:szCs w:val="24"/>
          <w:lang w:val="sq-AL"/>
        </w:rPr>
      </w:pPr>
    </w:p>
    <w:p w14:paraId="52F6DC83" w14:textId="77777777" w:rsidR="009D37F5" w:rsidRPr="00D7447D" w:rsidRDefault="009D37F5" w:rsidP="000B3CCC">
      <w:p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Investimet Publike</w:t>
      </w:r>
      <w:r w:rsidRPr="00D7447D">
        <w:rPr>
          <w:rFonts w:ascii="Times New Roman" w:eastAsia="Calibri" w:hAnsi="Times New Roman" w:cs="Times New Roman"/>
          <w:sz w:val="24"/>
          <w:szCs w:val="24"/>
          <w:lang w:val="sq-AL"/>
        </w:rPr>
        <w:t xml:space="preserve"> në sektorin e shëndetësisë dhe mbrojtjes sociale për vitet 2023-2025:</w:t>
      </w:r>
    </w:p>
    <w:p w14:paraId="63765DE9" w14:textId="77777777" w:rsidR="009D37F5" w:rsidRPr="00D7447D" w:rsidRDefault="009D37F5" w:rsidP="000B3CCC">
      <w:pPr>
        <w:spacing w:after="200" w:line="276" w:lineRule="auto"/>
        <w:contextualSpacing/>
        <w:jc w:val="both"/>
        <w:rPr>
          <w:rFonts w:ascii="Times New Roman" w:eastAsia="Calibri" w:hAnsi="Times New Roman" w:cs="Times New Roman"/>
          <w:sz w:val="24"/>
          <w:szCs w:val="24"/>
          <w:lang w:val="sq-AL"/>
        </w:rPr>
      </w:pPr>
    </w:p>
    <w:p w14:paraId="4EFDA90E" w14:textId="77777777" w:rsidR="009D37F5" w:rsidRPr="00D7447D" w:rsidRDefault="009D37F5" w:rsidP="000B3CCC">
      <w:pPr>
        <w:pStyle w:val="ListParagraph"/>
        <w:numPr>
          <w:ilvl w:val="0"/>
          <w:numId w:val="3"/>
        </w:num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Do të vijojë rikonstruksioni i godinës së Pediatrisë së Përgjithshme në QSUT me një financim të Bankës Botërore dhe Qeverisë Shqiptare me një vlerë prej 5.795 milion EUR. </w:t>
      </w:r>
    </w:p>
    <w:p w14:paraId="744B7020" w14:textId="77777777" w:rsidR="009D37F5" w:rsidRPr="00D7447D" w:rsidRDefault="009D37F5" w:rsidP="000B3CCC">
      <w:pPr>
        <w:numPr>
          <w:ilvl w:val="0"/>
          <w:numId w:val="3"/>
        </w:numPr>
        <w:spacing w:line="276" w:lineRule="auto"/>
        <w:jc w:val="both"/>
        <w:rPr>
          <w:rFonts w:ascii="Times New Roman" w:eastAsia="Calibri" w:hAnsi="Times New Roman" w:cs="Times New Roman"/>
          <w:sz w:val="24"/>
          <w:szCs w:val="24"/>
          <w:lang w:val="sq-AL"/>
        </w:rPr>
      </w:pPr>
      <w:r w:rsidRPr="00D7447D">
        <w:rPr>
          <w:rFonts w:ascii="Times New Roman" w:hAnsi="Times New Roman" w:cs="Times New Roman"/>
          <w:sz w:val="24"/>
          <w:szCs w:val="24"/>
        </w:rPr>
        <w:t>Gjatë vitit 2022 do të fillojë ndërtimi i godinës së re për akomodimin e Qendrës Shëndetësore Nr.1, NJVKSH Durrës me një vlerë prej 87 milion lekë. Financimi për vitin 2022 është 79,069 mijë lekë, ndërkohë që për vitin 2023 është parashikuar diferenca prej 7,927 mijë lekë;</w:t>
      </w:r>
    </w:p>
    <w:p w14:paraId="0D196700" w14:textId="77777777" w:rsidR="009D37F5" w:rsidRPr="00D7447D" w:rsidRDefault="009D37F5" w:rsidP="000B3CCC">
      <w:pPr>
        <w:numPr>
          <w:ilvl w:val="0"/>
          <w:numId w:val="3"/>
        </w:num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Rikonstruksion i Godinës se vjetër të Neonatologjisë dhe Obstetrikës dhe Ndërtimit të dy godinave të reja në SUOGJ “Mbretëresha Geraldinë” me një vlerë rreth 559,674 mijë lekë </w:t>
      </w:r>
      <w:r w:rsidRPr="00D7447D">
        <w:rPr>
          <w:rFonts w:ascii="Times New Roman" w:eastAsia="Calibri" w:hAnsi="Times New Roman" w:cs="Times New Roman"/>
          <w:sz w:val="24"/>
          <w:szCs w:val="24"/>
          <w:lang w:val="sq-AL"/>
        </w:rPr>
        <w:lastRenderedPageBreak/>
        <w:t>(me TVSH). Investimi parashikohet të mbyllet brenda vitit 2024. Janë parashikuar pajisje për këtë objekt ne vlerën 130 milion lekë për vitet 2023-2024;</w:t>
      </w:r>
    </w:p>
    <w:p w14:paraId="229129B8" w14:textId="77777777" w:rsidR="009D37F5" w:rsidRPr="00D7447D" w:rsidRDefault="009D37F5" w:rsidP="000B3CCC">
      <w:pPr>
        <w:numPr>
          <w:ilvl w:val="0"/>
          <w:numId w:val="3"/>
        </w:num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Rikonstruksioni i QKTGJ me një vlerë prej 137 milion lekë, nga të cilat 38 milion gjatë vitit 2022 dhe 99 milion lekë gjatë vitit 2023. Gjithashtu rikonstruksioni do të shoqërohet edhe me blerje pajisjesh prej 40 milion lekë në vitin 2023.</w:t>
      </w:r>
    </w:p>
    <w:p w14:paraId="35FA2C98" w14:textId="77777777" w:rsidR="009D37F5" w:rsidRPr="00D7447D" w:rsidRDefault="009D37F5" w:rsidP="000B3CCC">
      <w:pPr>
        <w:numPr>
          <w:ilvl w:val="0"/>
          <w:numId w:val="3"/>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Pavarësisht Finalizimi me sukeses të rehabilitimit të 300 qendrave shëndetësore dhe ambulancave deri në vitin 2021, synohet që edhe për vitin 2022, të vijojë puna për rehabilitimin e të tjera QSH dhe ambulanave, ku parashikohet ndërhyrja në 40 QSH me një vlerë rreth 42 milion lekë për vitin 2022 dhe për vitin 2023 parashikohen 82,703 mijë lekë;</w:t>
      </w:r>
    </w:p>
    <w:p w14:paraId="598D9843" w14:textId="77777777" w:rsidR="009D37F5" w:rsidRPr="00D7447D" w:rsidRDefault="009D37F5" w:rsidP="000B3CCC">
      <w:pPr>
        <w:numPr>
          <w:ilvl w:val="0"/>
          <w:numId w:val="3"/>
        </w:numPr>
        <w:autoSpaceDE w:val="0"/>
        <w:autoSpaceDN w:val="0"/>
        <w:adjustRightInd w:val="0"/>
        <w:spacing w:after="0" w:line="276" w:lineRule="auto"/>
        <w:contextualSpacing/>
        <w:jc w:val="both"/>
        <w:rPr>
          <w:rFonts w:ascii="Times New Roman" w:hAnsi="Times New Roman" w:cs="Times New Roman"/>
          <w:color w:val="000000"/>
          <w:sz w:val="24"/>
          <w:szCs w:val="24"/>
        </w:rPr>
      </w:pPr>
      <w:r w:rsidRPr="00D7447D">
        <w:rPr>
          <w:rFonts w:ascii="Times New Roman" w:hAnsi="Times New Roman" w:cs="Times New Roman"/>
          <w:color w:val="000000"/>
          <w:sz w:val="24"/>
          <w:szCs w:val="24"/>
        </w:rPr>
        <w:t>Për Shërbimin Kombëtar të Urgjencave për vitet 2023-2024 do të vijojë Blerja e Autoambulancave me një financim prej 159.3 milion lekë për blerjen e 41 autoambulanca, duke synuar forcimin e shërbimit të urgjencës.</w:t>
      </w:r>
    </w:p>
    <w:p w14:paraId="28172266" w14:textId="77777777" w:rsidR="009D37F5" w:rsidRPr="00D7447D" w:rsidRDefault="009D37F5" w:rsidP="000B3CCC">
      <w:pPr>
        <w:spacing w:after="0" w:line="276" w:lineRule="auto"/>
        <w:ind w:firstLine="360"/>
        <w:contextualSpacing/>
        <w:rPr>
          <w:rFonts w:ascii="Times New Roman" w:eastAsia="Calibri" w:hAnsi="Times New Roman" w:cs="Times New Roman"/>
          <w:b/>
          <w:color w:val="000000"/>
          <w:sz w:val="24"/>
          <w:szCs w:val="24"/>
          <w:lang w:val="sq-AL" w:eastAsia="x-none"/>
        </w:rPr>
      </w:pPr>
    </w:p>
    <w:p w14:paraId="1A8F77A7" w14:textId="77777777" w:rsidR="009D37F5" w:rsidRPr="00D7447D" w:rsidRDefault="009D37F5" w:rsidP="000B3CCC">
      <w:pPr>
        <w:spacing w:after="0" w:line="276" w:lineRule="auto"/>
        <w:contextualSpacing/>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 xml:space="preserve">Objekte të reja </w:t>
      </w:r>
      <w:r w:rsidRPr="00D7447D">
        <w:rPr>
          <w:rFonts w:ascii="Times New Roman" w:eastAsia="Calibri" w:hAnsi="Times New Roman" w:cs="Times New Roman"/>
          <w:sz w:val="24"/>
          <w:szCs w:val="24"/>
          <w:lang w:val="sq-AL"/>
        </w:rPr>
        <w:t>që parashikohen të fillojnë përgjatë periudhës 2023-2025:</w:t>
      </w:r>
    </w:p>
    <w:p w14:paraId="0CEDF7EB" w14:textId="77777777" w:rsidR="009D37F5" w:rsidRPr="00D7447D" w:rsidRDefault="009D37F5" w:rsidP="000B3CCC">
      <w:pPr>
        <w:spacing w:after="0" w:line="276" w:lineRule="auto"/>
        <w:ind w:left="720"/>
        <w:contextualSpacing/>
        <w:rPr>
          <w:rFonts w:ascii="Times New Roman" w:eastAsia="Calibri" w:hAnsi="Times New Roman" w:cs="Times New Roman"/>
          <w:color w:val="000000"/>
          <w:sz w:val="24"/>
          <w:szCs w:val="24"/>
          <w:lang w:val="sq-AL" w:eastAsia="x-none"/>
        </w:rPr>
      </w:pPr>
    </w:p>
    <w:p w14:paraId="204CB955"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Në vitin 2023 parashikohet të nis rikonstruksioni i qendrës së gruas, ambienteve pritese dhe urgjencës se Maternitetit nr.2;</w:t>
      </w:r>
    </w:p>
    <w:p w14:paraId="3A6EA5E1"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Rikonstruksion i poliklinikes se spitalit Shkoder me një vlerë 120,000 miijë lekë, ndarë në dy vite 2023 dhe 2024;</w:t>
      </w:r>
    </w:p>
    <w:p w14:paraId="41DE84D3"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Rikonstruksion i poliklinikës së spitalit Elbasan me një vlerë 160,000 miijë lekë, ndarë në dy vite 2023 dhe 2024;</w:t>
      </w:r>
    </w:p>
    <w:p w14:paraId="109A7590"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Në vitin 2024 parashikoeht të nis rikonstruksioni në Spitalin Psikiatrik Elbasan me rreth 240 milion lekë, nga të cilat 48 milion lekë në vitin 2024 dhe 192 milion lekë në vitin 2025;</w:t>
      </w:r>
    </w:p>
    <w:p w14:paraId="109CBFCD"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Rikonstruksioni i godinës Qendrore të Spitalit Lushnje vlera e plotë është prashikuar rreth 260 milion lekë. Për vitet 2024 dhe 2025 do të financohen respektivisht 52 milion lekë dhe 208 milion lekë;</w:t>
      </w:r>
    </w:p>
    <w:p w14:paraId="6876CE92"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Rikonstruksioni i godinës qendrore të Spitalit Rajonal Gjirokastër vlera e plotë është parashikuar 473 milion lekë. Në vitet 2024-2025 do të financohen respektivisht 149 milion lekë dhe 273 milion lekë;</w:t>
      </w:r>
    </w:p>
    <w:p w14:paraId="30DFB299"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Rikonstruksion i pavionit të kirurgjisë, patologjise dhe reanimacionit spitalit Berat me vlerë të parashikuar rreth 80,000 mijë lekë për vitin 2024.</w:t>
      </w:r>
    </w:p>
    <w:p w14:paraId="10D35F37" w14:textId="77777777" w:rsidR="009D37F5" w:rsidRPr="00D7447D"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Rikonstruksion i godinës qendrore spitali Pogradec me vlerë të plotë 260 mln lekë. Për vitet 2024 dhe 2025 do të financohen respektivisht 49.6 milion lekë dhe 208 milion lekë;</w:t>
      </w:r>
    </w:p>
    <w:p w14:paraId="17F88D56" w14:textId="36DD3F70" w:rsidR="009D37F5" w:rsidRDefault="009D37F5" w:rsidP="000B3CCC">
      <w:pPr>
        <w:numPr>
          <w:ilvl w:val="0"/>
          <w:numId w:val="28"/>
        </w:num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r w:rsidRPr="00D7447D">
        <w:rPr>
          <w:rFonts w:ascii="Times New Roman" w:eastAsia="Calibri" w:hAnsi="Times New Roman" w:cs="Times New Roman"/>
          <w:color w:val="000000"/>
          <w:sz w:val="24"/>
          <w:szCs w:val="24"/>
          <w:lang w:val="sq-AL" w:eastAsia="x-none"/>
        </w:rPr>
        <w:t>Në vitin 2024 parashikohet të nis rikonstruksioni i godinës qendrore spitali Korçë me vlerë të plotë 350 mln lekë.</w:t>
      </w:r>
    </w:p>
    <w:p w14:paraId="60D76A53" w14:textId="77777777" w:rsidR="00750902" w:rsidRPr="00D7447D" w:rsidRDefault="00750902" w:rsidP="00750902">
      <w:pPr>
        <w:autoSpaceDE w:val="0"/>
        <w:autoSpaceDN w:val="0"/>
        <w:adjustRightInd w:val="0"/>
        <w:spacing w:after="0" w:line="276" w:lineRule="auto"/>
        <w:ind w:left="360"/>
        <w:contextualSpacing/>
        <w:jc w:val="both"/>
        <w:rPr>
          <w:rFonts w:ascii="Times New Roman" w:eastAsia="Calibri" w:hAnsi="Times New Roman" w:cs="Times New Roman"/>
          <w:color w:val="000000"/>
          <w:sz w:val="24"/>
          <w:szCs w:val="24"/>
          <w:lang w:val="sq-AL" w:eastAsia="x-none"/>
        </w:rPr>
      </w:pPr>
    </w:p>
    <w:p w14:paraId="34359696" w14:textId="77777777" w:rsidR="00245BFE" w:rsidRPr="00D7447D" w:rsidRDefault="00245BFE" w:rsidP="000B3CCC">
      <w:pPr>
        <w:pStyle w:val="Heading2"/>
        <w:spacing w:line="276" w:lineRule="auto"/>
        <w:rPr>
          <w:rFonts w:ascii="Times New Roman" w:eastAsia="Calibri" w:hAnsi="Times New Roman" w:cs="Times New Roman"/>
          <w:i w:val="0"/>
          <w:sz w:val="24"/>
          <w:szCs w:val="24"/>
        </w:rPr>
      </w:pPr>
      <w:bookmarkStart w:id="20" w:name="_Toc115701043"/>
      <w:r w:rsidRPr="00D7447D">
        <w:rPr>
          <w:rFonts w:ascii="Times New Roman" w:eastAsia="Calibri" w:hAnsi="Times New Roman" w:cs="Times New Roman"/>
          <w:i w:val="0"/>
          <w:sz w:val="24"/>
          <w:szCs w:val="24"/>
        </w:rPr>
        <w:lastRenderedPageBreak/>
        <w:t>MINISTRIA E ARSIMIT, SPORTIT DHE RINISË</w:t>
      </w:r>
      <w:bookmarkEnd w:id="19"/>
      <w:bookmarkEnd w:id="20"/>
    </w:p>
    <w:p w14:paraId="06A26082" w14:textId="77777777" w:rsidR="00C234C9" w:rsidRPr="00D7447D" w:rsidRDefault="00C234C9" w:rsidP="000B3CCC">
      <w:pPr>
        <w:spacing w:after="0" w:line="276" w:lineRule="auto"/>
        <w:jc w:val="both"/>
        <w:rPr>
          <w:rFonts w:ascii="Times New Roman" w:eastAsia="Times New Roman" w:hAnsi="Times New Roman" w:cs="Times New Roman"/>
          <w:sz w:val="24"/>
          <w:szCs w:val="24"/>
          <w:lang w:val="sq-AL" w:eastAsia="sq-AL"/>
        </w:rPr>
      </w:pPr>
      <w:r w:rsidRPr="00D7447D">
        <w:rPr>
          <w:rFonts w:ascii="Times New Roman" w:eastAsia="Times New Roman" w:hAnsi="Times New Roman" w:cs="Times New Roman"/>
          <w:sz w:val="24"/>
          <w:szCs w:val="24"/>
          <w:lang w:val="sq-AL" w:eastAsia="sq-AL"/>
        </w:rPr>
        <w:t>Misioni i Ministrisë së Arsimit dhe Sportit është krijimi i një sistemi arsimor që ka në qendër nxënësit me nevojat dhe interesat e tyre,  duke u mundësuar arsimim bazë për të gjithë dhe barazi të shanseve për arsimim me qëllim ndërtimin dhe zhvillimin e njohurive, shkathtësive, qëndrimeve dhe vlerave që kërkon shoqëria; ridimensionimi i edukimit fizik dhe sportiv si pjesë përbërëse e programit të edukimit të nxënësve dhe studentëve në institucionet arsimore; Përmirësimi i cilësisë së jetës së të rinjve, përmes rritjes së pjesëmarrjes së tyre në aktivitete rinore, në punësim, në informim, në edukim dhe në vendimarrje.</w:t>
      </w:r>
    </w:p>
    <w:p w14:paraId="1E5D0F9B" w14:textId="77777777" w:rsidR="00C234C9" w:rsidRPr="00D7447D" w:rsidRDefault="00C234C9" w:rsidP="000B3CCC">
      <w:pPr>
        <w:spacing w:after="0" w:line="276" w:lineRule="auto"/>
        <w:jc w:val="both"/>
        <w:rPr>
          <w:rFonts w:ascii="Times New Roman" w:eastAsia="Times New Roman" w:hAnsi="Times New Roman" w:cs="Times New Roman"/>
          <w:sz w:val="24"/>
          <w:szCs w:val="24"/>
          <w:lang w:val="sq-AL" w:eastAsia="sq-AL"/>
        </w:rPr>
      </w:pPr>
    </w:p>
    <w:p w14:paraId="732C5F82" w14:textId="77777777" w:rsidR="00C234C9" w:rsidRPr="00D7447D" w:rsidRDefault="00C234C9" w:rsidP="000B3CCC">
      <w:pPr>
        <w:pStyle w:val="Caption"/>
        <w:keepNext/>
        <w:spacing w:after="0" w:line="276" w:lineRule="auto"/>
        <w:rPr>
          <w:rFonts w:ascii="Times New Roman" w:eastAsia="Times New Roman" w:hAnsi="Times New Roman" w:cs="Times New Roman"/>
          <w:b w:val="0"/>
          <w:color w:val="auto"/>
          <w:sz w:val="24"/>
          <w:szCs w:val="24"/>
          <w:lang w:val="sq-AL"/>
        </w:rPr>
      </w:pPr>
      <w:r w:rsidRPr="00D7447D">
        <w:rPr>
          <w:rFonts w:ascii="Times New Roman" w:eastAsia="Times New Roman" w:hAnsi="Times New Roman" w:cs="Times New Roman"/>
          <w:color w:val="auto"/>
          <w:sz w:val="24"/>
          <w:szCs w:val="24"/>
          <w:lang w:val="sq-AL"/>
        </w:rPr>
        <w:t>Tabela 9 :</w:t>
      </w:r>
      <w:r w:rsidRPr="00D7447D">
        <w:rPr>
          <w:rFonts w:ascii="Times New Roman" w:hAnsi="Times New Roman" w:cs="Times New Roman"/>
          <w:color w:val="auto"/>
          <w:sz w:val="24"/>
          <w:szCs w:val="24"/>
        </w:rPr>
        <w:t xml:space="preserve"> </w:t>
      </w:r>
      <w:r w:rsidRPr="00D7447D">
        <w:rPr>
          <w:rFonts w:ascii="Times New Roman" w:eastAsia="Times New Roman" w:hAnsi="Times New Roman" w:cs="Times New Roman"/>
          <w:b w:val="0"/>
          <w:color w:val="auto"/>
          <w:sz w:val="24"/>
          <w:szCs w:val="24"/>
          <w:lang w:val="sq-AL"/>
        </w:rPr>
        <w:t>Shpenzimet për Ministrinë e Arsimit dhe Sporteve në vitet 2023-2025</w:t>
      </w:r>
    </w:p>
    <w:p w14:paraId="0858F2E5" w14:textId="77777777" w:rsidR="00C234C9" w:rsidRPr="00D7447D" w:rsidRDefault="00C234C9" w:rsidP="000B3CCC">
      <w:pPr>
        <w:spacing w:line="276" w:lineRule="auto"/>
        <w:rPr>
          <w:rFonts w:ascii="Times New Roman"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491BC286" wp14:editId="4902594F">
            <wp:extent cx="5943600" cy="136794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8384" cy="1369043"/>
                    </a:xfrm>
                    <a:prstGeom prst="rect">
                      <a:avLst/>
                    </a:prstGeom>
                    <a:noFill/>
                    <a:ln>
                      <a:noFill/>
                    </a:ln>
                  </pic:spPr>
                </pic:pic>
              </a:graphicData>
            </a:graphic>
          </wp:inline>
        </w:drawing>
      </w:r>
    </w:p>
    <w:p w14:paraId="576AE79F" w14:textId="77777777" w:rsidR="00C234C9" w:rsidRPr="00D7447D" w:rsidRDefault="00C234C9" w:rsidP="000B3CCC">
      <w:pPr>
        <w:spacing w:after="0" w:line="276" w:lineRule="auto"/>
        <w:jc w:val="both"/>
        <w:rPr>
          <w:rFonts w:ascii="Times New Roman" w:eastAsia="Times New Roman" w:hAnsi="Times New Roman" w:cs="Times New Roman"/>
          <w:sz w:val="24"/>
          <w:szCs w:val="24"/>
          <w:lang w:val="sq-AL" w:eastAsia="sq-AL"/>
        </w:rPr>
      </w:pPr>
    </w:p>
    <w:p w14:paraId="3B44B3F3" w14:textId="77777777" w:rsidR="00C234C9" w:rsidRPr="00D7447D" w:rsidRDefault="00C234C9" w:rsidP="000B3CCC">
      <w:pPr>
        <w:pStyle w:val="Heading3"/>
        <w:spacing w:line="276" w:lineRule="auto"/>
        <w:rPr>
          <w:rFonts w:ascii="Times New Roman" w:hAnsi="Times New Roman" w:cs="Times New Roman"/>
          <w:b/>
          <w:noProof/>
          <w:color w:val="auto"/>
          <w:lang w:eastAsia="sq-AL"/>
        </w:rPr>
      </w:pPr>
      <w:r w:rsidRPr="00D7447D">
        <w:rPr>
          <w:rFonts w:ascii="Times New Roman" w:hAnsi="Times New Roman" w:cs="Times New Roman"/>
          <w:b/>
          <w:noProof/>
          <w:color w:val="auto"/>
          <w:lang w:eastAsia="sq-AL"/>
        </w:rPr>
        <w:t>Prioritetet për periudhën 2023-2025</w:t>
      </w:r>
    </w:p>
    <w:p w14:paraId="55B84E6A" w14:textId="77777777" w:rsidR="00C234C9" w:rsidRPr="00D7447D" w:rsidRDefault="00C234C9" w:rsidP="000B3CCC">
      <w:pPr>
        <w:spacing w:after="0" w:line="276" w:lineRule="auto"/>
        <w:jc w:val="both"/>
        <w:rPr>
          <w:rFonts w:ascii="Times New Roman" w:eastAsia="Times New Roman" w:hAnsi="Times New Roman" w:cs="Times New Roman"/>
          <w:color w:val="000000"/>
          <w:sz w:val="24"/>
          <w:szCs w:val="24"/>
          <w:lang w:val="sq-AL" w:eastAsia="sq-AL"/>
        </w:rPr>
      </w:pPr>
    </w:p>
    <w:p w14:paraId="1AA509E2" w14:textId="77777777" w:rsidR="00C234C9" w:rsidRPr="00D7447D" w:rsidRDefault="00C234C9" w:rsidP="000B3CCC">
      <w:p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color w:val="000000"/>
          <w:sz w:val="24"/>
          <w:szCs w:val="24"/>
          <w:lang w:val="sq-AL" w:eastAsia="sq-AL"/>
        </w:rPr>
        <w:t>Ministria e Arsimit dhe Sporteve do të vijojë zhvillimin e reformave në arsim, mbështetjen e arsimit bazë, të mesëm të lartë, orientimin e kurikulave ndaj nevojave të tregut të punës dhe modernizimin e tyre, zhvillimin profesional të mësuesve nëpërmjet trajnimit, promovimi dhe zgjerimi i teknologjisë së informacionit dhe komunikimit në edukim.</w:t>
      </w:r>
    </w:p>
    <w:p w14:paraId="4878E09E" w14:textId="77777777" w:rsidR="00C234C9" w:rsidRPr="00D7447D" w:rsidRDefault="00C234C9" w:rsidP="000B3CCC">
      <w:pPr>
        <w:spacing w:after="12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color w:val="000000"/>
          <w:sz w:val="24"/>
          <w:szCs w:val="24"/>
          <w:lang w:val="sq-AL" w:eastAsia="sq-AL"/>
        </w:rPr>
        <w:t>Për periudhën 2023-2025, Ministria e Arsimit dhe Sportit do të financojë me prioritet:</w:t>
      </w:r>
    </w:p>
    <w:p w14:paraId="604DEC1B"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Rritjen e numrit të fëmijëve që ndjekin arsimin parashkollor, si dhe përfshirjes së klasës përgatitore në arsimin e detyrueshëm; </w:t>
      </w:r>
    </w:p>
    <w:p w14:paraId="2867B86D"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Reduktimin e numrit të klasave kolektive; </w:t>
      </w:r>
    </w:p>
    <w:p w14:paraId="2E1B07AA"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Sigurimin e shërbimit të transportit, si dhe mbulimin e shpenzimeve të transportit të 35 mijë fëmijëve dhe nxënësve që kanë vendbanimin e tyre mbi 2 km nga shkolla, si dhe transportin për rreth se 12 mijë mësuesve që punojnë mbi 5 Km nga vendbanimi/qendra e përhershme e punës në shkollë, </w:t>
      </w:r>
    </w:p>
    <w:p w14:paraId="5E01C4F8"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Ofrimi i teksteve shkollore falas për 280 mijë nxënësi që ndjekin arsimin bazë nga klasa e parë në klasën e nëntë, si dhe tekste shkollore falas nxënës nga shtresa sociale në nevojë në arsimin e mesëm të lartë;</w:t>
      </w:r>
    </w:p>
    <w:p w14:paraId="04EE517D"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Ofrimin e bursave financiare apo kuotë ushqimore/financiare për 2800-3000 nxënës me nevoja të veçanta si dhe fëmijëve më me ndikim në uljen e braktisjes shkollore, të nxënësve të arsimit para-universitar nga shtresat sociale në nevojë; </w:t>
      </w:r>
    </w:p>
    <w:p w14:paraId="45B8D165"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Hartimin e programeve specifike për arsimimin e grupeve të pa favorizuara. Deri në vitin 2023, çdo fëmijë rom dhe egjiptian, do të regjistrohet në shkollë, 100% e tyre do të </w:t>
      </w:r>
      <w:r w:rsidRPr="00D7447D">
        <w:rPr>
          <w:color w:val="000000"/>
          <w:sz w:val="24"/>
          <w:szCs w:val="24"/>
          <w:lang w:val="sq-AL" w:eastAsia="sq-AL"/>
        </w:rPr>
        <w:lastRenderedPageBreak/>
        <w:t xml:space="preserve">mbarojnë arsimin e detyruar dhe 70% më shumë vajza e djem romë dhe egjiptianë do të përfundojnë të arsimin e mesëm të lartë. </w:t>
      </w:r>
    </w:p>
    <w:p w14:paraId="5E45F73E"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Përmirësimin e infrastrukturës shkollore, shkolla dhe konvikte të reja sipas standardeve evropiane; </w:t>
      </w:r>
    </w:p>
    <w:p w14:paraId="3D2AE069"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Rritjen e numrit të punonjësve të shërbimit psiko-social në sistemin e arsimit parauniversitar;  </w:t>
      </w:r>
    </w:p>
    <w:p w14:paraId="30F002A6"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Zhvillimin dhe zbatimin e kurrikulave bazuar në standarde të krahasueshme me vendet e BE-së, nëpërmjet: zbatimit të kurikulës së re në të gjithë sistemin e arsimit parauniversitar si dhe përgatitjes së teksteve specifike për nxënësit e pakicave kombëtare; </w:t>
      </w:r>
    </w:p>
    <w:p w14:paraId="02A2605E"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Fuqizimin e TIK-ut në arsim, nëpërmjet: hartimit të një platforme dhe plani kombëtar veprimi për zbatimin e TIK-ut në arsim si dhe krijimit të një infrastrukture të qëndrueshme, gjerësisht të përdorshme të burimeve digjitale në shkolla; </w:t>
      </w:r>
    </w:p>
    <w:p w14:paraId="2A57A342"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Përfshirja e gjuhës së huaj (gjuhës angleze) që në klasën e parë të arsimit fillor dhe nga klasa e tretë dy gjuhë të huaja, nga të cilat gjuha angleze si dhe një gjuhë tjetër e huaj me zgjedhje; </w:t>
      </w:r>
    </w:p>
    <w:p w14:paraId="7F1EDBCA"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Rritja e fondeve grant për IAL publike “Pakti për Universitetet”, përmes financimit me përparësi për ngritjen e infrastrukturës  dhe investimeve në kampuse universitare, rritjes së fondeve për mbështetjen  studentore, për të mbuluar shpenzimet për bursat e studentëve nga  shtresat sociale në nevojë, si dhe studentëve ekselencë në IAL publike, si dhe rritje a fondeve për përjashtimi apo reduktimi i tarifave vjetore të shkollimit për studentët e ekselencës apo studentët e kategorive sociale në nevojë;</w:t>
      </w:r>
    </w:p>
    <w:p w14:paraId="5DE2C9CB"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Edukimi nëpërmjet sportit si një faktor efikas në përmirësimin e shëndetit e të mirëqenies për qytetarët përmes sigurimit të një shërbimi cilësor nëpërmjet sportit elitar dhe sportit në tërësi në institucionet arsimore duke kontribuar kësisoj dhe në forcimin e statusit të të rinjve shqiptarë në të gjitha fushat e jetës.</w:t>
      </w:r>
    </w:p>
    <w:p w14:paraId="606462DC"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Klasat e profilizuara sportive - Do të rritet numri i klasave të profilizuara sportive në mënyrë progresive në të gjithë vendin, duke filluar që nga viti shkollor 2021-2022 nga 223 në 423, duke shtuar edhe disiplina të reja sportive, si gjimnastikë, atletikë dhe tenis.  </w:t>
      </w:r>
    </w:p>
    <w:p w14:paraId="06318444"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Plani për zhvillimin e sistemit arsimor do të pajisë studentët shqiptarë me dije dhe aftësi të konkurruese me bashkëmoshatarët e tyre në BE. Shkollat profesionale dhe universitetet do të përgatisin qytetarin e mirë dhe punonjësin e suksesshëm të vitit 2030-të. </w:t>
      </w:r>
    </w:p>
    <w:p w14:paraId="34ABDF39"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Me investimet në laboratorë për kërkimin shkencor dhe me sigurimin e integritet akademik dhe shkencor të universiteteve, do të përmirësohet cilësia e produkt universitar, ndërsa diploma e secilit student do të mbartë vlerën që duhet ta ketë. </w:t>
      </w:r>
    </w:p>
    <w:p w14:paraId="409F623A"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 xml:space="preserve">Me investimet infrastrukturore në kampuset universitare, do të përmirësohet eksperienca studentore dhe do të inkurajohen të rinjtë të ndjekin ëndrrat e tyre në kampuset universitare shqiptare. </w:t>
      </w:r>
    </w:p>
    <w:p w14:paraId="3D8820B7" w14:textId="77777777" w:rsidR="00C234C9" w:rsidRPr="00D7447D" w:rsidRDefault="00C234C9" w:rsidP="000B3CCC">
      <w:pPr>
        <w:pStyle w:val="NoSpacing"/>
        <w:numPr>
          <w:ilvl w:val="0"/>
          <w:numId w:val="31"/>
        </w:numPr>
        <w:spacing w:line="276" w:lineRule="auto"/>
        <w:jc w:val="both"/>
        <w:rPr>
          <w:color w:val="000000"/>
          <w:sz w:val="24"/>
          <w:szCs w:val="24"/>
          <w:lang w:val="sq-AL" w:eastAsia="sq-AL"/>
        </w:rPr>
      </w:pPr>
      <w:r w:rsidRPr="00D7447D">
        <w:rPr>
          <w:color w:val="000000"/>
          <w:sz w:val="24"/>
          <w:szCs w:val="24"/>
          <w:lang w:val="sq-AL" w:eastAsia="sq-AL"/>
        </w:rPr>
        <w:t>Ndërkombëtarizimi i Arsimit të Lartë - fillohet puna për hapjen e filialeve të Universiteteve më të mira ndërkombëtare në Shqipëri, si dhe për programe studimi të përbashkëta dhe të dyfishta me to. MASR do të mbështesë hapjen e programeve në gjuhën angleze në të gjitha universitetet shqiptare.</w:t>
      </w:r>
    </w:p>
    <w:p w14:paraId="2A5BD78F" w14:textId="77777777" w:rsidR="00C234C9" w:rsidRPr="00D7447D" w:rsidRDefault="00C234C9" w:rsidP="000B3CCC">
      <w:pPr>
        <w:pStyle w:val="NoSpacing"/>
        <w:spacing w:line="276" w:lineRule="auto"/>
        <w:ind w:left="360"/>
        <w:jc w:val="both"/>
        <w:rPr>
          <w:color w:val="000000"/>
          <w:sz w:val="24"/>
          <w:szCs w:val="24"/>
          <w:lang w:val="sq-AL" w:eastAsia="sq-AL"/>
        </w:rPr>
      </w:pPr>
    </w:p>
    <w:p w14:paraId="206962F1" w14:textId="77777777" w:rsidR="00C234C9" w:rsidRPr="00D7447D" w:rsidRDefault="00C234C9" w:rsidP="000B3CCC">
      <w:p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color w:val="000000"/>
          <w:sz w:val="24"/>
          <w:szCs w:val="24"/>
          <w:lang w:val="sq-AL" w:eastAsia="sq-AL"/>
        </w:rPr>
        <w:t>Në tabelën e mëposhtme paraqitet buxheti për periudhën 2022-2025 për Ministrinë e Arsimit dhe Sportit, sipas programeve buxhetore dhe sipas klasifikimit ekonomik.</w:t>
      </w:r>
    </w:p>
    <w:p w14:paraId="060570CD" w14:textId="77777777" w:rsidR="00C234C9" w:rsidRPr="00D7447D" w:rsidRDefault="00C234C9" w:rsidP="000B3CCC">
      <w:pPr>
        <w:spacing w:after="0" w:line="276" w:lineRule="auto"/>
        <w:jc w:val="both"/>
        <w:rPr>
          <w:rFonts w:ascii="Times New Roman" w:eastAsia="Times New Roman" w:hAnsi="Times New Roman" w:cs="Times New Roman"/>
          <w:color w:val="000000"/>
          <w:sz w:val="24"/>
          <w:szCs w:val="24"/>
          <w:lang w:val="sq-AL" w:eastAsia="sq-AL"/>
        </w:rPr>
      </w:pPr>
    </w:p>
    <w:p w14:paraId="19C51342" w14:textId="77777777" w:rsidR="00C234C9" w:rsidRPr="00D7447D" w:rsidRDefault="00C234C9" w:rsidP="000B3CCC">
      <w:pPr>
        <w:spacing w:after="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noProof/>
          <w:sz w:val="24"/>
          <w:szCs w:val="24"/>
          <w:lang w:val="sq-AL"/>
        </w:rPr>
        <w:t>Tabela 10: Shpenzimet e Ministrisë së Arsimit dhe Sportit sipas programeve buxhetore dhe sipas artikujve ekonomikë</w:t>
      </w:r>
    </w:p>
    <w:p w14:paraId="388099F4" w14:textId="77777777" w:rsidR="00C234C9" w:rsidRPr="00D7447D" w:rsidRDefault="00C234C9" w:rsidP="000B3CCC">
      <w:pPr>
        <w:spacing w:line="276" w:lineRule="auto"/>
        <w:jc w:val="center"/>
        <w:rPr>
          <w:rFonts w:ascii="Times New Roman"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7A29023D" wp14:editId="1247D680">
            <wp:extent cx="5943367" cy="6605626"/>
            <wp:effectExtent l="0" t="0" r="63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5208" cy="6607672"/>
                    </a:xfrm>
                    <a:prstGeom prst="rect">
                      <a:avLst/>
                    </a:prstGeom>
                    <a:noFill/>
                    <a:ln>
                      <a:noFill/>
                    </a:ln>
                  </pic:spPr>
                </pic:pic>
              </a:graphicData>
            </a:graphic>
          </wp:inline>
        </w:drawing>
      </w:r>
    </w:p>
    <w:p w14:paraId="389EEA5A" w14:textId="77777777" w:rsidR="00C234C9" w:rsidRPr="00D7447D" w:rsidRDefault="00C234C9" w:rsidP="000B3CCC">
      <w:pPr>
        <w:spacing w:after="0" w:line="276" w:lineRule="auto"/>
        <w:rPr>
          <w:rFonts w:ascii="Times New Roman" w:eastAsia="Calibri" w:hAnsi="Times New Roman" w:cs="Times New Roman"/>
          <w:b/>
          <w:i/>
          <w:sz w:val="24"/>
          <w:szCs w:val="24"/>
          <w:lang w:val="sq-AL"/>
        </w:rPr>
      </w:pPr>
    </w:p>
    <w:p w14:paraId="439147D3" w14:textId="77777777" w:rsidR="00C234C9" w:rsidRPr="00D7447D" w:rsidRDefault="00C234C9" w:rsidP="000B3CCC">
      <w:pPr>
        <w:pStyle w:val="Heading3"/>
        <w:spacing w:line="276" w:lineRule="auto"/>
        <w:rPr>
          <w:rFonts w:ascii="Times New Roman" w:hAnsi="Times New Roman" w:cs="Times New Roman"/>
          <w:b/>
          <w:noProof/>
          <w:color w:val="auto"/>
          <w:lang w:eastAsia="sq-AL"/>
        </w:rPr>
      </w:pPr>
      <w:r w:rsidRPr="00D7447D">
        <w:rPr>
          <w:rFonts w:ascii="Times New Roman" w:hAnsi="Times New Roman" w:cs="Times New Roman"/>
          <w:b/>
          <w:noProof/>
          <w:color w:val="auto"/>
          <w:lang w:eastAsia="sq-AL"/>
        </w:rPr>
        <w:lastRenderedPageBreak/>
        <w:t>Përmbledhje e Treguesve Kyç të Performancës</w:t>
      </w:r>
    </w:p>
    <w:p w14:paraId="377D4E48" w14:textId="77777777" w:rsidR="00C234C9" w:rsidRPr="00D7447D" w:rsidRDefault="00C234C9" w:rsidP="000B3CCC">
      <w:pPr>
        <w:spacing w:before="120" w:after="120" w:line="276" w:lineRule="auto"/>
        <w:jc w:val="both"/>
        <w:rPr>
          <w:rFonts w:ascii="Times New Roman" w:eastAsia="Times New Roman" w:hAnsi="Times New Roman" w:cs="Times New Roman"/>
          <w:color w:val="000000"/>
          <w:sz w:val="24"/>
          <w:szCs w:val="24"/>
          <w:lang w:val="sq-AL" w:eastAsia="sq-AL"/>
        </w:rPr>
      </w:pPr>
      <w:r w:rsidRPr="00D7447D">
        <w:rPr>
          <w:rFonts w:ascii="Times New Roman" w:eastAsia="Times New Roman" w:hAnsi="Times New Roman" w:cs="Times New Roman"/>
          <w:color w:val="000000"/>
          <w:sz w:val="24"/>
          <w:szCs w:val="24"/>
          <w:lang w:val="sq-AL" w:eastAsia="sq-AL"/>
        </w:rPr>
        <w:t>Disa nga prioritetet e kësaj Ministrie për 3 vitet në vijim janë:</w:t>
      </w:r>
    </w:p>
    <w:p w14:paraId="5D30F7D2" w14:textId="77777777" w:rsidR="00C234C9" w:rsidRPr="00D7447D" w:rsidRDefault="00C234C9" w:rsidP="000B3CCC">
      <w:pPr>
        <w:pStyle w:val="Default"/>
        <w:spacing w:line="276" w:lineRule="auto"/>
        <w:jc w:val="both"/>
        <w:rPr>
          <w:rFonts w:ascii="Times New Roman" w:hAnsi="Times New Roman" w:cs="Times New Roman"/>
          <w:b/>
          <w:color w:val="auto"/>
        </w:rPr>
      </w:pPr>
      <w:r w:rsidRPr="00D7447D">
        <w:rPr>
          <w:rFonts w:ascii="Times New Roman" w:hAnsi="Times New Roman" w:cs="Times New Roman"/>
          <w:b/>
          <w:color w:val="auto"/>
        </w:rPr>
        <w:t>Treguesit e performancës për programin Arsimi Bazë (09120), parashikuar për periudhën 2023-2025;</w:t>
      </w:r>
    </w:p>
    <w:p w14:paraId="3AA0210F"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sigurohet rritja e aksesit të fëmijëve 3-6 vjeçarë në masën 86% në arsimin parashkollor.</w:t>
      </w:r>
    </w:p>
    <w:p w14:paraId="2C211A43"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realizohet trajnim çdo vit i mesatarisht 51% i mësuesve në AB dhe rreth 120 mësuesve nga diaspora si dhe mesatarisht 500 mësues ndihmës për fëmijët me AK;</w:t>
      </w:r>
    </w:p>
    <w:p w14:paraId="0CF93FB4"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sigurohet standardi 3.5 - 5m</w:t>
      </w:r>
      <w:r w:rsidRPr="00D7447D">
        <w:rPr>
          <w:rFonts w:ascii="Times New Roman" w:hAnsi="Times New Roman" w:cs="Times New Roman"/>
          <w:color w:val="auto"/>
          <w:vertAlign w:val="superscript"/>
        </w:rPr>
        <w:t>2</w:t>
      </w:r>
      <w:r w:rsidRPr="00D7447D">
        <w:rPr>
          <w:rFonts w:ascii="Times New Roman" w:hAnsi="Times New Roman" w:cs="Times New Roman"/>
          <w:color w:val="auto"/>
        </w:rPr>
        <w:t xml:space="preserve"> për nxënës dhe sigurimi i të gjitha standardeve; </w:t>
      </w:r>
    </w:p>
    <w:p w14:paraId="510D9B2E"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përshtaten mjediset ekzistuese shkollore për fëmijët me AK, të pajisen të gjitha ndërtesat shkollore me rampën.</w:t>
      </w:r>
    </w:p>
    <w:p w14:paraId="120715CC"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sigurohet që numri mesatar i fëmijeve ne institucionet e arsimit parashkollor në zonat urbane të jetë 18-20 femijë për grup ose për klasë;</w:t>
      </w:r>
    </w:p>
    <w:p w14:paraId="34DBDDAB"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rritet përqindja e nxënësve Romë dhe Egjiptian, që ndjekin arsimin 9-vjeçar Publik, (Klasa 1 -Klasa 9) nga 4.8% në vitin 2022 në 5.4% në vitin 2025.</w:t>
      </w:r>
    </w:p>
    <w:p w14:paraId="71D3C98D"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rritet numri i mësuesve ndihmës për personat me aftësi të Kufizuar apo aftësi ndryshe nga nga 2% në vitin 2022 në 9.5% në vitin 2025;</w:t>
      </w:r>
    </w:p>
    <w:p w14:paraId="64E81DA8" w14:textId="77777777" w:rsidR="00C234C9" w:rsidRPr="00D7447D" w:rsidRDefault="00C234C9" w:rsidP="000B3CCC">
      <w:pPr>
        <w:pStyle w:val="Default"/>
        <w:numPr>
          <w:ilvl w:val="0"/>
          <w:numId w:val="37"/>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rritet numri i psikologëve dhe punonjësve socialë të trajnuar nga 450 në vitin 2022 në 650 deri në vitin 2025.</w:t>
      </w:r>
    </w:p>
    <w:p w14:paraId="37C6A48D" w14:textId="77777777" w:rsidR="00C234C9" w:rsidRPr="00D7447D" w:rsidRDefault="00C234C9" w:rsidP="000B3CCC">
      <w:pPr>
        <w:pStyle w:val="Default"/>
        <w:numPr>
          <w:ilvl w:val="0"/>
          <w:numId w:val="37"/>
        </w:numPr>
        <w:spacing w:line="276" w:lineRule="auto"/>
        <w:jc w:val="both"/>
        <w:rPr>
          <w:rFonts w:ascii="Times New Roman" w:hAnsi="Times New Roman" w:cs="Times New Roman"/>
          <w:color w:val="auto"/>
        </w:rPr>
      </w:pPr>
      <w:r w:rsidRPr="00D7447D">
        <w:rPr>
          <w:rFonts w:ascii="Times New Roman" w:hAnsi="Times New Roman" w:cs="Times New Roman"/>
          <w:color w:val="auto"/>
        </w:rPr>
        <w:t>Të sigurohet që brenda vitit 2024, 100% e mësuesve, nxënësve në arsimin e mesëm të ultë, klasa 6-9 të jenë të pajisur me laptop/kompjuter/IPAD si dhe me klasa mësimore dixhitale inteligjente.</w:t>
      </w:r>
    </w:p>
    <w:p w14:paraId="5AA38BFD" w14:textId="77777777" w:rsidR="00C234C9" w:rsidRPr="00D7447D" w:rsidRDefault="00C234C9" w:rsidP="000B3CCC">
      <w:pPr>
        <w:pStyle w:val="Default"/>
        <w:numPr>
          <w:ilvl w:val="0"/>
          <w:numId w:val="37"/>
        </w:numPr>
        <w:spacing w:line="276" w:lineRule="auto"/>
        <w:jc w:val="both"/>
        <w:rPr>
          <w:rFonts w:ascii="Times New Roman" w:hAnsi="Times New Roman" w:cs="Times New Roman"/>
          <w:color w:val="auto"/>
        </w:rPr>
      </w:pPr>
      <w:r w:rsidRPr="00D7447D">
        <w:rPr>
          <w:rFonts w:ascii="Times New Roman" w:hAnsi="Times New Roman" w:cs="Times New Roman"/>
          <w:color w:val="auto"/>
        </w:rPr>
        <w:t>Krijimi dhe pajisja e laboratorëve smart IT ku parashikohet të përfitojnë 20-25 mijë nxënës.</w:t>
      </w:r>
    </w:p>
    <w:p w14:paraId="4F3E4FC9" w14:textId="77777777" w:rsidR="00C234C9" w:rsidRPr="00D7447D" w:rsidRDefault="00C234C9" w:rsidP="000B3CCC">
      <w:pPr>
        <w:pStyle w:val="Default"/>
        <w:spacing w:line="276" w:lineRule="auto"/>
        <w:ind w:left="720"/>
        <w:jc w:val="both"/>
        <w:rPr>
          <w:rFonts w:ascii="Times New Roman" w:hAnsi="Times New Roman" w:cs="Times New Roman"/>
          <w:b/>
          <w:color w:val="auto"/>
        </w:rPr>
      </w:pPr>
    </w:p>
    <w:p w14:paraId="2487BAEC" w14:textId="77777777" w:rsidR="00C234C9" w:rsidRPr="00D7447D" w:rsidRDefault="00C234C9" w:rsidP="000B3CCC">
      <w:pPr>
        <w:pStyle w:val="Default"/>
        <w:spacing w:line="276" w:lineRule="auto"/>
        <w:jc w:val="both"/>
        <w:rPr>
          <w:rFonts w:ascii="Times New Roman" w:hAnsi="Times New Roman" w:cs="Times New Roman"/>
          <w:b/>
          <w:color w:val="auto"/>
        </w:rPr>
      </w:pPr>
      <w:r w:rsidRPr="00D7447D">
        <w:rPr>
          <w:rFonts w:ascii="Times New Roman" w:hAnsi="Times New Roman" w:cs="Times New Roman"/>
          <w:b/>
          <w:color w:val="auto"/>
        </w:rPr>
        <w:t>Treguesit e performancës për programin Arsimi i Mesëm i Përgjithshëm Gjimnazet (09230).</w:t>
      </w:r>
    </w:p>
    <w:p w14:paraId="061AAE9A" w14:textId="77777777" w:rsidR="00C234C9" w:rsidRPr="00D7447D" w:rsidRDefault="00C234C9" w:rsidP="000B3CCC">
      <w:pPr>
        <w:pStyle w:val="Default"/>
        <w:numPr>
          <w:ilvl w:val="0"/>
          <w:numId w:val="38"/>
        </w:numPr>
        <w:spacing w:line="276" w:lineRule="auto"/>
        <w:jc w:val="both"/>
        <w:rPr>
          <w:rFonts w:ascii="Times New Roman" w:hAnsi="Times New Roman" w:cs="Times New Roman"/>
          <w:color w:val="auto"/>
        </w:rPr>
      </w:pPr>
      <w:r w:rsidRPr="00D7447D">
        <w:rPr>
          <w:rFonts w:ascii="Times New Roman" w:hAnsi="Times New Roman" w:cs="Times New Roman"/>
          <w:color w:val="auto"/>
        </w:rPr>
        <w:t>Deri në vitin 2025, 98-99% e nxënësve që mbarojnë arsimin bazë të regjistrohen në një nga format/ llojet e arsimit të mesëm;</w:t>
      </w:r>
    </w:p>
    <w:p w14:paraId="48A90CA2" w14:textId="77777777" w:rsidR="00C234C9" w:rsidRPr="00D7447D" w:rsidRDefault="00C234C9" w:rsidP="000B3CCC">
      <w:pPr>
        <w:pStyle w:val="Default"/>
        <w:numPr>
          <w:ilvl w:val="0"/>
          <w:numId w:val="38"/>
        </w:numPr>
        <w:spacing w:line="276" w:lineRule="auto"/>
        <w:jc w:val="both"/>
        <w:rPr>
          <w:rFonts w:ascii="Times New Roman" w:hAnsi="Times New Roman" w:cs="Times New Roman"/>
          <w:color w:val="auto"/>
        </w:rPr>
      </w:pPr>
      <w:r w:rsidRPr="00D7447D">
        <w:rPr>
          <w:rFonts w:ascii="Times New Roman" w:hAnsi="Times New Roman" w:cs="Times New Roman"/>
          <w:color w:val="auto"/>
        </w:rPr>
        <w:t>Në vitin 2025, 100% e shërbimit arsimor realizohet vetëm me një turn (08.00-15.30);</w:t>
      </w:r>
    </w:p>
    <w:p w14:paraId="18566FA8" w14:textId="77777777" w:rsidR="00C234C9" w:rsidRPr="00D7447D" w:rsidRDefault="00C234C9" w:rsidP="000B3CCC">
      <w:pPr>
        <w:pStyle w:val="Default"/>
        <w:numPr>
          <w:ilvl w:val="0"/>
          <w:numId w:val="38"/>
        </w:numPr>
        <w:spacing w:line="276" w:lineRule="auto"/>
        <w:jc w:val="both"/>
        <w:rPr>
          <w:rFonts w:ascii="Times New Roman" w:hAnsi="Times New Roman" w:cs="Times New Roman"/>
          <w:color w:val="auto"/>
        </w:rPr>
      </w:pPr>
      <w:r w:rsidRPr="00D7447D">
        <w:rPr>
          <w:rFonts w:ascii="Times New Roman" w:hAnsi="Times New Roman" w:cs="Times New Roman"/>
          <w:color w:val="auto"/>
        </w:rPr>
        <w:t>Rritja e Nxënësëve të Arsimit të mesëm të lartë që ju sigurohen tekstet shkollore falas (klasa 10 deri në klasën12) me mesatarisht 26% deri në vitin 2025;</w:t>
      </w:r>
    </w:p>
    <w:p w14:paraId="47063A7A" w14:textId="77777777" w:rsidR="00C234C9" w:rsidRPr="00D7447D" w:rsidRDefault="00C234C9" w:rsidP="000B3CCC">
      <w:pPr>
        <w:pStyle w:val="Default"/>
        <w:numPr>
          <w:ilvl w:val="0"/>
          <w:numId w:val="38"/>
        </w:numPr>
        <w:spacing w:line="276" w:lineRule="auto"/>
        <w:jc w:val="both"/>
        <w:rPr>
          <w:rFonts w:ascii="Times New Roman" w:hAnsi="Times New Roman" w:cs="Times New Roman"/>
          <w:color w:val="auto"/>
        </w:rPr>
      </w:pPr>
      <w:r w:rsidRPr="00D7447D">
        <w:rPr>
          <w:rFonts w:ascii="Times New Roman" w:hAnsi="Times New Roman" w:cs="Times New Roman"/>
          <w:color w:val="auto"/>
        </w:rPr>
        <w:t>Norma e braktisjes se shkolles ne % në arsimin e meëm të përgjithshëm të ulet nga 0.46% në vitin 2022, në 0.42% në vitin 2025.</w:t>
      </w:r>
    </w:p>
    <w:p w14:paraId="54FE27DF" w14:textId="77777777" w:rsidR="00C234C9" w:rsidRPr="00D7447D" w:rsidRDefault="00C234C9" w:rsidP="000B3CCC">
      <w:pPr>
        <w:pStyle w:val="Default"/>
        <w:numPr>
          <w:ilvl w:val="0"/>
          <w:numId w:val="38"/>
        </w:numPr>
        <w:spacing w:line="276" w:lineRule="auto"/>
        <w:jc w:val="both"/>
        <w:rPr>
          <w:rFonts w:ascii="Times New Roman" w:hAnsi="Times New Roman" w:cs="Times New Roman"/>
          <w:color w:val="auto"/>
        </w:rPr>
      </w:pPr>
      <w:r w:rsidRPr="00D7447D">
        <w:rPr>
          <w:rFonts w:ascii="Times New Roman" w:hAnsi="Times New Roman" w:cs="Times New Roman"/>
          <w:color w:val="auto"/>
        </w:rPr>
        <w:t>Raporti mësues/nxënës në arsimin e mesëm krahasuar me mesataren e rajonit deri në vitin 2025 të shkojë 11.4.</w:t>
      </w:r>
    </w:p>
    <w:p w14:paraId="354C6FC7" w14:textId="77777777" w:rsidR="00C234C9" w:rsidRPr="00D7447D" w:rsidRDefault="00C234C9" w:rsidP="000B3CCC">
      <w:pPr>
        <w:pStyle w:val="Default"/>
        <w:numPr>
          <w:ilvl w:val="0"/>
          <w:numId w:val="38"/>
        </w:numPr>
        <w:spacing w:line="276" w:lineRule="auto"/>
        <w:jc w:val="both"/>
        <w:rPr>
          <w:rFonts w:ascii="Times New Roman" w:hAnsi="Times New Roman" w:cs="Times New Roman"/>
          <w:color w:val="auto"/>
        </w:rPr>
      </w:pPr>
      <w:r w:rsidRPr="00D7447D">
        <w:rPr>
          <w:rFonts w:ascii="Times New Roman" w:hAnsi="Times New Roman" w:cs="Times New Roman"/>
          <w:color w:val="auto"/>
        </w:rPr>
        <w:t>Rreth 20% e nxënësve ndjekin arsimin profesional kundrejt totalit në AM.</w:t>
      </w:r>
    </w:p>
    <w:p w14:paraId="5068EFFF" w14:textId="77777777" w:rsidR="00C234C9" w:rsidRPr="00D7447D" w:rsidRDefault="00C234C9" w:rsidP="000B3CCC">
      <w:pPr>
        <w:pStyle w:val="Default"/>
        <w:spacing w:line="276" w:lineRule="auto"/>
        <w:jc w:val="both"/>
        <w:rPr>
          <w:rFonts w:ascii="Times New Roman" w:hAnsi="Times New Roman" w:cs="Times New Roman"/>
          <w:color w:val="auto"/>
        </w:rPr>
      </w:pPr>
    </w:p>
    <w:p w14:paraId="64CBE725" w14:textId="77777777" w:rsidR="00C234C9" w:rsidRPr="00D7447D" w:rsidRDefault="00C234C9" w:rsidP="000B3CCC">
      <w:pPr>
        <w:pStyle w:val="Default"/>
        <w:spacing w:line="276" w:lineRule="auto"/>
        <w:jc w:val="both"/>
        <w:rPr>
          <w:rFonts w:ascii="Times New Roman" w:hAnsi="Times New Roman" w:cs="Times New Roman"/>
          <w:b/>
          <w:color w:val="auto"/>
        </w:rPr>
      </w:pPr>
      <w:r w:rsidRPr="00D7447D">
        <w:rPr>
          <w:rFonts w:ascii="Times New Roman" w:hAnsi="Times New Roman" w:cs="Times New Roman"/>
          <w:b/>
          <w:color w:val="auto"/>
        </w:rPr>
        <w:t>Treguesit e performancës për programin Arsimit të Lartë (09450);</w:t>
      </w:r>
    </w:p>
    <w:p w14:paraId="7D6F6AA7" w14:textId="77777777" w:rsidR="00C234C9" w:rsidRPr="00D7447D" w:rsidRDefault="00C234C9" w:rsidP="000B3CCC">
      <w:pPr>
        <w:pStyle w:val="Default"/>
        <w:numPr>
          <w:ilvl w:val="0"/>
          <w:numId w:val="39"/>
        </w:numPr>
        <w:spacing w:line="276" w:lineRule="auto"/>
        <w:jc w:val="both"/>
        <w:rPr>
          <w:rFonts w:ascii="Times New Roman" w:hAnsi="Times New Roman" w:cs="Times New Roman"/>
          <w:b/>
          <w:color w:val="auto"/>
        </w:rPr>
      </w:pPr>
      <w:r w:rsidRPr="00D7447D">
        <w:rPr>
          <w:rFonts w:ascii="Times New Roman" w:hAnsi="Times New Roman" w:cs="Times New Roman"/>
          <w:color w:val="auto"/>
        </w:rPr>
        <w:t>100% të programeve studimore të akredituara brenda vitit 2030;</w:t>
      </w:r>
    </w:p>
    <w:p w14:paraId="365B7E4E" w14:textId="77777777" w:rsidR="00C234C9" w:rsidRPr="00D7447D" w:rsidRDefault="00C234C9" w:rsidP="000B3CCC">
      <w:pPr>
        <w:pStyle w:val="Default"/>
        <w:numPr>
          <w:ilvl w:val="0"/>
          <w:numId w:val="39"/>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sigurohet standardi një vend pune në laborator kërkimorë shkencorë për dy studentë, në përputhje me parimet e barazisë gjinore;</w:t>
      </w:r>
    </w:p>
    <w:p w14:paraId="6F095711" w14:textId="77777777" w:rsidR="00C234C9" w:rsidRPr="00D7447D" w:rsidRDefault="00C234C9" w:rsidP="000B3CCC">
      <w:pPr>
        <w:pStyle w:val="Default"/>
        <w:numPr>
          <w:ilvl w:val="0"/>
          <w:numId w:val="39"/>
        </w:numPr>
        <w:spacing w:line="276" w:lineRule="auto"/>
        <w:jc w:val="both"/>
        <w:rPr>
          <w:rFonts w:ascii="Times New Roman" w:hAnsi="Times New Roman" w:cs="Times New Roman"/>
          <w:color w:val="auto"/>
        </w:rPr>
      </w:pPr>
      <w:r w:rsidRPr="00D7447D">
        <w:rPr>
          <w:rFonts w:ascii="Times New Roman" w:hAnsi="Times New Roman" w:cs="Times New Roman"/>
          <w:color w:val="auto"/>
        </w:rPr>
        <w:t>Të sigurohet standardi 5-8 m2 për student sipas natyrës së programit të studimeve në vitin 2024, në përputhje me parimet e barazisë gjinore.</w:t>
      </w:r>
    </w:p>
    <w:p w14:paraId="545E141F" w14:textId="77777777" w:rsidR="00C234C9" w:rsidRPr="00D7447D" w:rsidRDefault="00C234C9" w:rsidP="000B3CCC">
      <w:pPr>
        <w:pStyle w:val="Default"/>
        <w:numPr>
          <w:ilvl w:val="0"/>
          <w:numId w:val="39"/>
        </w:numPr>
        <w:spacing w:line="276" w:lineRule="auto"/>
        <w:jc w:val="both"/>
        <w:rPr>
          <w:rFonts w:ascii="Times New Roman" w:hAnsi="Times New Roman" w:cs="Times New Roman"/>
          <w:color w:val="auto"/>
        </w:rPr>
      </w:pPr>
      <w:r w:rsidRPr="00D7447D">
        <w:rPr>
          <w:rFonts w:ascii="Times New Roman" w:hAnsi="Times New Roman" w:cs="Times New Roman"/>
          <w:color w:val="auto"/>
        </w:rPr>
        <w:lastRenderedPageBreak/>
        <w:t>Fonde Grant për IAL të arrijnë në 0.55% ndaj PBB në vitin 2024;</w:t>
      </w:r>
    </w:p>
    <w:p w14:paraId="3836C74C" w14:textId="77777777" w:rsidR="00C234C9" w:rsidRPr="00D7447D" w:rsidRDefault="00C234C9" w:rsidP="000B3CCC">
      <w:pPr>
        <w:pStyle w:val="Default"/>
        <w:numPr>
          <w:ilvl w:val="0"/>
          <w:numId w:val="39"/>
        </w:numPr>
        <w:spacing w:line="276" w:lineRule="auto"/>
        <w:jc w:val="both"/>
        <w:rPr>
          <w:rFonts w:ascii="Times New Roman" w:hAnsi="Times New Roman" w:cs="Times New Roman"/>
          <w:color w:val="auto"/>
        </w:rPr>
      </w:pPr>
      <w:r w:rsidRPr="00D7447D">
        <w:rPr>
          <w:rFonts w:ascii="Times New Roman" w:hAnsi="Times New Roman" w:cs="Times New Roman"/>
          <w:color w:val="auto"/>
        </w:rPr>
        <w:t>100% e të dhënave të stafit akademik, të studentëve, të karrierës akademike, diplomimit, janë transparente dhe të sigurta, në regjistrin elektronik kombëtar.</w:t>
      </w:r>
    </w:p>
    <w:p w14:paraId="288886E0" w14:textId="77777777" w:rsidR="00C234C9" w:rsidRPr="00D7447D" w:rsidRDefault="00C234C9" w:rsidP="000B3CCC">
      <w:pPr>
        <w:pStyle w:val="Default"/>
        <w:numPr>
          <w:ilvl w:val="0"/>
          <w:numId w:val="39"/>
        </w:numPr>
        <w:spacing w:line="276" w:lineRule="auto"/>
        <w:jc w:val="both"/>
        <w:rPr>
          <w:rFonts w:ascii="Times New Roman" w:hAnsi="Times New Roman" w:cs="Times New Roman"/>
          <w:color w:val="auto"/>
        </w:rPr>
      </w:pPr>
      <w:r w:rsidRPr="00D7447D">
        <w:rPr>
          <w:rFonts w:ascii="Times New Roman" w:hAnsi="Times New Roman" w:cs="Times New Roman"/>
          <w:color w:val="auto"/>
        </w:rPr>
        <w:t>100% e studentëve ekselencë, studentë në nevojë të përfitojnë bursa e studentore në 2022-2025;</w:t>
      </w:r>
    </w:p>
    <w:p w14:paraId="18AB182B" w14:textId="77777777" w:rsidR="00C234C9" w:rsidRPr="00D7447D" w:rsidRDefault="00C234C9" w:rsidP="000B3CCC">
      <w:pPr>
        <w:numPr>
          <w:ilvl w:val="0"/>
          <w:numId w:val="39"/>
        </w:numPr>
        <w:spacing w:line="276" w:lineRule="auto"/>
        <w:contextualSpacing/>
        <w:jc w:val="both"/>
        <w:rPr>
          <w:rFonts w:ascii="Times New Roman" w:hAnsi="Times New Roman" w:cs="Times New Roman"/>
          <w:sz w:val="24"/>
          <w:szCs w:val="24"/>
        </w:rPr>
      </w:pPr>
      <w:r w:rsidRPr="00D7447D">
        <w:rPr>
          <w:rFonts w:ascii="Times New Roman" w:hAnsi="Times New Roman" w:cs="Times New Roman"/>
          <w:sz w:val="24"/>
          <w:szCs w:val="24"/>
        </w:rPr>
        <w:t>90% e stafeve me kohë të plotë të departamenteve të jenë me grada/tituj në 2025, në përputhje me parimet e barazisë gjinore.</w:t>
      </w:r>
    </w:p>
    <w:p w14:paraId="76CAE676" w14:textId="77777777" w:rsidR="00C234C9" w:rsidRPr="00D7447D" w:rsidRDefault="00C234C9" w:rsidP="000B3CCC">
      <w:pPr>
        <w:numPr>
          <w:ilvl w:val="0"/>
          <w:numId w:val="39"/>
        </w:numPr>
        <w:spacing w:line="276" w:lineRule="auto"/>
        <w:contextualSpacing/>
        <w:jc w:val="both"/>
        <w:rPr>
          <w:rFonts w:ascii="Times New Roman" w:hAnsi="Times New Roman" w:cs="Times New Roman"/>
          <w:b/>
          <w:color w:val="000000"/>
          <w:sz w:val="24"/>
          <w:szCs w:val="24"/>
        </w:rPr>
      </w:pPr>
      <w:r w:rsidRPr="00D7447D">
        <w:rPr>
          <w:rFonts w:ascii="Times New Roman" w:hAnsi="Times New Roman" w:cs="Times New Roman"/>
          <w:sz w:val="24"/>
          <w:szCs w:val="24"/>
        </w:rPr>
        <w:t>Raporti mesatar student/pedagog të arrijë 15/1, në vitin 2024.</w:t>
      </w:r>
    </w:p>
    <w:p w14:paraId="60F82996" w14:textId="77777777" w:rsidR="00C234C9" w:rsidRPr="00D7447D" w:rsidRDefault="00C234C9" w:rsidP="000B3CCC">
      <w:pPr>
        <w:pStyle w:val="Default"/>
        <w:spacing w:line="276" w:lineRule="auto"/>
        <w:jc w:val="both"/>
        <w:rPr>
          <w:rFonts w:ascii="Times New Roman" w:hAnsi="Times New Roman" w:cs="Times New Roman"/>
          <w:color w:val="auto"/>
        </w:rPr>
      </w:pPr>
    </w:p>
    <w:p w14:paraId="2B604EEA" w14:textId="77777777" w:rsidR="00C234C9" w:rsidRPr="00D7447D" w:rsidRDefault="00C234C9" w:rsidP="000B3CCC">
      <w:pPr>
        <w:pStyle w:val="Default"/>
        <w:spacing w:line="276" w:lineRule="auto"/>
        <w:jc w:val="both"/>
        <w:rPr>
          <w:rFonts w:ascii="Times New Roman" w:hAnsi="Times New Roman" w:cs="Times New Roman"/>
          <w:b/>
          <w:color w:val="auto"/>
        </w:rPr>
      </w:pPr>
      <w:r w:rsidRPr="00D7447D">
        <w:rPr>
          <w:rFonts w:ascii="Times New Roman" w:hAnsi="Times New Roman" w:cs="Times New Roman"/>
          <w:b/>
          <w:color w:val="auto"/>
        </w:rPr>
        <w:t>Treguesit e performancës për programin për Fonde për Shkencën (09770);</w:t>
      </w:r>
    </w:p>
    <w:p w14:paraId="28C01E4E" w14:textId="77777777" w:rsidR="00C234C9" w:rsidRPr="00D7447D" w:rsidRDefault="00C234C9" w:rsidP="000B3CCC">
      <w:pPr>
        <w:pStyle w:val="Default"/>
        <w:numPr>
          <w:ilvl w:val="0"/>
          <w:numId w:val="40"/>
        </w:numPr>
        <w:spacing w:line="276" w:lineRule="auto"/>
        <w:jc w:val="both"/>
        <w:rPr>
          <w:rFonts w:ascii="Times New Roman" w:hAnsi="Times New Roman" w:cs="Times New Roman"/>
          <w:color w:val="auto"/>
        </w:rPr>
      </w:pPr>
      <w:r w:rsidRPr="00D7447D">
        <w:rPr>
          <w:rFonts w:ascii="Times New Roman" w:hAnsi="Times New Roman" w:cs="Times New Roman"/>
          <w:color w:val="auto"/>
        </w:rPr>
        <w:t>Numrit të kërkuesve për 1000 banor në deri në vitin 2025 të arrijë treguesit mesatare për kërkues në OECD;</w:t>
      </w:r>
    </w:p>
    <w:p w14:paraId="6D57721F" w14:textId="77777777" w:rsidR="00C234C9" w:rsidRPr="00D7447D" w:rsidRDefault="00C234C9" w:rsidP="000B3CCC">
      <w:pPr>
        <w:pStyle w:val="Default"/>
        <w:numPr>
          <w:ilvl w:val="0"/>
          <w:numId w:val="40"/>
        </w:numPr>
        <w:spacing w:line="276" w:lineRule="auto"/>
        <w:jc w:val="both"/>
        <w:rPr>
          <w:rFonts w:ascii="Times New Roman" w:hAnsi="Times New Roman" w:cs="Times New Roman"/>
          <w:color w:val="auto"/>
        </w:rPr>
      </w:pPr>
      <w:r w:rsidRPr="00D7447D">
        <w:rPr>
          <w:rFonts w:ascii="Times New Roman" w:hAnsi="Times New Roman" w:cs="Times New Roman"/>
          <w:color w:val="auto"/>
        </w:rPr>
        <w:t>Të arrihet standardi 7 kërkues për çdo 1000 të punësuar në vitin 2021;</w:t>
      </w:r>
    </w:p>
    <w:p w14:paraId="4EC1FCA8" w14:textId="77777777" w:rsidR="00C234C9" w:rsidRPr="00D7447D" w:rsidRDefault="00C234C9" w:rsidP="000B3CCC">
      <w:pPr>
        <w:pStyle w:val="Default"/>
        <w:numPr>
          <w:ilvl w:val="0"/>
          <w:numId w:val="40"/>
        </w:numPr>
        <w:spacing w:line="276" w:lineRule="auto"/>
        <w:jc w:val="both"/>
        <w:rPr>
          <w:rFonts w:ascii="Times New Roman" w:hAnsi="Times New Roman" w:cs="Times New Roman"/>
          <w:b/>
          <w:color w:val="auto"/>
        </w:rPr>
      </w:pPr>
      <w:r w:rsidRPr="00D7447D">
        <w:rPr>
          <w:rFonts w:ascii="Times New Roman" w:hAnsi="Times New Roman" w:cs="Times New Roman"/>
          <w:color w:val="auto"/>
        </w:rPr>
        <w:t>30% e kërkuesve shkencorë janë Vajza/Gra me synim që pas vitit 2021 të sigurohet barazi gjinore në projektet fitues;</w:t>
      </w:r>
    </w:p>
    <w:p w14:paraId="03069A5E" w14:textId="77777777" w:rsidR="00C234C9" w:rsidRPr="00D7447D" w:rsidRDefault="00C234C9" w:rsidP="000B3CCC">
      <w:pPr>
        <w:pStyle w:val="Default"/>
        <w:numPr>
          <w:ilvl w:val="0"/>
          <w:numId w:val="40"/>
        </w:numPr>
        <w:spacing w:line="276" w:lineRule="auto"/>
        <w:jc w:val="both"/>
        <w:rPr>
          <w:rFonts w:ascii="Times New Roman" w:hAnsi="Times New Roman" w:cs="Times New Roman"/>
          <w:b/>
          <w:color w:val="auto"/>
        </w:rPr>
      </w:pPr>
      <w:r w:rsidRPr="00D7447D">
        <w:rPr>
          <w:rFonts w:ascii="Times New Roman" w:hAnsi="Times New Roman" w:cs="Times New Roman"/>
          <w:color w:val="auto"/>
        </w:rPr>
        <w:t>Të rritet me 10-15% në vit numri iv Aplikimeve nga programet bilaterale dhe Programin Horizon Europe 2020;</w:t>
      </w:r>
    </w:p>
    <w:p w14:paraId="2F5CB9C1" w14:textId="77777777" w:rsidR="00C234C9" w:rsidRPr="00D7447D" w:rsidRDefault="00C234C9" w:rsidP="000B3CCC">
      <w:pPr>
        <w:pStyle w:val="Default"/>
        <w:numPr>
          <w:ilvl w:val="0"/>
          <w:numId w:val="40"/>
        </w:numPr>
        <w:spacing w:line="276" w:lineRule="auto"/>
        <w:jc w:val="both"/>
        <w:rPr>
          <w:rFonts w:ascii="Times New Roman" w:hAnsi="Times New Roman" w:cs="Times New Roman"/>
          <w:b/>
          <w:color w:val="auto"/>
        </w:rPr>
      </w:pPr>
      <w:r w:rsidRPr="00D7447D">
        <w:rPr>
          <w:rFonts w:ascii="Times New Roman" w:hAnsi="Times New Roman" w:cs="Times New Roman"/>
          <w:color w:val="auto"/>
        </w:rPr>
        <w:t xml:space="preserve">Rritja e numrit të projekteve innovative për periudhën 2023-2025. </w:t>
      </w:r>
    </w:p>
    <w:p w14:paraId="134EDE09" w14:textId="77777777" w:rsidR="00C234C9" w:rsidRPr="00D7447D" w:rsidRDefault="00C234C9" w:rsidP="000B3CCC">
      <w:pPr>
        <w:pStyle w:val="Default"/>
        <w:spacing w:line="276" w:lineRule="auto"/>
        <w:jc w:val="both"/>
        <w:rPr>
          <w:rFonts w:ascii="Times New Roman" w:hAnsi="Times New Roman" w:cs="Times New Roman"/>
          <w:color w:val="auto"/>
        </w:rPr>
      </w:pPr>
    </w:p>
    <w:p w14:paraId="53A8BD3C" w14:textId="77777777" w:rsidR="00C234C9" w:rsidRPr="00D7447D" w:rsidRDefault="00C234C9" w:rsidP="000B3CCC">
      <w:pPr>
        <w:pStyle w:val="Default"/>
        <w:spacing w:line="276" w:lineRule="auto"/>
        <w:jc w:val="both"/>
        <w:rPr>
          <w:rFonts w:ascii="Times New Roman" w:hAnsi="Times New Roman" w:cs="Times New Roman"/>
          <w:b/>
          <w:color w:val="auto"/>
        </w:rPr>
      </w:pPr>
      <w:r w:rsidRPr="00D7447D">
        <w:rPr>
          <w:rFonts w:ascii="Times New Roman" w:hAnsi="Times New Roman" w:cs="Times New Roman"/>
          <w:b/>
          <w:color w:val="auto"/>
        </w:rPr>
        <w:t>Treguesit e performancës për programin për Zhvillimi i Sportit (08140);</w:t>
      </w:r>
    </w:p>
    <w:p w14:paraId="0B7088F5" w14:textId="77777777" w:rsidR="00C234C9" w:rsidRPr="00D7447D" w:rsidRDefault="00C234C9" w:rsidP="000B3CCC">
      <w:pPr>
        <w:pStyle w:val="Default"/>
        <w:numPr>
          <w:ilvl w:val="0"/>
          <w:numId w:val="41"/>
        </w:numPr>
        <w:spacing w:line="276" w:lineRule="auto"/>
        <w:jc w:val="both"/>
        <w:rPr>
          <w:rFonts w:ascii="Times New Roman" w:hAnsi="Times New Roman" w:cs="Times New Roman"/>
          <w:color w:val="auto"/>
        </w:rPr>
      </w:pPr>
      <w:r w:rsidRPr="00D7447D">
        <w:rPr>
          <w:rFonts w:ascii="Times New Roman" w:hAnsi="Times New Roman" w:cs="Times New Roman"/>
          <w:color w:val="auto"/>
        </w:rPr>
        <w:t>Mbështetje financiare për rreth 20-25 sportistë elitar në vit,</w:t>
      </w:r>
    </w:p>
    <w:p w14:paraId="7742D087" w14:textId="77777777" w:rsidR="00C234C9" w:rsidRPr="00D7447D" w:rsidRDefault="00C234C9" w:rsidP="000B3CCC">
      <w:pPr>
        <w:pStyle w:val="Default"/>
        <w:numPr>
          <w:ilvl w:val="0"/>
          <w:numId w:val="41"/>
        </w:numPr>
        <w:spacing w:line="276" w:lineRule="auto"/>
        <w:jc w:val="both"/>
        <w:rPr>
          <w:rFonts w:ascii="Times New Roman" w:hAnsi="Times New Roman" w:cs="Times New Roman"/>
          <w:color w:val="auto"/>
        </w:rPr>
      </w:pPr>
      <w:r w:rsidRPr="00D7447D">
        <w:rPr>
          <w:rFonts w:ascii="Times New Roman" w:hAnsi="Times New Roman" w:cs="Times New Roman"/>
          <w:color w:val="auto"/>
        </w:rPr>
        <w:t>Rritje e numrit të sportistëve të licensuar në federata shqiptare të sportit, në 29161 deri në vitin 2025, në përputhje me parimet e barazisë gjinore;</w:t>
      </w:r>
    </w:p>
    <w:p w14:paraId="5946CDB7" w14:textId="77777777" w:rsidR="00C234C9" w:rsidRPr="00D7447D" w:rsidRDefault="00C234C9" w:rsidP="000B3CCC">
      <w:pPr>
        <w:pStyle w:val="Default"/>
        <w:numPr>
          <w:ilvl w:val="0"/>
          <w:numId w:val="41"/>
        </w:numPr>
        <w:spacing w:line="276" w:lineRule="auto"/>
        <w:jc w:val="both"/>
        <w:rPr>
          <w:rFonts w:ascii="Times New Roman" w:hAnsi="Times New Roman" w:cs="Times New Roman"/>
          <w:color w:val="auto"/>
        </w:rPr>
      </w:pPr>
      <w:r w:rsidRPr="00D7447D">
        <w:rPr>
          <w:rFonts w:ascii="Times New Roman" w:hAnsi="Times New Roman" w:cs="Times New Roman"/>
          <w:color w:val="auto"/>
        </w:rPr>
        <w:t>Numri i pjesëmarrjeve në aktivitetet ndërkombëtare, 258 aktivitete ndërkombëtare;</w:t>
      </w:r>
    </w:p>
    <w:p w14:paraId="0C4EDD4B" w14:textId="77777777" w:rsidR="00C234C9" w:rsidRPr="00D7447D" w:rsidRDefault="00C234C9" w:rsidP="000B3CCC">
      <w:pPr>
        <w:pStyle w:val="Default"/>
        <w:numPr>
          <w:ilvl w:val="0"/>
          <w:numId w:val="41"/>
        </w:numPr>
        <w:spacing w:line="276" w:lineRule="auto"/>
        <w:jc w:val="both"/>
        <w:rPr>
          <w:rFonts w:ascii="Times New Roman" w:hAnsi="Times New Roman" w:cs="Times New Roman"/>
          <w:color w:val="auto"/>
        </w:rPr>
      </w:pPr>
      <w:r w:rsidRPr="00D7447D">
        <w:rPr>
          <w:rFonts w:ascii="Times New Roman" w:hAnsi="Times New Roman" w:cs="Times New Roman"/>
          <w:color w:val="auto"/>
        </w:rPr>
        <w:t>Numri i medaljeve në aktivitetet ndërkombëtare, 20-25 medalje përgjatë viteve 2023-2025;</w:t>
      </w:r>
    </w:p>
    <w:p w14:paraId="488C4ABB" w14:textId="77777777" w:rsidR="00C234C9" w:rsidRPr="00D7447D" w:rsidRDefault="00C234C9" w:rsidP="000B3CCC">
      <w:pPr>
        <w:pStyle w:val="Default"/>
        <w:spacing w:line="276" w:lineRule="auto"/>
        <w:jc w:val="both"/>
        <w:rPr>
          <w:rFonts w:ascii="Times New Roman" w:hAnsi="Times New Roman" w:cs="Times New Roman"/>
          <w:color w:val="auto"/>
        </w:rPr>
      </w:pPr>
    </w:p>
    <w:p w14:paraId="4942FB80" w14:textId="77777777" w:rsidR="00F22823" w:rsidRPr="00D7447D" w:rsidRDefault="00F22823" w:rsidP="000B3CCC">
      <w:pPr>
        <w:pStyle w:val="Default"/>
        <w:spacing w:line="276" w:lineRule="auto"/>
        <w:jc w:val="both"/>
        <w:rPr>
          <w:rFonts w:ascii="Times New Roman" w:hAnsi="Times New Roman" w:cs="Times New Roman"/>
          <w:color w:val="auto"/>
        </w:rPr>
      </w:pPr>
    </w:p>
    <w:p w14:paraId="29B74A39" w14:textId="77777777" w:rsidR="00D45E6A" w:rsidRPr="00D7447D" w:rsidRDefault="00D45E6A" w:rsidP="000B3CCC">
      <w:pPr>
        <w:pStyle w:val="Heading2"/>
        <w:spacing w:line="276" w:lineRule="auto"/>
        <w:rPr>
          <w:rFonts w:ascii="Times New Roman" w:eastAsia="Calibri" w:hAnsi="Times New Roman" w:cs="Times New Roman"/>
          <w:i w:val="0"/>
          <w:sz w:val="24"/>
          <w:szCs w:val="24"/>
        </w:rPr>
      </w:pPr>
      <w:bookmarkStart w:id="21" w:name="_Toc391045450"/>
      <w:bookmarkStart w:id="22" w:name="_Toc13653978"/>
      <w:bookmarkStart w:id="23" w:name="_Toc115701044"/>
      <w:r w:rsidRPr="00D7447D">
        <w:rPr>
          <w:rFonts w:ascii="Times New Roman" w:eastAsia="Calibri" w:hAnsi="Times New Roman" w:cs="Times New Roman"/>
          <w:i w:val="0"/>
          <w:sz w:val="24"/>
          <w:szCs w:val="24"/>
        </w:rPr>
        <w:t>M</w:t>
      </w:r>
      <w:bookmarkEnd w:id="21"/>
      <w:r w:rsidRPr="00D7447D">
        <w:rPr>
          <w:rFonts w:ascii="Times New Roman" w:eastAsia="Calibri" w:hAnsi="Times New Roman" w:cs="Times New Roman"/>
          <w:i w:val="0"/>
          <w:sz w:val="24"/>
          <w:szCs w:val="24"/>
        </w:rPr>
        <w:t>INISTRIA E BUJQËSISË DHE ZHVILLIMIT RURAL</w:t>
      </w:r>
      <w:bookmarkEnd w:id="22"/>
      <w:bookmarkEnd w:id="23"/>
    </w:p>
    <w:p w14:paraId="5177EDC5" w14:textId="77777777" w:rsidR="00BD7309" w:rsidRPr="00D7447D" w:rsidRDefault="00BD7309" w:rsidP="000B3CCC">
      <w:pPr>
        <w:spacing w:before="120" w:after="120" w:line="276" w:lineRule="auto"/>
        <w:jc w:val="both"/>
        <w:rPr>
          <w:rFonts w:ascii="Times New Roman" w:eastAsia="Times New Roman" w:hAnsi="Times New Roman" w:cs="Times New Roman"/>
          <w:noProof/>
          <w:sz w:val="24"/>
          <w:szCs w:val="24"/>
          <w:lang w:val="sq-AL"/>
        </w:rPr>
      </w:pPr>
      <w:r w:rsidRPr="00D7447D">
        <w:rPr>
          <w:rFonts w:ascii="Times New Roman" w:eastAsia="Times New Roman" w:hAnsi="Times New Roman" w:cs="Times New Roman"/>
          <w:noProof/>
          <w:sz w:val="24"/>
          <w:szCs w:val="24"/>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14:paraId="00E97676" w14:textId="77777777" w:rsidR="00BD7309" w:rsidRPr="00D7447D" w:rsidRDefault="00BD7309" w:rsidP="000B3CCC">
      <w:pPr>
        <w:numPr>
          <w:ilvl w:val="0"/>
          <w:numId w:val="9"/>
        </w:numPr>
        <w:spacing w:before="120" w:after="120" w:line="276" w:lineRule="auto"/>
        <w:jc w:val="both"/>
        <w:rPr>
          <w:rFonts w:ascii="Times New Roman" w:eastAsia="Times New Roman" w:hAnsi="Times New Roman" w:cs="Times New Roman"/>
          <w:noProof/>
          <w:sz w:val="24"/>
          <w:szCs w:val="24"/>
          <w:lang w:val="sq-AL"/>
        </w:rPr>
      </w:pPr>
      <w:r w:rsidRPr="00D7447D">
        <w:rPr>
          <w:rFonts w:ascii="Times New Roman" w:eastAsia="Times New Roman" w:hAnsi="Times New Roman" w:cs="Times New Roman"/>
          <w:noProof/>
          <w:sz w:val="24"/>
          <w:szCs w:val="24"/>
          <w:lang w:val="sq-AL"/>
        </w:rPr>
        <w:t xml:space="preserve">uljes së kostos dhe rritjes së konkurueshmërisë, </w:t>
      </w:r>
    </w:p>
    <w:p w14:paraId="177242D2" w14:textId="77777777" w:rsidR="00BD7309" w:rsidRPr="00D7447D" w:rsidRDefault="00BD7309" w:rsidP="000B3CCC">
      <w:pPr>
        <w:numPr>
          <w:ilvl w:val="0"/>
          <w:numId w:val="9"/>
        </w:numPr>
        <w:spacing w:before="120" w:after="120" w:line="276" w:lineRule="auto"/>
        <w:jc w:val="both"/>
        <w:rPr>
          <w:rFonts w:ascii="Times New Roman" w:eastAsia="Times New Roman" w:hAnsi="Times New Roman" w:cs="Times New Roman"/>
          <w:noProof/>
          <w:sz w:val="24"/>
          <w:szCs w:val="24"/>
          <w:lang w:val="sq-AL"/>
        </w:rPr>
      </w:pPr>
      <w:r w:rsidRPr="00D7447D">
        <w:rPr>
          <w:rFonts w:ascii="Times New Roman" w:eastAsia="Times New Roman" w:hAnsi="Times New Roman" w:cs="Times New Roman"/>
          <w:noProof/>
          <w:sz w:val="24"/>
          <w:szCs w:val="24"/>
          <w:lang w:val="sq-AL"/>
        </w:rPr>
        <w:t xml:space="preserve">menaxhimit të qëndrueshëm të tokës dhe të ujitjes, </w:t>
      </w:r>
    </w:p>
    <w:p w14:paraId="157A1D60" w14:textId="77777777" w:rsidR="00BD7309" w:rsidRPr="00D7447D" w:rsidRDefault="00BD7309" w:rsidP="000B3CCC">
      <w:pPr>
        <w:numPr>
          <w:ilvl w:val="0"/>
          <w:numId w:val="9"/>
        </w:numPr>
        <w:spacing w:before="120" w:after="120" w:line="276" w:lineRule="auto"/>
        <w:jc w:val="both"/>
        <w:rPr>
          <w:rFonts w:ascii="Times New Roman" w:eastAsia="Times New Roman" w:hAnsi="Times New Roman" w:cs="Times New Roman"/>
          <w:noProof/>
          <w:sz w:val="24"/>
          <w:szCs w:val="24"/>
          <w:lang w:val="sq-AL"/>
        </w:rPr>
      </w:pPr>
      <w:r w:rsidRPr="00D7447D">
        <w:rPr>
          <w:rFonts w:ascii="Times New Roman" w:eastAsia="Times New Roman" w:hAnsi="Times New Roman" w:cs="Times New Roman"/>
          <w:noProof/>
          <w:sz w:val="24"/>
          <w:szCs w:val="24"/>
          <w:lang w:val="sq-AL"/>
        </w:rPr>
        <w:t xml:space="preserve">kullimit e mbrojtjes nga përmbytja, </w:t>
      </w:r>
    </w:p>
    <w:p w14:paraId="08C5BBDD" w14:textId="77777777" w:rsidR="00BD7309" w:rsidRPr="00D7447D" w:rsidRDefault="00BD7309" w:rsidP="000B3CCC">
      <w:pPr>
        <w:numPr>
          <w:ilvl w:val="0"/>
          <w:numId w:val="9"/>
        </w:numPr>
        <w:spacing w:before="120" w:after="120" w:line="276" w:lineRule="auto"/>
        <w:jc w:val="both"/>
        <w:rPr>
          <w:rFonts w:ascii="Times New Roman" w:eastAsia="Times New Roman" w:hAnsi="Times New Roman" w:cs="Times New Roman"/>
          <w:noProof/>
          <w:sz w:val="24"/>
          <w:szCs w:val="24"/>
          <w:lang w:val="sq-AL"/>
        </w:rPr>
      </w:pPr>
      <w:r w:rsidRPr="00D7447D">
        <w:rPr>
          <w:rFonts w:ascii="Times New Roman" w:eastAsia="Times New Roman" w:hAnsi="Times New Roman" w:cs="Times New Roman"/>
          <w:noProof/>
          <w:sz w:val="24"/>
          <w:szCs w:val="24"/>
          <w:lang w:val="sq-AL"/>
        </w:rPr>
        <w:t>përmirësimin e sigurisë ushqimore në funksion të mbrojtjes së konsumatorit.</w:t>
      </w:r>
    </w:p>
    <w:p w14:paraId="24C4D029" w14:textId="77777777" w:rsidR="00BD7309" w:rsidRPr="00D7447D" w:rsidRDefault="00BD7309" w:rsidP="000B3CCC">
      <w:pPr>
        <w:spacing w:after="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Për periudhën 2023-2025, Ministria e Bujqësisë dhe Zhvillimit Rural do të përmbushë objektivat e synuar përmes fondeve buxhetore të alokuara sipas tabelës së mëposhtme. </w:t>
      </w:r>
    </w:p>
    <w:p w14:paraId="2D727FF0" w14:textId="77777777" w:rsidR="00BD7309" w:rsidRPr="00D7447D" w:rsidRDefault="00BD7309" w:rsidP="000B3CCC">
      <w:pPr>
        <w:spacing w:line="276" w:lineRule="auto"/>
        <w:contextualSpacing/>
        <w:rPr>
          <w:rFonts w:ascii="Times New Roman" w:eastAsia="Times New Roman" w:hAnsi="Times New Roman" w:cs="Times New Roman"/>
          <w:sz w:val="24"/>
          <w:szCs w:val="24"/>
          <w:lang w:val="sq-AL"/>
        </w:rPr>
      </w:pPr>
    </w:p>
    <w:p w14:paraId="1CA2DD83" w14:textId="77777777" w:rsidR="00BD7309" w:rsidRPr="00D7447D" w:rsidRDefault="00BD7309" w:rsidP="000B3CCC">
      <w:pPr>
        <w:spacing w:line="276" w:lineRule="auto"/>
        <w:contextualSpacing/>
        <w:rPr>
          <w:rFonts w:ascii="Times New Roman" w:eastAsia="Times New Roman" w:hAnsi="Times New Roman" w:cs="Times New Roman"/>
          <w:sz w:val="24"/>
          <w:szCs w:val="24"/>
          <w:lang w:val="sq-AL"/>
        </w:rPr>
      </w:pPr>
      <w:r w:rsidRPr="00D7447D">
        <w:rPr>
          <w:rFonts w:ascii="Times New Roman" w:eastAsia="Times New Roman" w:hAnsi="Times New Roman" w:cs="Times New Roman"/>
          <w:b/>
          <w:sz w:val="24"/>
          <w:szCs w:val="24"/>
          <w:lang w:val="sq-AL"/>
        </w:rPr>
        <w:lastRenderedPageBreak/>
        <w:t xml:space="preserve">                   Tabela 1: </w:t>
      </w:r>
      <w:r w:rsidRPr="00D7447D">
        <w:rPr>
          <w:rFonts w:ascii="Times New Roman" w:eastAsia="Times New Roman" w:hAnsi="Times New Roman" w:cs="Times New Roman"/>
          <w:sz w:val="24"/>
          <w:szCs w:val="24"/>
          <w:lang w:val="sq-AL"/>
        </w:rPr>
        <w:t>Shpenzimet për Ministrinë e Bujqësisë dhe Zhvillimit Rural në vitet 2023-2025</w:t>
      </w:r>
    </w:p>
    <w:p w14:paraId="2F18B914" w14:textId="77777777" w:rsidR="00BD7309" w:rsidRPr="00D7447D" w:rsidRDefault="00BD7309" w:rsidP="000B3CCC">
      <w:pPr>
        <w:spacing w:before="120" w:after="120" w:line="276" w:lineRule="auto"/>
        <w:rPr>
          <w:rFonts w:ascii="Times New Roman" w:eastAsia="Times New Roman" w:hAnsi="Times New Roman" w:cs="Times New Roman"/>
          <w:noProof/>
          <w:sz w:val="24"/>
          <w:szCs w:val="24"/>
          <w:lang w:val="sq-AL"/>
        </w:rPr>
      </w:pPr>
      <w:r w:rsidRPr="00D7447D">
        <w:rPr>
          <w:rFonts w:ascii="Times New Roman" w:hAnsi="Times New Roman" w:cs="Times New Roman"/>
          <w:noProof/>
          <w:sz w:val="24"/>
          <w:szCs w:val="24"/>
        </w:rPr>
        <w:drawing>
          <wp:inline distT="0" distB="0" distL="0" distR="0" wp14:anchorId="05B59546" wp14:editId="222C46F8">
            <wp:extent cx="5905500" cy="17240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5500" cy="1724025"/>
                    </a:xfrm>
                    <a:prstGeom prst="rect">
                      <a:avLst/>
                    </a:prstGeom>
                    <a:noFill/>
                    <a:ln>
                      <a:noFill/>
                    </a:ln>
                  </pic:spPr>
                </pic:pic>
              </a:graphicData>
            </a:graphic>
          </wp:inline>
        </w:drawing>
      </w:r>
    </w:p>
    <w:p w14:paraId="62810539" w14:textId="77777777" w:rsidR="00BD7309" w:rsidRPr="00D7447D" w:rsidRDefault="00BD7309" w:rsidP="000B3CCC">
      <w:pPr>
        <w:spacing w:before="120" w:after="120" w:line="276" w:lineRule="auto"/>
        <w:jc w:val="center"/>
        <w:rPr>
          <w:rFonts w:ascii="Times New Roman" w:eastAsia="Times New Roman" w:hAnsi="Times New Roman" w:cs="Times New Roman"/>
          <w:noProof/>
          <w:sz w:val="24"/>
          <w:szCs w:val="24"/>
          <w:lang w:val="sq-AL"/>
        </w:rPr>
      </w:pPr>
    </w:p>
    <w:p w14:paraId="0AB252CF" w14:textId="77777777" w:rsidR="00BD7309" w:rsidRPr="00D7447D" w:rsidRDefault="00BD7309" w:rsidP="000B3CCC">
      <w:pPr>
        <w:pStyle w:val="Heading3"/>
        <w:numPr>
          <w:ilvl w:val="1"/>
          <w:numId w:val="45"/>
        </w:numPr>
        <w:spacing w:line="276" w:lineRule="auto"/>
        <w:rPr>
          <w:rFonts w:ascii="Times New Roman" w:hAnsi="Times New Roman" w:cs="Times New Roman"/>
          <w:b/>
          <w:color w:val="auto"/>
          <w:lang w:val="sq-AL"/>
        </w:rPr>
      </w:pPr>
      <w:r w:rsidRPr="00D7447D">
        <w:rPr>
          <w:rFonts w:ascii="Times New Roman" w:hAnsi="Times New Roman" w:cs="Times New Roman"/>
          <w:b/>
          <w:color w:val="auto"/>
          <w:lang w:val="sq-AL"/>
        </w:rPr>
        <w:t xml:space="preserve"> Prioritetet e sektorit për periudhën 2023-2025</w:t>
      </w:r>
    </w:p>
    <w:p w14:paraId="761F8AFD" w14:textId="77777777" w:rsidR="00BD7309" w:rsidRPr="00D7447D" w:rsidRDefault="00BD7309" w:rsidP="000B3CCC">
      <w:pPr>
        <w:spacing w:before="120" w:after="120" w:line="276" w:lineRule="auto"/>
        <w:ind w:left="446"/>
        <w:contextualSpacing/>
        <w:jc w:val="both"/>
        <w:rPr>
          <w:rFonts w:ascii="Times New Roman" w:eastAsia="Times New Roman" w:hAnsi="Times New Roman" w:cs="Times New Roman"/>
          <w:b/>
          <w:sz w:val="24"/>
          <w:szCs w:val="24"/>
          <w:lang w:val="sq-AL"/>
        </w:rPr>
      </w:pPr>
    </w:p>
    <w:p w14:paraId="33240A2A" w14:textId="77777777" w:rsidR="00BD7309" w:rsidRPr="00D7447D" w:rsidRDefault="00BD7309" w:rsidP="000B3CCC">
      <w:pPr>
        <w:spacing w:before="120" w:after="120" w:line="276" w:lineRule="auto"/>
        <w:ind w:left="446"/>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Prioritetet e sektorit të bujqësisë, për periudhën afatmesme 2023-2025, janë si më poshtë: </w:t>
      </w:r>
    </w:p>
    <w:p w14:paraId="08A6C9A6"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Garantimi i sigurisë ushqimore, shëndetit dhe mirëqenies së kafshëve, dhe shëndetit të bimëve përmes adoptimit të standardeve përkatëse të BE-së në kuadrin normativ vendas;</w:t>
      </w:r>
    </w:p>
    <w:p w14:paraId="0192975C"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Konsolidimi i pronësisë mbi tokën bujqësore, administrimi i qëndrueshëm, ruajtja e saj nga dëmtimi, gërryerja, shpërdorimi dhe faktorë të tjerë;</w:t>
      </w:r>
    </w:p>
    <w:p w14:paraId="6FC564C8"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Nxitja e tregut të tokës dhe konsolidimi i fermës bujqësore duke rritur sipërfaqen dhe nxitur kooperimin;</w:t>
      </w:r>
    </w:p>
    <w:p w14:paraId="02B84DFD"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Mbështjetje për agroindustrinë;</w:t>
      </w:r>
    </w:p>
    <w:p w14:paraId="73948F31"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Mbështjetje për tregjet dhe marketingun e produkteve bujqësore dhe blegtorale;</w:t>
      </w:r>
    </w:p>
    <w:p w14:paraId="2546320E"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Administrimi i sistemit të ujitjes nëpërmjet kujdesit, sigurimit dhe administrimit të qëndrueshëm të sistemit të ujitjes dhe shmangia e përmbytjeve;</w:t>
      </w:r>
    </w:p>
    <w:p w14:paraId="10FB192F"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Mbështetje financiare dhe asistencë teknike për fermerët.</w:t>
      </w:r>
    </w:p>
    <w:p w14:paraId="0C01C83D" w14:textId="77777777" w:rsidR="00BD7309" w:rsidRPr="00D7447D" w:rsidRDefault="00BD7309" w:rsidP="000B3CCC">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 xml:space="preserve">Zhvillimin e qëndrueshëm të sektorit të peshkimit dhe akuakulturës, shfrytëzimin e përgjegjshëm të </w:t>
      </w:r>
      <w:r w:rsidRPr="00D7447D">
        <w:rPr>
          <w:rFonts w:ascii="Times New Roman" w:eastAsia="Times New Roman" w:hAnsi="Times New Roman" w:cs="Times New Roman"/>
          <w:sz w:val="24"/>
          <w:szCs w:val="24"/>
          <w:lang w:val="sq-AL"/>
        </w:rPr>
        <w:t>burimeve peshkore dhe</w:t>
      </w:r>
      <w:r w:rsidRPr="00D7447D">
        <w:rPr>
          <w:rFonts w:ascii="Times New Roman" w:eastAsia="Times New Roman" w:hAnsi="Times New Roman" w:cs="Times New Roman"/>
          <w:sz w:val="24"/>
          <w:szCs w:val="24"/>
        </w:rPr>
        <w:t xml:space="preserve"> kapaciteteve të flotës së peshkimit si dhe ngritjen e një sistemi kontrolli dhe inspektimi për peshkimin në det, në tokë dhe në të gjithë zinxhirin e tregut.</w:t>
      </w:r>
    </w:p>
    <w:p w14:paraId="3B6B8D6C" w14:textId="77777777" w:rsidR="00BD7309" w:rsidRPr="00D7447D" w:rsidRDefault="00BD7309" w:rsidP="000B3CCC">
      <w:pPr>
        <w:spacing w:before="120" w:after="120" w:line="276" w:lineRule="auto"/>
        <w:jc w:val="both"/>
        <w:textAlignment w:val="bottom"/>
        <w:rPr>
          <w:rFonts w:ascii="Times New Roman" w:eastAsia="Times New Roman" w:hAnsi="Times New Roman" w:cs="Times New Roman"/>
          <w:noProof/>
          <w:sz w:val="24"/>
          <w:szCs w:val="24"/>
          <w:lang w:val="sq-AL"/>
        </w:rPr>
      </w:pPr>
      <w:r w:rsidRPr="00D7447D">
        <w:rPr>
          <w:rFonts w:ascii="Times New Roman" w:eastAsia="Times New Roman" w:hAnsi="Times New Roman" w:cs="Times New Roman"/>
          <w:noProof/>
          <w:sz w:val="24"/>
          <w:szCs w:val="24"/>
          <w:lang w:val="sq-AL"/>
        </w:rPr>
        <w:t>Në tabelën e mëposhtëm paraqitet shpenzimet e Ministrisë së Bujqësisë dhe Zhvillimit Rural sipas programeve buxhetore dhe sipas artikujve ekonomikë:</w:t>
      </w:r>
    </w:p>
    <w:p w14:paraId="281D4A18" w14:textId="77777777" w:rsidR="00BD7309" w:rsidRPr="00D7447D" w:rsidRDefault="00BD7309" w:rsidP="000B3CCC">
      <w:pPr>
        <w:spacing w:before="120" w:after="120" w:line="276" w:lineRule="auto"/>
        <w:contextualSpacing/>
        <w:jc w:val="both"/>
        <w:textAlignment w:val="bottom"/>
        <w:rPr>
          <w:rFonts w:ascii="Times New Roman" w:eastAsia="Times New Roman" w:hAnsi="Times New Roman" w:cs="Times New Roman"/>
          <w:b/>
          <w:noProof/>
          <w:sz w:val="24"/>
          <w:szCs w:val="24"/>
          <w:lang w:val="sq-AL"/>
        </w:rPr>
      </w:pPr>
    </w:p>
    <w:p w14:paraId="06B036BD" w14:textId="77777777" w:rsidR="00BD7309" w:rsidRPr="00D7447D" w:rsidRDefault="00BD7309" w:rsidP="000B3CCC">
      <w:pPr>
        <w:spacing w:before="120" w:after="120" w:line="276" w:lineRule="auto"/>
        <w:contextualSpacing/>
        <w:jc w:val="both"/>
        <w:textAlignment w:val="bottom"/>
        <w:rPr>
          <w:rFonts w:ascii="Times New Roman" w:eastAsia="Times New Roman" w:hAnsi="Times New Roman" w:cs="Times New Roman"/>
          <w:noProof/>
          <w:sz w:val="24"/>
          <w:szCs w:val="24"/>
          <w:lang w:val="sq-AL"/>
        </w:rPr>
      </w:pPr>
      <w:r w:rsidRPr="00D7447D">
        <w:rPr>
          <w:rFonts w:ascii="Times New Roman" w:eastAsia="Times New Roman" w:hAnsi="Times New Roman" w:cs="Times New Roman"/>
          <w:b/>
          <w:noProof/>
          <w:sz w:val="24"/>
          <w:szCs w:val="24"/>
          <w:lang w:val="sq-AL"/>
        </w:rPr>
        <w:t xml:space="preserve">Tabela 2: </w:t>
      </w:r>
      <w:r w:rsidRPr="00D7447D">
        <w:rPr>
          <w:rFonts w:ascii="Times New Roman" w:eastAsia="Times New Roman" w:hAnsi="Times New Roman" w:cs="Times New Roman"/>
          <w:noProof/>
          <w:sz w:val="24"/>
          <w:szCs w:val="24"/>
          <w:lang w:val="sq-AL"/>
        </w:rPr>
        <w:t>Shpenzimet e Ministrisë së Bujqësisë dhe Zhvillimit Rural sipas programeve buxhetore dhe sipas artikujve ekonomikë</w:t>
      </w:r>
    </w:p>
    <w:p w14:paraId="3130B718" w14:textId="77777777" w:rsidR="00BD7309" w:rsidRPr="00D7447D" w:rsidRDefault="00BD7309" w:rsidP="000B3CCC">
      <w:pPr>
        <w:spacing w:before="120" w:after="120" w:line="276" w:lineRule="auto"/>
        <w:jc w:val="center"/>
        <w:textAlignment w:val="bottom"/>
        <w:rPr>
          <w:rFonts w:ascii="Times New Roman" w:eastAsia="Times New Roman" w:hAnsi="Times New Roman" w:cs="Times New Roman"/>
          <w:noProof/>
          <w:sz w:val="24"/>
          <w:szCs w:val="24"/>
          <w:lang w:val="sq-AL"/>
        </w:rPr>
      </w:pPr>
      <w:r w:rsidRPr="00D7447D">
        <w:rPr>
          <w:rFonts w:ascii="Times New Roman" w:hAnsi="Times New Roman" w:cs="Times New Roman"/>
          <w:noProof/>
          <w:sz w:val="24"/>
          <w:szCs w:val="24"/>
        </w:rPr>
        <w:lastRenderedPageBreak/>
        <w:drawing>
          <wp:inline distT="0" distB="0" distL="0" distR="0" wp14:anchorId="17AB55D6" wp14:editId="2308BFFF">
            <wp:extent cx="6057900" cy="5048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57900" cy="5048250"/>
                    </a:xfrm>
                    <a:prstGeom prst="rect">
                      <a:avLst/>
                    </a:prstGeom>
                    <a:noFill/>
                    <a:ln>
                      <a:noFill/>
                    </a:ln>
                  </pic:spPr>
                </pic:pic>
              </a:graphicData>
            </a:graphic>
          </wp:inline>
        </w:drawing>
      </w:r>
    </w:p>
    <w:p w14:paraId="34ECE3AB" w14:textId="77777777" w:rsidR="00BD7309" w:rsidRPr="00D7447D" w:rsidRDefault="00BD7309" w:rsidP="000B3CCC">
      <w:pPr>
        <w:spacing w:before="120" w:after="120" w:line="276" w:lineRule="auto"/>
        <w:jc w:val="both"/>
        <w:textAlignment w:val="bottom"/>
        <w:rPr>
          <w:rFonts w:ascii="Times New Roman" w:eastAsia="Times New Roman" w:hAnsi="Times New Roman" w:cs="Times New Roman"/>
          <w:noProof/>
          <w:sz w:val="24"/>
          <w:szCs w:val="24"/>
          <w:lang w:val="sq-AL"/>
        </w:rPr>
      </w:pPr>
    </w:p>
    <w:p w14:paraId="7EE6E9B0" w14:textId="77777777" w:rsidR="00BD7309" w:rsidRPr="00D7447D" w:rsidRDefault="00BD7309" w:rsidP="000B3CCC">
      <w:pPr>
        <w:pStyle w:val="Heading3"/>
        <w:numPr>
          <w:ilvl w:val="1"/>
          <w:numId w:val="45"/>
        </w:numPr>
        <w:spacing w:line="276" w:lineRule="auto"/>
        <w:rPr>
          <w:rFonts w:ascii="Times New Roman" w:eastAsia="Calibri" w:hAnsi="Times New Roman" w:cs="Times New Roman"/>
          <w:b/>
          <w:color w:val="auto"/>
          <w:lang w:val="sq-AL"/>
        </w:rPr>
      </w:pPr>
      <w:r w:rsidRPr="00D7447D">
        <w:rPr>
          <w:rFonts w:ascii="Times New Roman" w:eastAsia="Calibri" w:hAnsi="Times New Roman" w:cs="Times New Roman"/>
          <w:b/>
          <w:color w:val="auto"/>
          <w:lang w:val="sq-AL"/>
        </w:rPr>
        <w:t>Përmbledhje e Treguesve Kyç të Performancës</w:t>
      </w:r>
    </w:p>
    <w:p w14:paraId="7BA00B95" w14:textId="77777777" w:rsidR="00BD7309" w:rsidRPr="00D7447D" w:rsidRDefault="00BD7309" w:rsidP="000B3CCC">
      <w:pPr>
        <w:spacing w:before="120" w:after="12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Në fushën e “Infrastrukturës së Ujitjes dhe Kullimit”, synohet të realizohet:</w:t>
      </w:r>
    </w:p>
    <w:p w14:paraId="45E93CB4" w14:textId="77777777" w:rsidR="00BD7309" w:rsidRPr="00D7447D" w:rsidRDefault="00BD7309" w:rsidP="000B3CCC">
      <w:pPr>
        <w:numPr>
          <w:ilvl w:val="0"/>
          <w:numId w:val="8"/>
        </w:numPr>
        <w:spacing w:before="120" w:after="12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Rritja e % së fermerëve që përfitojnë nga përmirësimi i infrastrukturës ujitëse dhe kulluese ndaj totalit të fermërëve në sipërfaqen potencialisht të ujitshme nga 72.2% në vitin 2022, në 75% në vitin 2025;</w:t>
      </w:r>
    </w:p>
    <w:p w14:paraId="1FCA9CAF" w14:textId="77777777" w:rsidR="00BD7309" w:rsidRPr="00D7447D" w:rsidRDefault="00BD7309" w:rsidP="000B3CCC">
      <w:pPr>
        <w:numPr>
          <w:ilvl w:val="0"/>
          <w:numId w:val="8"/>
        </w:numPr>
        <w:spacing w:before="120" w:after="12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Përqindja e sipërfaqes ujitëse ku fermerët kanë akses për ujë për ujitje, kundrejt sipërfaqes potencialisht të ujitshme (360 000 ha) nga 72.2% në vitin 2022, në 75% në vitin 2025;</w:t>
      </w:r>
    </w:p>
    <w:p w14:paraId="3AE9B081" w14:textId="77777777" w:rsidR="00BD7309" w:rsidRPr="00D7447D" w:rsidRDefault="00BD7309" w:rsidP="000B3CCC">
      <w:pPr>
        <w:numPr>
          <w:ilvl w:val="0"/>
          <w:numId w:val="8"/>
        </w:numPr>
        <w:spacing w:before="120" w:after="12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Përqindja e hidrovoreve të rehabilituara/ndërtuara/rikonstruktuara, kundrejt totalit të nevojshëm (14 hidrovorë) nga 57% në vitin 2022, në 64% në vitin 2023, në 68% në vitin 2024 dhe në 72% në vitin 2025;</w:t>
      </w:r>
    </w:p>
    <w:p w14:paraId="322510EB" w14:textId="77777777" w:rsidR="00BD7309" w:rsidRPr="00D7447D" w:rsidRDefault="00BD7309" w:rsidP="000B3CCC">
      <w:pPr>
        <w:numPr>
          <w:ilvl w:val="0"/>
          <w:numId w:val="8"/>
        </w:numPr>
        <w:spacing w:before="120" w:after="12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35 000 hektarë sipërfaqe ujitëse me infrastrukturë kryesore të përmirësuar/mirëmbajtur (si proces ciklik vjetor ne ha);</w:t>
      </w:r>
    </w:p>
    <w:p w14:paraId="5306C8DC" w14:textId="77777777" w:rsidR="00BD7309" w:rsidRPr="00D7447D" w:rsidRDefault="00BD7309" w:rsidP="000B3CCC">
      <w:pPr>
        <w:numPr>
          <w:ilvl w:val="0"/>
          <w:numId w:val="8"/>
        </w:numPr>
        <w:spacing w:before="120" w:after="120"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lastRenderedPageBreak/>
        <w:t>Vepra të mbrojtjes nga përmbytja të rehabilituara/ndërtuara (argjinatura gjatësore dhe penele tërthorë), kundrejt totalit të nevojshëm (300 km) nga 35% në 39% në vitin 2025.</w:t>
      </w:r>
    </w:p>
    <w:p w14:paraId="46547052" w14:textId="77777777" w:rsidR="00BD7309" w:rsidRPr="00D7447D" w:rsidRDefault="00BD7309" w:rsidP="000B3CCC">
      <w:p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Programi </w:t>
      </w:r>
      <w:r w:rsidRPr="00D7447D">
        <w:rPr>
          <w:rFonts w:ascii="Times New Roman" w:eastAsia="Arial" w:hAnsi="Times New Roman" w:cs="Times New Roman"/>
          <w:i/>
          <w:sz w:val="24"/>
          <w:szCs w:val="24"/>
          <w:lang w:val="sq-AL" w:eastAsia="en-GB"/>
        </w:rPr>
        <w:t>“Zhvillimi Rural duke mbështetur Prodhimin Bujqësor, Blegtoral, Agroindustrial dhe Marketingun”</w:t>
      </w:r>
      <w:r w:rsidRPr="00D7447D">
        <w:rPr>
          <w:rFonts w:ascii="Times New Roman" w:eastAsia="Arial" w:hAnsi="Times New Roman" w:cs="Times New Roman"/>
          <w:sz w:val="24"/>
          <w:szCs w:val="24"/>
          <w:lang w:val="sq-AL" w:eastAsia="en-GB"/>
        </w:rPr>
        <w:t xml:space="preserve"> synon:</w:t>
      </w:r>
    </w:p>
    <w:p w14:paraId="3065CFCF" w14:textId="77777777" w:rsidR="00BD7309" w:rsidRPr="00D7447D" w:rsidRDefault="00BD7309"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Zhvillimi i sektorit të bujqësisë dhe atij rural në Shqipëri, për të përmirësuar performancën e tyre ekonomike dhe kushtet e jetesës në zonat rurale, për t'i përgatitur këta sektorë për anëtarësimin e ardhshëm në BE, duke rritur:</w:t>
      </w:r>
    </w:p>
    <w:p w14:paraId="4CE1FFC1" w14:textId="77777777" w:rsidR="00BD7309" w:rsidRPr="00D7447D" w:rsidRDefault="00BD7309" w:rsidP="000B3CCC">
      <w:pPr>
        <w:numPr>
          <w:ilvl w:val="1"/>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Numrin e të punësuarëve në bujqësi dhe agropërpunim (nga 549.470 të punësuar të parashikuar në vitin 2023 në 565.954 të punësuar në vitin 2043).</w:t>
      </w:r>
    </w:p>
    <w:p w14:paraId="151D7ADD" w14:textId="77777777" w:rsidR="00BD7309" w:rsidRPr="00D7447D" w:rsidRDefault="00BD7309" w:rsidP="000B3CCC">
      <w:pPr>
        <w:numPr>
          <w:ilvl w:val="1"/>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Aktivitetet promovuese të produkteve shqiptare në bujqësi, blegtori dhe agropërpunim.</w:t>
      </w:r>
    </w:p>
    <w:p w14:paraId="26FF2B68" w14:textId="77777777" w:rsidR="00BD7309" w:rsidRPr="00D7447D" w:rsidRDefault="00BD7309" w:rsidP="000B3CCC">
      <w:pPr>
        <w:numPr>
          <w:ilvl w:val="1"/>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Rritja e volumit të eksportit të produkteve bujqësore dhe të agropërpunimit nga 47.4 miliardë lekë në vitin 2023 në 50.7 miliardë lekë në vitin 2024.</w:t>
      </w:r>
    </w:p>
    <w:p w14:paraId="2630F453" w14:textId="77777777" w:rsidR="00BD7309" w:rsidRPr="00D7447D" w:rsidRDefault="00BD7309"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Përmirësimi i konkurrueshmërisë së bujqësisë dhe industrisë agro-ushqimore si dhe përmirësimi i cilësisë së jetës përmes nxitjes së shumëllojshmërisë së veprimtarive ekonomike në zonat rurale, nëpërmjet: </w:t>
      </w:r>
    </w:p>
    <w:p w14:paraId="3F19C8D4" w14:textId="77777777" w:rsidR="00BD7309" w:rsidRPr="00D7447D" w:rsidRDefault="00BD7309" w:rsidP="000B3CCC">
      <w:pPr>
        <w:numPr>
          <w:ilvl w:val="1"/>
          <w:numId w:val="8"/>
        </w:numPr>
        <w:spacing w:before="120" w:after="120" w:line="276" w:lineRule="auto"/>
        <w:contextualSpacing/>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Shtimit të numrit të përfituesëve nga Skemat Kombëtare në bujqësi nga 4800 përfitues në vitin 2022, 5000 përfitues në vitin 2023, 5500 përfitues në vitin 2024 dhe 6000 përfitues në vitin 2025, dhe mbështetjes së 260 përfituesëve nga Programi IPARD II për 2023. Si dhe rritja e numrit të përfituesve nga Skema e Subvensionit të naftës për bujqesinë nga 17.500 përfitues në vitin 2022 në 18.500 përfitues në vitin 2025.</w:t>
      </w:r>
    </w:p>
    <w:p w14:paraId="5B3A3B17" w14:textId="77777777" w:rsidR="00BD7309" w:rsidRPr="00D7447D" w:rsidRDefault="00BD7309" w:rsidP="000B3CCC">
      <w:pPr>
        <w:spacing w:before="120" w:after="120" w:line="276" w:lineRule="auto"/>
        <w:ind w:left="1440"/>
        <w:contextualSpacing/>
        <w:jc w:val="both"/>
        <w:rPr>
          <w:rFonts w:ascii="Times New Roman" w:eastAsia="Arial" w:hAnsi="Times New Roman" w:cs="Times New Roman"/>
          <w:sz w:val="24"/>
          <w:szCs w:val="24"/>
          <w:lang w:val="sq-AL" w:eastAsia="en-GB"/>
        </w:rPr>
      </w:pPr>
    </w:p>
    <w:p w14:paraId="63F9C588" w14:textId="77777777" w:rsidR="00BD7309" w:rsidRPr="00D7447D" w:rsidRDefault="00BD7309" w:rsidP="000B3CCC">
      <w:pPr>
        <w:numPr>
          <w:ilvl w:val="1"/>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Rritjes së numrit të çertifikimeve dhe testimeve të farave dhe fidanëve që hidhen në treg, për të siguruar inpute cilësore për bujqësinë në tregun shqiptar.</w:t>
      </w:r>
    </w:p>
    <w:p w14:paraId="001BECFE" w14:textId="77777777" w:rsidR="00BD7309" w:rsidRPr="00D7447D" w:rsidRDefault="00BD7309" w:rsidP="000B3CCC">
      <w:pPr>
        <w:spacing w:before="120" w:after="120" w:line="276" w:lineRule="auto"/>
        <w:jc w:val="both"/>
        <w:rPr>
          <w:rFonts w:ascii="Times New Roman" w:eastAsia="Arial" w:hAnsi="Times New Roman" w:cs="Times New Roman"/>
          <w:sz w:val="24"/>
          <w:szCs w:val="24"/>
          <w:lang w:val="sq-AL" w:eastAsia="en-GB"/>
        </w:rPr>
      </w:pPr>
    </w:p>
    <w:p w14:paraId="4A5F860B" w14:textId="77777777" w:rsidR="00BD7309" w:rsidRPr="00D7447D" w:rsidRDefault="00BD7309" w:rsidP="000B3CCC">
      <w:p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Nëpërmjet programit </w:t>
      </w:r>
      <w:r w:rsidRPr="00D7447D">
        <w:rPr>
          <w:rFonts w:ascii="Times New Roman" w:eastAsia="Arial" w:hAnsi="Times New Roman" w:cs="Times New Roman"/>
          <w:i/>
          <w:sz w:val="24"/>
          <w:szCs w:val="24"/>
          <w:lang w:val="sq-AL" w:eastAsia="en-GB"/>
        </w:rPr>
        <w:t>“Siguria Ushqimore dhe Mbrojtja e Konsumatorit”</w:t>
      </w:r>
      <w:r w:rsidRPr="00D7447D">
        <w:rPr>
          <w:rFonts w:ascii="Times New Roman" w:eastAsia="Arial" w:hAnsi="Times New Roman" w:cs="Times New Roman"/>
          <w:sz w:val="24"/>
          <w:szCs w:val="24"/>
          <w:lang w:val="sq-AL" w:eastAsia="en-GB"/>
        </w:rPr>
        <w:t xml:space="preserve"> synohet fuqizimi i sistemit të kontrollit dhe inspektimit, duke përfshirë të gjithë zinxhirin ushqimor nga ferma në tavolinë nëpërmjet:</w:t>
      </w:r>
    </w:p>
    <w:p w14:paraId="4DA62F8F" w14:textId="77777777" w:rsidR="00BD7309" w:rsidRPr="00D7447D" w:rsidRDefault="00BD7309" w:rsidP="000B3CCC">
      <w:pPr>
        <w:pStyle w:val="ListParagraph"/>
        <w:numPr>
          <w:ilvl w:val="0"/>
          <w:numId w:val="23"/>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Kontrolleve dhe monitorimeve të sëmundjeve infektive dhe zoonotike në kafshët e gjalla duke ulur në këtë mënyrë numrin e kafshëve të prekura nga Bruceloza, nga plasja dhe nga tuberkulozi.</w:t>
      </w:r>
    </w:p>
    <w:p w14:paraId="7B7B67D3" w14:textId="77777777" w:rsidR="00BD7309" w:rsidRPr="00D7447D" w:rsidRDefault="00BD7309" w:rsidP="000B3CCC">
      <w:pPr>
        <w:numPr>
          <w:ilvl w:val="1"/>
          <w:numId w:val="8"/>
        </w:numPr>
        <w:spacing w:before="120" w:after="120" w:line="276" w:lineRule="auto"/>
        <w:ind w:left="720" w:hanging="270"/>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14:paraId="484AF28D" w14:textId="77777777" w:rsidR="00BD7309" w:rsidRPr="00D7447D" w:rsidRDefault="00BD7309" w:rsidP="000B3CCC">
      <w:pPr>
        <w:numPr>
          <w:ilvl w:val="1"/>
          <w:numId w:val="8"/>
        </w:numPr>
        <w:spacing w:before="120" w:after="120" w:line="276" w:lineRule="auto"/>
        <w:contextualSpacing/>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Vaksinimit të rreth 930 mijë kafshëve në vitin 2022 dhe 927 mijë në vitin 2024.</w:t>
      </w:r>
    </w:p>
    <w:p w14:paraId="7E47F073" w14:textId="77777777" w:rsidR="00BD7309" w:rsidRPr="00D7447D" w:rsidRDefault="00BD7309" w:rsidP="000B3CCC">
      <w:pPr>
        <w:numPr>
          <w:ilvl w:val="1"/>
          <w:numId w:val="8"/>
        </w:numPr>
        <w:spacing w:before="120" w:after="120" w:line="276" w:lineRule="auto"/>
        <w:contextualSpacing/>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lastRenderedPageBreak/>
        <w:t xml:space="preserve">Kryerjes së rreth 310 mijë gjurmimeve dhe kontrolleve tek kafshët përgjatë viteve 2022-2023, dhe kryerjes përkatësisht 315 mijë dhe 317 mijë testimeve në vitet 2024-2025. </w:t>
      </w:r>
    </w:p>
    <w:p w14:paraId="28E054D4" w14:textId="77777777" w:rsidR="00BD7309" w:rsidRPr="00D7447D" w:rsidRDefault="00BD7309" w:rsidP="000B3CCC">
      <w:pPr>
        <w:spacing w:before="120" w:after="120" w:line="276" w:lineRule="auto"/>
        <w:contextualSpacing/>
        <w:jc w:val="both"/>
        <w:rPr>
          <w:rFonts w:ascii="Times New Roman" w:eastAsia="Arial" w:hAnsi="Times New Roman" w:cs="Times New Roman"/>
          <w:sz w:val="24"/>
          <w:szCs w:val="24"/>
          <w:lang w:val="sq-AL" w:eastAsia="en-GB"/>
        </w:rPr>
      </w:pPr>
    </w:p>
    <w:p w14:paraId="412315F8" w14:textId="77777777" w:rsidR="00BD7309" w:rsidRPr="00D7447D" w:rsidRDefault="00BD7309"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Rritja e munrit të çertifikatave të unifikuara për eksport nga 40 në vitin 2022 në 65 në vitin 2025.</w:t>
      </w:r>
    </w:p>
    <w:p w14:paraId="7A0E9379" w14:textId="77777777" w:rsidR="00BD7309" w:rsidRPr="00D7447D" w:rsidRDefault="00BD7309"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Rritjes së numrit të operatorëve që aplikojnë standardet HACCP në sigurinë ushqimore nga 1200 në vitin 2022 në 1400 në vitin 2025.</w:t>
      </w:r>
    </w:p>
    <w:p w14:paraId="1C3C74A2" w14:textId="77777777" w:rsidR="00BD7309" w:rsidRPr="00D7447D" w:rsidRDefault="00BD7309" w:rsidP="000B3CCC">
      <w:pPr>
        <w:pStyle w:val="ListParagraph"/>
        <w:numPr>
          <w:ilvl w:val="0"/>
          <w:numId w:val="8"/>
        </w:numPr>
        <w:spacing w:after="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Uljes së numrit të sëmundshmërisë së njerëzve nga kafshët si pasojë e realizimit në kohë e vaksinimit të kafshëve nga 60 në vitin 2022 në 50 në vitin 2025. </w:t>
      </w:r>
    </w:p>
    <w:p w14:paraId="56531F13" w14:textId="77777777" w:rsidR="00BD7309" w:rsidRPr="00D7447D" w:rsidRDefault="00BD7309"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Uljes së numrit të jokonformiteteve të konstatuara nga 6600 në vitin 2022 në 6400 në vitin 2025.</w:t>
      </w:r>
    </w:p>
    <w:p w14:paraId="4DDC0CE5" w14:textId="77777777" w:rsidR="00BD7309" w:rsidRPr="00D7447D" w:rsidRDefault="00BD7309"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Uljes së numrit të kafshëve të prekura nga Bruceloza, plasja, turbekulozi dhe LSD.</w:t>
      </w:r>
    </w:p>
    <w:p w14:paraId="0DE783BD" w14:textId="77777777" w:rsidR="00BD7309" w:rsidRPr="00D7447D" w:rsidRDefault="00BD7309" w:rsidP="000B3CCC">
      <w:pPr>
        <w:numPr>
          <w:ilvl w:val="0"/>
          <w:numId w:val="8"/>
        </w:num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Rritjes së numrit dhe cilësisë së inspektimeve; uljes së numrit të gjobave të vendosura nga inspektimet në terren (nga 550 në vitet 2022-2023 dhe në 400 në vitet 2024-2025), uljes së numrit të bizneseve të mbyllura për mosplotësimin e kushteve të sigurisë ushqimore (nga 280 në vitin 2022, në 200 në vitin 2025), uljes së numrit të rasteve të produkteve ushqimore të të asgjesuara (nga 60 në vitin 2022, në 50 në vitin 2025) si pasojë e politikave të ndërmarra nga MBZHR.</w:t>
      </w:r>
    </w:p>
    <w:p w14:paraId="0B9B74B5" w14:textId="77777777" w:rsidR="00E03BBD" w:rsidRPr="00D7447D" w:rsidRDefault="00E03BBD" w:rsidP="000B3CCC">
      <w:pPr>
        <w:spacing w:line="276" w:lineRule="auto"/>
        <w:rPr>
          <w:rFonts w:ascii="Times New Roman" w:hAnsi="Times New Roman" w:cs="Times New Roman"/>
          <w:sz w:val="24"/>
          <w:szCs w:val="24"/>
          <w:lang w:eastAsia="sq-AL"/>
        </w:rPr>
      </w:pPr>
    </w:p>
    <w:p w14:paraId="65D8FE1F" w14:textId="77777777" w:rsidR="005C439F" w:rsidRPr="00D7447D" w:rsidRDefault="00557B05" w:rsidP="000B3CCC">
      <w:pPr>
        <w:pStyle w:val="Heading2"/>
        <w:spacing w:line="276" w:lineRule="auto"/>
        <w:rPr>
          <w:rFonts w:ascii="Times New Roman" w:eastAsia="Calibri" w:hAnsi="Times New Roman" w:cs="Times New Roman"/>
          <w:i w:val="0"/>
          <w:sz w:val="24"/>
          <w:szCs w:val="24"/>
        </w:rPr>
      </w:pPr>
      <w:bookmarkStart w:id="24" w:name="_Toc516537"/>
      <w:bookmarkStart w:id="25" w:name="_Toc115701045"/>
      <w:r w:rsidRPr="00D7447D">
        <w:rPr>
          <w:rFonts w:ascii="Times New Roman" w:eastAsia="Calibri" w:hAnsi="Times New Roman" w:cs="Times New Roman"/>
          <w:i w:val="0"/>
          <w:sz w:val="24"/>
          <w:szCs w:val="24"/>
        </w:rPr>
        <w:t>MINISTRIA E DREJTËSISË</w:t>
      </w:r>
      <w:bookmarkEnd w:id="24"/>
      <w:bookmarkEnd w:id="25"/>
    </w:p>
    <w:p w14:paraId="59FFF976" w14:textId="77777777" w:rsidR="009E526F" w:rsidRPr="00D7447D" w:rsidRDefault="009E526F" w:rsidP="000B3CCC">
      <w:p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Ministria e Drejtësisë, në përputhje me Kushtetutën dhe ligjet, ushtron funksione dhe ka në kompetencë hartimin dhe ndjekjen e politikave, përgatitjen e akteve ligjore dhe nënligjore, si dhe ushtrimin e shërbimeve të nevojshme lidhur me sistemin gjyqësor, sistemin e ekzekutimit të vendimeve penale dhe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14:paraId="4C1218FB" w14:textId="77777777" w:rsidR="009E526F" w:rsidRPr="00D7447D" w:rsidRDefault="009E526F" w:rsidP="000B3CCC">
      <w:pPr>
        <w:spacing w:after="20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Për periudhën 2023-2025, Ministria e Drejtësisë do të përmbushë objektivat e synuar përmes fondeve buxhetore të alokuara sipas tabelës së mëposhtme. </w:t>
      </w:r>
    </w:p>
    <w:p w14:paraId="6D552B59" w14:textId="77777777" w:rsidR="009E526F" w:rsidRPr="00D7447D" w:rsidRDefault="009E526F" w:rsidP="000B3CCC">
      <w:pPr>
        <w:spacing w:after="200" w:line="276" w:lineRule="auto"/>
        <w:contextualSpacing/>
        <w:jc w:val="both"/>
        <w:rPr>
          <w:rFonts w:ascii="Times New Roman" w:eastAsia="Arial" w:hAnsi="Times New Roman" w:cs="Times New Roman"/>
          <w:b/>
          <w:sz w:val="24"/>
          <w:szCs w:val="24"/>
          <w:lang w:val="sq-AL" w:eastAsia="en-GB"/>
        </w:rPr>
      </w:pPr>
      <w:r w:rsidRPr="00D7447D">
        <w:rPr>
          <w:rFonts w:ascii="Times New Roman" w:eastAsia="Arial" w:hAnsi="Times New Roman" w:cs="Times New Roman"/>
          <w:b/>
          <w:sz w:val="24"/>
          <w:szCs w:val="24"/>
          <w:lang w:val="sq-AL" w:eastAsia="en-GB"/>
        </w:rPr>
        <w:t xml:space="preserve">Tabela 13: </w:t>
      </w:r>
      <w:r w:rsidRPr="00D7447D">
        <w:rPr>
          <w:rFonts w:ascii="Times New Roman" w:eastAsia="Times New Roman" w:hAnsi="Times New Roman" w:cs="Times New Roman"/>
          <w:sz w:val="24"/>
          <w:szCs w:val="24"/>
          <w:lang w:val="sq-AL"/>
        </w:rPr>
        <w:t>Shpenzimet për Sektorin e Drejtësisë dhe Ministrinë e Drejtësisë për PBA 2023-2025</w:t>
      </w:r>
    </w:p>
    <w:tbl>
      <w:tblPr>
        <w:tblStyle w:val="GridTable5Dark-Accent1211"/>
        <w:tblW w:w="9603" w:type="dxa"/>
        <w:tblLook w:val="04A0" w:firstRow="1" w:lastRow="0" w:firstColumn="1" w:lastColumn="0" w:noHBand="0" w:noVBand="1"/>
      </w:tblPr>
      <w:tblGrid>
        <w:gridCol w:w="3823"/>
        <w:gridCol w:w="1595"/>
        <w:gridCol w:w="1394"/>
        <w:gridCol w:w="1394"/>
        <w:gridCol w:w="1397"/>
      </w:tblGrid>
      <w:tr w:rsidR="009E526F" w:rsidRPr="00D7447D" w14:paraId="296DA205" w14:textId="77777777" w:rsidTr="006038DB">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603" w:type="dxa"/>
            <w:gridSpan w:val="5"/>
            <w:hideMark/>
          </w:tcPr>
          <w:p w14:paraId="776CF12F" w14:textId="77777777" w:rsidR="009E526F" w:rsidRPr="00D7447D" w:rsidRDefault="009E526F" w:rsidP="000B3CCC">
            <w:pPr>
              <w:spacing w:line="276" w:lineRule="auto"/>
              <w:jc w:val="center"/>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Shpenzimet për Sektorin e Drejtësisë dhe Ministrinë e Drejtësisë për PBA 2023-2025</w:t>
            </w:r>
          </w:p>
        </w:tc>
      </w:tr>
      <w:tr w:rsidR="009E526F" w:rsidRPr="00D7447D" w14:paraId="35D4D13D" w14:textId="77777777" w:rsidTr="006038D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14:paraId="6DED5CBA" w14:textId="77777777" w:rsidR="009E526F" w:rsidRPr="00D7447D" w:rsidRDefault="009E526F" w:rsidP="000B3CCC">
            <w:pPr>
              <w:spacing w:line="276" w:lineRule="auto"/>
              <w:jc w:val="center"/>
              <w:rPr>
                <w:rFonts w:ascii="Times New Roman" w:eastAsia="Times New Roman" w:hAnsi="Times New Roman" w:cs="Times New Roman"/>
                <w:color w:val="000080"/>
                <w:sz w:val="24"/>
                <w:szCs w:val="24"/>
                <w:lang w:val="sq-AL"/>
              </w:rPr>
            </w:pPr>
          </w:p>
        </w:tc>
        <w:tc>
          <w:tcPr>
            <w:tcW w:w="5780" w:type="dxa"/>
            <w:gridSpan w:val="4"/>
            <w:noWrap/>
            <w:hideMark/>
          </w:tcPr>
          <w:p w14:paraId="460B2D47"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sq-AL"/>
              </w:rPr>
            </w:pPr>
            <w:r w:rsidRPr="00D7447D">
              <w:rPr>
                <w:rFonts w:ascii="Times New Roman" w:eastAsia="Times New Roman" w:hAnsi="Times New Roman" w:cs="Times New Roman"/>
                <w:b/>
                <w:bCs/>
                <w:sz w:val="24"/>
                <w:szCs w:val="24"/>
                <w:lang w:val="sq-AL"/>
              </w:rPr>
              <w:t xml:space="preserve">Shpenzimet totale </w:t>
            </w:r>
          </w:p>
        </w:tc>
      </w:tr>
      <w:tr w:rsidR="009E526F" w:rsidRPr="00D7447D" w14:paraId="585392F2" w14:textId="77777777" w:rsidTr="006038DB">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14:paraId="406BDFD6" w14:textId="77777777" w:rsidR="009E526F" w:rsidRPr="00D7447D" w:rsidRDefault="009E526F" w:rsidP="000B3CCC">
            <w:pPr>
              <w:spacing w:line="276" w:lineRule="auto"/>
              <w:rPr>
                <w:rFonts w:ascii="Times New Roman" w:eastAsia="Times New Roman" w:hAnsi="Times New Roman" w:cs="Times New Roman"/>
                <w:color w:val="000080"/>
                <w:sz w:val="24"/>
                <w:szCs w:val="24"/>
                <w:lang w:val="sq-AL"/>
              </w:rPr>
            </w:pPr>
          </w:p>
        </w:tc>
        <w:tc>
          <w:tcPr>
            <w:tcW w:w="1595" w:type="dxa"/>
            <w:noWrap/>
            <w:hideMark/>
          </w:tcPr>
          <w:p w14:paraId="0576E3F2"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sq-AL"/>
              </w:rPr>
            </w:pPr>
            <w:r w:rsidRPr="00D7447D">
              <w:rPr>
                <w:rFonts w:ascii="Times New Roman" w:eastAsia="Times New Roman" w:hAnsi="Times New Roman" w:cs="Times New Roman"/>
                <w:b/>
                <w:bCs/>
                <w:sz w:val="24"/>
                <w:szCs w:val="24"/>
                <w:lang w:val="sq-AL"/>
              </w:rPr>
              <w:t>Buxheti 2022</w:t>
            </w:r>
          </w:p>
        </w:tc>
        <w:tc>
          <w:tcPr>
            <w:tcW w:w="1394" w:type="dxa"/>
            <w:noWrap/>
            <w:hideMark/>
          </w:tcPr>
          <w:p w14:paraId="3D136E2A"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sq-AL"/>
              </w:rPr>
            </w:pPr>
            <w:r w:rsidRPr="00D7447D">
              <w:rPr>
                <w:rFonts w:ascii="Times New Roman" w:eastAsia="Times New Roman" w:hAnsi="Times New Roman" w:cs="Times New Roman"/>
                <w:b/>
                <w:bCs/>
                <w:sz w:val="24"/>
                <w:szCs w:val="24"/>
                <w:lang w:val="sq-AL"/>
              </w:rPr>
              <w:t>PBA 2023</w:t>
            </w:r>
          </w:p>
        </w:tc>
        <w:tc>
          <w:tcPr>
            <w:tcW w:w="1394" w:type="dxa"/>
            <w:noWrap/>
            <w:hideMark/>
          </w:tcPr>
          <w:p w14:paraId="2D762464"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sq-AL"/>
              </w:rPr>
            </w:pPr>
            <w:r w:rsidRPr="00D7447D">
              <w:rPr>
                <w:rFonts w:ascii="Times New Roman" w:eastAsia="Times New Roman" w:hAnsi="Times New Roman" w:cs="Times New Roman"/>
                <w:b/>
                <w:bCs/>
                <w:sz w:val="24"/>
                <w:szCs w:val="24"/>
                <w:lang w:val="sq-AL"/>
              </w:rPr>
              <w:t>PBA 2024</w:t>
            </w:r>
          </w:p>
        </w:tc>
        <w:tc>
          <w:tcPr>
            <w:tcW w:w="1397" w:type="dxa"/>
            <w:noWrap/>
            <w:hideMark/>
          </w:tcPr>
          <w:p w14:paraId="285ECFB8"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sq-AL"/>
              </w:rPr>
            </w:pPr>
            <w:r w:rsidRPr="00D7447D">
              <w:rPr>
                <w:rFonts w:ascii="Times New Roman" w:eastAsia="Times New Roman" w:hAnsi="Times New Roman" w:cs="Times New Roman"/>
                <w:b/>
                <w:bCs/>
                <w:sz w:val="24"/>
                <w:szCs w:val="24"/>
                <w:lang w:val="sq-AL"/>
              </w:rPr>
              <w:t>PBA 2025</w:t>
            </w:r>
          </w:p>
        </w:tc>
      </w:tr>
      <w:tr w:rsidR="009E526F" w:rsidRPr="00D7447D" w14:paraId="6BDF3613" w14:textId="77777777" w:rsidTr="006038D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939243C" w14:textId="77777777" w:rsidR="009E526F" w:rsidRPr="00D7447D" w:rsidRDefault="009E526F" w:rsidP="000B3CCC">
            <w:pPr>
              <w:spacing w:line="276" w:lineRule="auto"/>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Sektori i Drejtësisë   (% ndaj PBB)</w:t>
            </w:r>
          </w:p>
        </w:tc>
        <w:tc>
          <w:tcPr>
            <w:tcW w:w="1595" w:type="dxa"/>
            <w:noWrap/>
            <w:hideMark/>
          </w:tcPr>
          <w:p w14:paraId="402FCEDD"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1,07%</w:t>
            </w:r>
          </w:p>
        </w:tc>
        <w:tc>
          <w:tcPr>
            <w:tcW w:w="1394" w:type="dxa"/>
            <w:noWrap/>
            <w:hideMark/>
          </w:tcPr>
          <w:p w14:paraId="051FCF8D"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1,03%</w:t>
            </w:r>
          </w:p>
        </w:tc>
        <w:tc>
          <w:tcPr>
            <w:tcW w:w="1394" w:type="dxa"/>
            <w:noWrap/>
            <w:hideMark/>
          </w:tcPr>
          <w:p w14:paraId="306A10D7"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1,01%</w:t>
            </w:r>
          </w:p>
        </w:tc>
        <w:tc>
          <w:tcPr>
            <w:tcW w:w="1397" w:type="dxa"/>
            <w:noWrap/>
            <w:hideMark/>
          </w:tcPr>
          <w:p w14:paraId="7014DFEB"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1,03%</w:t>
            </w:r>
          </w:p>
        </w:tc>
      </w:tr>
      <w:tr w:rsidR="009E526F" w:rsidRPr="00D7447D" w14:paraId="200C91D0" w14:textId="77777777" w:rsidTr="006038DB">
        <w:trPr>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D2A72E8" w14:textId="77777777" w:rsidR="009E526F" w:rsidRPr="00D7447D" w:rsidRDefault="009E526F" w:rsidP="000B3CCC">
            <w:pPr>
              <w:spacing w:line="276" w:lineRule="auto"/>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Sektori i Drejtësisë  (në mln lekë)</w:t>
            </w:r>
          </w:p>
        </w:tc>
        <w:tc>
          <w:tcPr>
            <w:tcW w:w="1595" w:type="dxa"/>
            <w:noWrap/>
            <w:hideMark/>
          </w:tcPr>
          <w:p w14:paraId="10871FCD"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19.922</w:t>
            </w:r>
          </w:p>
        </w:tc>
        <w:tc>
          <w:tcPr>
            <w:tcW w:w="1394" w:type="dxa"/>
            <w:noWrap/>
            <w:hideMark/>
          </w:tcPr>
          <w:p w14:paraId="2ADBB625"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20.252</w:t>
            </w:r>
          </w:p>
        </w:tc>
        <w:tc>
          <w:tcPr>
            <w:tcW w:w="1394" w:type="dxa"/>
            <w:noWrap/>
            <w:hideMark/>
          </w:tcPr>
          <w:p w14:paraId="49E76589"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20.881</w:t>
            </w:r>
          </w:p>
        </w:tc>
        <w:tc>
          <w:tcPr>
            <w:tcW w:w="1397" w:type="dxa"/>
            <w:noWrap/>
            <w:hideMark/>
          </w:tcPr>
          <w:p w14:paraId="4D2F062C"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21.382</w:t>
            </w:r>
          </w:p>
        </w:tc>
      </w:tr>
      <w:tr w:rsidR="009E526F" w:rsidRPr="00D7447D" w14:paraId="5360B6F7" w14:textId="77777777" w:rsidTr="006038D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D42AB83" w14:textId="77777777" w:rsidR="009E526F" w:rsidRPr="00D7447D" w:rsidRDefault="009E526F" w:rsidP="000B3CCC">
            <w:pPr>
              <w:spacing w:line="276" w:lineRule="auto"/>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lastRenderedPageBreak/>
              <w:t>Sektori i Drejtësisë (% ndaj buxhetit)</w:t>
            </w:r>
          </w:p>
        </w:tc>
        <w:tc>
          <w:tcPr>
            <w:tcW w:w="1595" w:type="dxa"/>
            <w:noWrap/>
            <w:hideMark/>
          </w:tcPr>
          <w:p w14:paraId="21BA76FD"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3,12%</w:t>
            </w:r>
          </w:p>
        </w:tc>
        <w:tc>
          <w:tcPr>
            <w:tcW w:w="1394" w:type="dxa"/>
            <w:noWrap/>
            <w:hideMark/>
          </w:tcPr>
          <w:p w14:paraId="09739CCF"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3,23%</w:t>
            </w:r>
          </w:p>
        </w:tc>
        <w:tc>
          <w:tcPr>
            <w:tcW w:w="1394" w:type="dxa"/>
            <w:noWrap/>
            <w:hideMark/>
          </w:tcPr>
          <w:p w14:paraId="33535CF5"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3,16%</w:t>
            </w:r>
          </w:p>
        </w:tc>
        <w:tc>
          <w:tcPr>
            <w:tcW w:w="1397" w:type="dxa"/>
            <w:noWrap/>
            <w:hideMark/>
          </w:tcPr>
          <w:p w14:paraId="2021FFD8"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3,24%</w:t>
            </w:r>
          </w:p>
        </w:tc>
      </w:tr>
      <w:tr w:rsidR="009E526F" w:rsidRPr="00D7447D" w14:paraId="3833980D" w14:textId="77777777" w:rsidTr="006038DB">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0581618" w14:textId="77777777" w:rsidR="009E526F" w:rsidRPr="00D7447D" w:rsidRDefault="009E526F" w:rsidP="000B3CCC">
            <w:pPr>
              <w:spacing w:line="276" w:lineRule="auto"/>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Ministria e Drejtësisë  (% ndaj PBB)</w:t>
            </w:r>
          </w:p>
        </w:tc>
        <w:tc>
          <w:tcPr>
            <w:tcW w:w="1595" w:type="dxa"/>
            <w:noWrap/>
            <w:hideMark/>
          </w:tcPr>
          <w:p w14:paraId="0E5473EF"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0,60%</w:t>
            </w:r>
          </w:p>
        </w:tc>
        <w:tc>
          <w:tcPr>
            <w:tcW w:w="1394" w:type="dxa"/>
            <w:noWrap/>
            <w:hideMark/>
          </w:tcPr>
          <w:p w14:paraId="58F049CD"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0,60%</w:t>
            </w:r>
          </w:p>
        </w:tc>
        <w:tc>
          <w:tcPr>
            <w:tcW w:w="1394" w:type="dxa"/>
            <w:noWrap/>
            <w:hideMark/>
          </w:tcPr>
          <w:p w14:paraId="154C1D3C"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0,60%</w:t>
            </w:r>
          </w:p>
        </w:tc>
        <w:tc>
          <w:tcPr>
            <w:tcW w:w="1397" w:type="dxa"/>
            <w:noWrap/>
            <w:hideMark/>
          </w:tcPr>
          <w:p w14:paraId="240A3F85"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0,62%</w:t>
            </w:r>
          </w:p>
        </w:tc>
      </w:tr>
      <w:tr w:rsidR="009E526F" w:rsidRPr="00D7447D" w14:paraId="560BD7D7" w14:textId="77777777" w:rsidTr="006038D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E5CF02F" w14:textId="77777777" w:rsidR="009E526F" w:rsidRPr="00D7447D" w:rsidRDefault="009E526F" w:rsidP="000B3CCC">
            <w:pPr>
              <w:spacing w:line="276" w:lineRule="auto"/>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Ministria e Drejtësisë  (në mln lekë)</w:t>
            </w:r>
          </w:p>
        </w:tc>
        <w:tc>
          <w:tcPr>
            <w:tcW w:w="1595" w:type="dxa"/>
            <w:noWrap/>
            <w:hideMark/>
          </w:tcPr>
          <w:p w14:paraId="3E76FD29"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lang w:val="it-IT"/>
              </w:rPr>
              <w:t xml:space="preserve"> </w:t>
            </w:r>
            <w:r w:rsidRPr="00D7447D">
              <w:rPr>
                <w:rFonts w:ascii="Times New Roman" w:hAnsi="Times New Roman" w:cs="Times New Roman"/>
                <w:sz w:val="24"/>
                <w:szCs w:val="24"/>
              </w:rPr>
              <w:t xml:space="preserve">11.280 </w:t>
            </w:r>
          </w:p>
        </w:tc>
        <w:tc>
          <w:tcPr>
            <w:tcW w:w="1394" w:type="dxa"/>
            <w:noWrap/>
            <w:hideMark/>
          </w:tcPr>
          <w:p w14:paraId="75DAEFAC"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 xml:space="preserve"> 11.726</w:t>
            </w:r>
          </w:p>
        </w:tc>
        <w:tc>
          <w:tcPr>
            <w:tcW w:w="1394" w:type="dxa"/>
            <w:noWrap/>
            <w:hideMark/>
          </w:tcPr>
          <w:p w14:paraId="6B299B42"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 xml:space="preserve"> 12.496</w:t>
            </w:r>
          </w:p>
        </w:tc>
        <w:tc>
          <w:tcPr>
            <w:tcW w:w="1397" w:type="dxa"/>
            <w:noWrap/>
            <w:hideMark/>
          </w:tcPr>
          <w:p w14:paraId="363623E5" w14:textId="77777777" w:rsidR="009E526F" w:rsidRPr="00D7447D" w:rsidRDefault="009E526F"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 xml:space="preserve"> 12.771</w:t>
            </w:r>
          </w:p>
        </w:tc>
      </w:tr>
      <w:tr w:rsidR="009E526F" w:rsidRPr="00D7447D" w14:paraId="25C48606" w14:textId="77777777" w:rsidTr="006038DB">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F64302B" w14:textId="77777777" w:rsidR="009E526F" w:rsidRPr="00D7447D" w:rsidRDefault="009E526F" w:rsidP="000B3CCC">
            <w:pPr>
              <w:spacing w:line="276" w:lineRule="auto"/>
              <w:rPr>
                <w:rFonts w:ascii="Times New Roman" w:hAnsi="Times New Roman" w:cs="Times New Roman"/>
                <w:sz w:val="24"/>
                <w:szCs w:val="24"/>
                <w:lang w:val="it-IT"/>
              </w:rPr>
            </w:pPr>
            <w:r w:rsidRPr="00D7447D">
              <w:rPr>
                <w:rFonts w:ascii="Times New Roman" w:hAnsi="Times New Roman" w:cs="Times New Roman"/>
                <w:sz w:val="24"/>
                <w:szCs w:val="24"/>
                <w:lang w:val="it-IT"/>
              </w:rPr>
              <w:t>Ministria e Drejtësisë  (% ndaj buxhetit )</w:t>
            </w:r>
          </w:p>
        </w:tc>
        <w:tc>
          <w:tcPr>
            <w:tcW w:w="1595" w:type="dxa"/>
            <w:noWrap/>
            <w:hideMark/>
          </w:tcPr>
          <w:p w14:paraId="6198AC06"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1,77%</w:t>
            </w:r>
          </w:p>
        </w:tc>
        <w:tc>
          <w:tcPr>
            <w:tcW w:w="1394" w:type="dxa"/>
            <w:noWrap/>
            <w:hideMark/>
          </w:tcPr>
          <w:p w14:paraId="390C4A2E"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1,87%</w:t>
            </w:r>
          </w:p>
        </w:tc>
        <w:tc>
          <w:tcPr>
            <w:tcW w:w="1394" w:type="dxa"/>
            <w:noWrap/>
            <w:hideMark/>
          </w:tcPr>
          <w:p w14:paraId="2786A50C"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1,89%</w:t>
            </w:r>
          </w:p>
        </w:tc>
        <w:tc>
          <w:tcPr>
            <w:tcW w:w="1397" w:type="dxa"/>
            <w:noWrap/>
            <w:hideMark/>
          </w:tcPr>
          <w:p w14:paraId="73768B22" w14:textId="77777777" w:rsidR="009E526F" w:rsidRPr="00D7447D" w:rsidRDefault="009E526F"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1,93%</w:t>
            </w:r>
          </w:p>
        </w:tc>
      </w:tr>
    </w:tbl>
    <w:p w14:paraId="7F565297" w14:textId="77777777" w:rsidR="009E526F" w:rsidRPr="00D7447D" w:rsidRDefault="009E526F" w:rsidP="000B3CCC">
      <w:pPr>
        <w:spacing w:after="0" w:line="276" w:lineRule="auto"/>
        <w:jc w:val="center"/>
        <w:rPr>
          <w:rFonts w:ascii="Times New Roman" w:hAnsi="Times New Roman" w:cs="Times New Roman"/>
          <w:sz w:val="24"/>
          <w:szCs w:val="24"/>
        </w:rPr>
      </w:pPr>
    </w:p>
    <w:p w14:paraId="2DAB76D3" w14:textId="77777777" w:rsidR="009E526F" w:rsidRPr="00D7447D" w:rsidRDefault="009E526F" w:rsidP="000B3CCC">
      <w:p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Në ushtrimin e veprimtarisë së saj,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europian të Republikës së Shqipërisë.</w:t>
      </w:r>
    </w:p>
    <w:p w14:paraId="25FA3BD2" w14:textId="77777777" w:rsidR="009E526F" w:rsidRPr="00D7447D" w:rsidRDefault="009E526F" w:rsidP="000B3CCC">
      <w:pPr>
        <w:spacing w:line="276" w:lineRule="auto"/>
        <w:jc w:val="both"/>
        <w:rPr>
          <w:rFonts w:ascii="Times New Roman" w:eastAsia="Times New Roman" w:hAnsi="Times New Roman" w:cs="Times New Roman"/>
          <w:sz w:val="24"/>
          <w:szCs w:val="24"/>
          <w:lang w:val="sq-AL"/>
        </w:rPr>
      </w:pPr>
    </w:p>
    <w:p w14:paraId="0BD59F7D" w14:textId="77777777" w:rsidR="009E526F" w:rsidRPr="00D7447D" w:rsidRDefault="009E526F" w:rsidP="000B3CCC">
      <w:pPr>
        <w:pStyle w:val="Heading3"/>
        <w:spacing w:line="276" w:lineRule="auto"/>
        <w:rPr>
          <w:rFonts w:ascii="Times New Roman" w:eastAsia="Calibri" w:hAnsi="Times New Roman" w:cs="Times New Roman"/>
          <w:b/>
          <w:lang w:val="sq-AL"/>
        </w:rPr>
      </w:pPr>
      <w:r w:rsidRPr="00D7447D">
        <w:rPr>
          <w:rFonts w:ascii="Times New Roman" w:eastAsia="Calibri" w:hAnsi="Times New Roman" w:cs="Times New Roman"/>
          <w:b/>
          <w:lang w:val="sq-AL"/>
        </w:rPr>
        <w:t>Prioritetet e sektorit për periudhën 2023-2025</w:t>
      </w:r>
    </w:p>
    <w:p w14:paraId="1D543ABB" w14:textId="77777777" w:rsidR="009E526F" w:rsidRPr="00D7447D" w:rsidRDefault="009E526F" w:rsidP="000B3CCC">
      <w:pPr>
        <w:spacing w:before="240"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Në funksion të përparësive kryesore të Ministrisë së Drejtësisë, janë përcaktuar dhe objektivat për realizimin e tyre, të cilat janë:</w:t>
      </w:r>
    </w:p>
    <w:p w14:paraId="435DD3E0" w14:textId="77777777" w:rsidR="009E526F" w:rsidRPr="00D7447D" w:rsidRDefault="009E526F" w:rsidP="000B3CCC">
      <w:pPr>
        <w:spacing w:before="240" w:after="0" w:line="276" w:lineRule="auto"/>
        <w:contextualSpacing/>
        <w:jc w:val="both"/>
        <w:rPr>
          <w:rFonts w:ascii="Times New Roman" w:eastAsia="SimSun" w:hAnsi="Times New Roman" w:cs="Times New Roman"/>
          <w:sz w:val="24"/>
          <w:szCs w:val="24"/>
          <w:lang w:val="sq-AL"/>
        </w:rPr>
      </w:pPr>
    </w:p>
    <w:p w14:paraId="01961E35" w14:textId="77777777" w:rsidR="009E526F" w:rsidRPr="00D7447D" w:rsidRDefault="009E526F" w:rsidP="000B3CCC">
      <w:pPr>
        <w:numPr>
          <w:ilvl w:val="0"/>
          <w:numId w:val="10"/>
        </w:numPr>
        <w:spacing w:before="240" w:after="0" w:line="276" w:lineRule="auto"/>
        <w:ind w:left="360"/>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Jetësimi i Reformës në Drejtësi</w:t>
      </w:r>
    </w:p>
    <w:p w14:paraId="771184F5"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Funksionalizimi i organeve të reja të drejtësisë.</w:t>
      </w:r>
    </w:p>
    <w:p w14:paraId="7626A390"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Përmirësimi i kuadrit ligjor dhe miratimi i akteve nënligjore për zbatimin e reformës në drejtësi.</w:t>
      </w:r>
    </w:p>
    <w:p w14:paraId="435DBABB"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Zbatimi i reformimit të sistemit të drejtësisë për të miturit në konflikt me ligjin.</w:t>
      </w:r>
    </w:p>
    <w:p w14:paraId="7DD175AA"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Reformimi i shërbimeve publike, rritja e efikasitetit të tyre.</w:t>
      </w:r>
    </w:p>
    <w:p w14:paraId="679C03E0"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Ndërmarrja e masave konkrete për një reformim legjislativ, institucional dhe strukturor për të gjithë ato institucione ligj zbatuese që mundësojnë që shqiptarët të marrin shërbime ligjore në kohë, sa më cilësore, profesionale dhe në mënyrë dinjitoze.</w:t>
      </w:r>
    </w:p>
    <w:p w14:paraId="674D91CC"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Përmirësimi i sistemit të ndihmës juridike falas që çdo qytetar në pamundësi financiare dhe grupet në nevojë, të përfitojë nga ky shërbim në mënyrë cilësore.</w:t>
      </w:r>
    </w:p>
    <w:p w14:paraId="25DF2EC1"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Reformimi i sistemit penitenciar në tërësi, menaxhimit efektiv të institucioneve të vuajtjes së dënimit dhe rritja e profesionalizmit dhe integritetit të stafit të burgjeve, si ai policor dhe civil.</w:t>
      </w:r>
    </w:p>
    <w:p w14:paraId="7E116E50" w14:textId="77777777" w:rsidR="009E526F" w:rsidRPr="00D7447D" w:rsidRDefault="009E526F" w:rsidP="000B3CCC">
      <w:pPr>
        <w:pStyle w:val="ListParagraph"/>
        <w:numPr>
          <w:ilvl w:val="0"/>
          <w:numId w:val="32"/>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Përmirësimi i shërbimit të provës për monitorimin e zbatitmit të dënimeve alternative me një staf profesional dhe me integritet.</w:t>
      </w:r>
    </w:p>
    <w:p w14:paraId="7DC1E8D9" w14:textId="77777777" w:rsidR="009E526F" w:rsidRPr="00D7447D" w:rsidRDefault="009E526F" w:rsidP="000B3CCC">
      <w:pPr>
        <w:numPr>
          <w:ilvl w:val="0"/>
          <w:numId w:val="10"/>
        </w:numPr>
        <w:spacing w:before="240" w:after="0" w:line="276" w:lineRule="auto"/>
        <w:ind w:left="360"/>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Forcimi i Luftës kundër Korrupsionit në Administratë;</w:t>
      </w:r>
    </w:p>
    <w:p w14:paraId="130EBB5B" w14:textId="77777777" w:rsidR="009E526F" w:rsidRPr="00D7447D" w:rsidRDefault="009E526F" w:rsidP="000B3CCC">
      <w:pPr>
        <w:pStyle w:val="ListParagraph"/>
        <w:numPr>
          <w:ilvl w:val="0"/>
          <w:numId w:val="33"/>
        </w:numPr>
        <w:spacing w:before="240"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Përmirësimi i trajtimit të denoncimeve ndaj korrupsionit.</w:t>
      </w:r>
    </w:p>
    <w:p w14:paraId="3736428A" w14:textId="77777777" w:rsidR="009E526F" w:rsidRPr="00D7447D" w:rsidRDefault="009E526F" w:rsidP="000B3CCC">
      <w:pPr>
        <w:spacing w:after="0" w:line="276" w:lineRule="auto"/>
        <w:ind w:left="360"/>
        <w:contextualSpacing/>
        <w:jc w:val="both"/>
        <w:rPr>
          <w:rFonts w:ascii="Times New Roman" w:eastAsia="SimSun" w:hAnsi="Times New Roman" w:cs="Times New Roman"/>
          <w:sz w:val="24"/>
          <w:szCs w:val="24"/>
          <w:lang w:val="sq-AL"/>
        </w:rPr>
      </w:pPr>
    </w:p>
    <w:p w14:paraId="37A36F9E" w14:textId="77777777" w:rsidR="009E526F" w:rsidRPr="00D7447D" w:rsidRDefault="009E526F" w:rsidP="000B3CCC">
      <w:p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lastRenderedPageBreak/>
        <w:t>Me vendimin e Këshillit të Ministrave nr. 535, datë 29.07.2022 “Për miratimin e tavaneve përfundimtare të shpenzimeve të Programit Buxhetor Afatmesëm 2023-2025”, për Ministrinë e Drejtësisë, janë miratuar tavanet buxhetore për periudhën 2023-2025, të cilat paraqiten në tabelën e mëposhtme:</w:t>
      </w:r>
    </w:p>
    <w:p w14:paraId="13FDBED1" w14:textId="77777777" w:rsidR="009E526F" w:rsidRPr="00D7447D" w:rsidRDefault="009E526F" w:rsidP="000B3CCC">
      <w:pPr>
        <w:spacing w:after="0" w:line="276" w:lineRule="auto"/>
        <w:contextualSpacing/>
        <w:jc w:val="both"/>
        <w:rPr>
          <w:rFonts w:ascii="Times New Roman" w:eastAsia="SimSun" w:hAnsi="Times New Roman" w:cs="Times New Roman"/>
          <w:sz w:val="24"/>
          <w:szCs w:val="24"/>
          <w:lang w:val="sq-AL"/>
        </w:rPr>
      </w:pPr>
    </w:p>
    <w:p w14:paraId="088E172B" w14:textId="77777777" w:rsidR="009E526F" w:rsidRPr="00D7447D" w:rsidRDefault="009E526F" w:rsidP="000B3CCC">
      <w:p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SimSun" w:hAnsi="Times New Roman" w:cs="Times New Roman"/>
          <w:b/>
          <w:sz w:val="24"/>
          <w:szCs w:val="24"/>
          <w:lang w:val="sq-AL"/>
        </w:rPr>
        <w:t>Tabela 14:</w:t>
      </w:r>
      <w:r w:rsidRPr="00D7447D">
        <w:rPr>
          <w:rFonts w:ascii="Times New Roman" w:eastAsia="SimSun" w:hAnsi="Times New Roman" w:cs="Times New Roman"/>
          <w:sz w:val="24"/>
          <w:szCs w:val="24"/>
          <w:lang w:val="sq-AL"/>
        </w:rPr>
        <w:t xml:space="preserve"> </w:t>
      </w:r>
      <w:r w:rsidRPr="00D7447D">
        <w:rPr>
          <w:rFonts w:ascii="Times New Roman" w:eastAsia="Times New Roman" w:hAnsi="Times New Roman" w:cs="Times New Roman"/>
          <w:sz w:val="24"/>
          <w:szCs w:val="24"/>
          <w:lang w:val="sq-AL"/>
        </w:rPr>
        <w:t>Shpenzimet për Ministrinë e Drejtësisë sipas programeve buxhetore dhe sipas artikujve ekonomikë</w:t>
      </w:r>
    </w:p>
    <w:p w14:paraId="4E1B8BC9" w14:textId="77777777" w:rsidR="009E526F" w:rsidRPr="00D7447D" w:rsidRDefault="009E526F" w:rsidP="000B3CCC">
      <w:pPr>
        <w:spacing w:after="0" w:line="276" w:lineRule="auto"/>
        <w:ind w:left="-270"/>
        <w:contextualSpacing/>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 xml:space="preserve">   </w:t>
      </w:r>
    </w:p>
    <w:p w14:paraId="11CE7C95" w14:textId="77777777" w:rsidR="009E526F" w:rsidRPr="00D7447D" w:rsidRDefault="009E526F" w:rsidP="000B3CCC">
      <w:pPr>
        <w:spacing w:after="0" w:line="276" w:lineRule="auto"/>
        <w:contextualSpacing/>
        <w:jc w:val="both"/>
        <w:rPr>
          <w:rFonts w:ascii="Times New Roman" w:eastAsia="SimSun"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160E8BBD" wp14:editId="47138EA7">
            <wp:extent cx="5943306" cy="4054415"/>
            <wp:effectExtent l="0" t="0" r="635"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4054616"/>
                    </a:xfrm>
                    <a:prstGeom prst="rect">
                      <a:avLst/>
                    </a:prstGeom>
                    <a:noFill/>
                    <a:ln>
                      <a:noFill/>
                    </a:ln>
                  </pic:spPr>
                </pic:pic>
              </a:graphicData>
            </a:graphic>
          </wp:inline>
        </w:drawing>
      </w:r>
    </w:p>
    <w:p w14:paraId="398E1C72" w14:textId="77777777" w:rsidR="009E526F" w:rsidRPr="00D7447D" w:rsidRDefault="009E526F" w:rsidP="000B3CCC">
      <w:pPr>
        <w:spacing w:after="0" w:line="276" w:lineRule="auto"/>
        <w:contextualSpacing/>
        <w:jc w:val="both"/>
        <w:rPr>
          <w:rFonts w:ascii="Times New Roman" w:eastAsia="SimSun" w:hAnsi="Times New Roman" w:cs="Times New Roman"/>
          <w:sz w:val="24"/>
          <w:szCs w:val="24"/>
          <w:lang w:val="sq-AL"/>
        </w:rPr>
      </w:pPr>
    </w:p>
    <w:p w14:paraId="1BE623B9" w14:textId="77777777" w:rsidR="009E526F" w:rsidRPr="00D7447D" w:rsidRDefault="009E526F" w:rsidP="000B3CCC">
      <w:p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Referuar tabelës së mësipërme, buxheti i Ministrisë së Drejtësisë në total reflekton ndryshimet si më poshtë:</w:t>
      </w:r>
    </w:p>
    <w:p w14:paraId="66F52FAB" w14:textId="77777777" w:rsidR="009E526F" w:rsidRPr="00D7447D" w:rsidRDefault="009E526F" w:rsidP="000B3CCC">
      <w:pPr>
        <w:numPr>
          <w:ilvl w:val="0"/>
          <w:numId w:val="49"/>
        </w:numPr>
        <w:spacing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 xml:space="preserve">Viti 2023, ka një rritje me 446.268 mijë lekë ose 4% kundrejt buxhetit të vitit 2022, </w:t>
      </w:r>
    </w:p>
    <w:p w14:paraId="6732AD8D" w14:textId="77777777" w:rsidR="009E526F" w:rsidRPr="00D7447D" w:rsidRDefault="009E526F" w:rsidP="000B3CCC">
      <w:pPr>
        <w:numPr>
          <w:ilvl w:val="0"/>
          <w:numId w:val="49"/>
        </w:numPr>
        <w:spacing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Viti 2024 me një rritje prej 770.000 mijë lekë ose 7% kundrejt vitit 2023,</w:t>
      </w:r>
    </w:p>
    <w:p w14:paraId="1E38F2C9" w14:textId="77777777" w:rsidR="009E526F" w:rsidRPr="00D7447D" w:rsidRDefault="009E526F" w:rsidP="000B3CCC">
      <w:pPr>
        <w:numPr>
          <w:ilvl w:val="0"/>
          <w:numId w:val="49"/>
        </w:numPr>
        <w:spacing w:after="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 xml:space="preserve">Viti 2025 me një rritje prej 275.000 mijë lekë ose 2.2 % kundrejt vitit 2024. </w:t>
      </w:r>
    </w:p>
    <w:p w14:paraId="09C6C677" w14:textId="77777777" w:rsidR="009E526F" w:rsidRPr="00D7447D" w:rsidRDefault="009E526F" w:rsidP="000B3CCC">
      <w:pPr>
        <w:spacing w:after="0" w:line="276" w:lineRule="auto"/>
        <w:jc w:val="both"/>
        <w:rPr>
          <w:rFonts w:ascii="Times New Roman" w:eastAsia="SimSun" w:hAnsi="Times New Roman" w:cs="Times New Roman"/>
          <w:sz w:val="24"/>
          <w:szCs w:val="24"/>
          <w:lang w:val="sq-AL"/>
        </w:rPr>
      </w:pPr>
    </w:p>
    <w:p w14:paraId="29B8749C" w14:textId="77777777" w:rsidR="009E526F" w:rsidRPr="00D7447D" w:rsidRDefault="009E526F" w:rsidP="000B3CCC">
      <w:pPr>
        <w:pStyle w:val="Heading3"/>
        <w:spacing w:line="276" w:lineRule="auto"/>
        <w:rPr>
          <w:rFonts w:ascii="Times New Roman" w:eastAsia="Calibri" w:hAnsi="Times New Roman" w:cs="Times New Roman"/>
          <w:b/>
          <w:lang w:val="sq-AL"/>
        </w:rPr>
      </w:pPr>
      <w:r w:rsidRPr="00D7447D">
        <w:rPr>
          <w:rFonts w:ascii="Times New Roman" w:eastAsia="Calibri" w:hAnsi="Times New Roman" w:cs="Times New Roman"/>
          <w:b/>
          <w:lang w:val="sq-AL"/>
        </w:rPr>
        <w:t>Përmbledhje e Treguesve Kyç të Performancës</w:t>
      </w:r>
    </w:p>
    <w:p w14:paraId="245E530D"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p>
    <w:p w14:paraId="51A4CD0C"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Programi “Planifikim, Menaxhim dhe Administrim”, për periudhën 2023-2025, synon:</w:t>
      </w:r>
    </w:p>
    <w:p w14:paraId="3A5B2F75" w14:textId="77777777" w:rsidR="009E526F" w:rsidRPr="00D7447D" w:rsidRDefault="009E526F" w:rsidP="000B3CCC">
      <w:pPr>
        <w:pStyle w:val="ListParagraph"/>
        <w:numPr>
          <w:ilvl w:val="0"/>
          <w:numId w:val="47"/>
        </w:numPr>
        <w:spacing w:after="12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Të hartojë dhe vlerësojë rreth 1,450 akte ligjore dhe nënligjore në kuadër të Strategjisë Ndërsektoriale të Drejtësisë.</w:t>
      </w:r>
    </w:p>
    <w:p w14:paraId="57387D22" w14:textId="77777777" w:rsidR="009E526F" w:rsidRPr="00D7447D" w:rsidRDefault="009E526F" w:rsidP="000B3CCC">
      <w:pPr>
        <w:pStyle w:val="ListParagraph"/>
        <w:numPr>
          <w:ilvl w:val="0"/>
          <w:numId w:val="47"/>
        </w:numPr>
        <w:spacing w:after="12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lastRenderedPageBreak/>
        <w:t>Të kryejë rreth 40 inspektime nga sektori i monitorimit të profesioneve të lira.</w:t>
      </w:r>
    </w:p>
    <w:p w14:paraId="2D257531" w14:textId="77777777" w:rsidR="009E526F" w:rsidRPr="00D7447D" w:rsidRDefault="009E526F" w:rsidP="000B3CCC">
      <w:pPr>
        <w:spacing w:after="120" w:line="276" w:lineRule="auto"/>
        <w:jc w:val="both"/>
        <w:rPr>
          <w:rFonts w:ascii="Times New Roman" w:eastAsia="SimSun" w:hAnsi="Times New Roman" w:cs="Times New Roman"/>
          <w:sz w:val="24"/>
          <w:szCs w:val="24"/>
          <w:lang w:val="sq-AL"/>
        </w:rPr>
      </w:pPr>
    </w:p>
    <w:p w14:paraId="110DAB9A" w14:textId="77777777" w:rsidR="009E526F" w:rsidRPr="00D7447D" w:rsidRDefault="009E526F" w:rsidP="000B3CCC">
      <w:pPr>
        <w:spacing w:after="12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Programi “Publikimet Zyrtare”, për periudhën 2023-2025, synon:</w:t>
      </w:r>
    </w:p>
    <w:p w14:paraId="547CDB68" w14:textId="77777777" w:rsidR="009E526F" w:rsidRPr="00D7447D" w:rsidRDefault="009E526F" w:rsidP="000B3CCC">
      <w:pPr>
        <w:pStyle w:val="ListParagraph"/>
        <w:numPr>
          <w:ilvl w:val="0"/>
          <w:numId w:val="48"/>
        </w:numPr>
        <w:spacing w:after="12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 xml:space="preserve">Të botojë rreth 190 akte ligjore dhe nënligjore, 10 kode dhe përmbledhëse legjislacioni, 48 buletine si dhe 248 tituj me botim elektronik të fletores zyrtare. </w:t>
      </w:r>
    </w:p>
    <w:p w14:paraId="54FA01EB"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p>
    <w:p w14:paraId="162865BF"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Programi “Ndihma Juridike”, për periudhën 2023-2025, synon:</w:t>
      </w:r>
    </w:p>
    <w:p w14:paraId="26D40DE8"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p>
    <w:p w14:paraId="302635A1" w14:textId="77777777" w:rsidR="009E526F" w:rsidRPr="00D7447D" w:rsidRDefault="009E526F" w:rsidP="000B3CCC">
      <w:pPr>
        <w:numPr>
          <w:ilvl w:val="0"/>
          <w:numId w:val="5"/>
        </w:num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Të ofrojë ndihmë juridike falas për rreth 6,300 individë në total që plotësojnë kushtet në zbatim të ligjit për ndihmën juridike falas.</w:t>
      </w:r>
    </w:p>
    <w:p w14:paraId="44E42BBE" w14:textId="77777777" w:rsidR="009E526F" w:rsidRPr="00D7447D" w:rsidRDefault="009E526F" w:rsidP="000B3CCC">
      <w:pPr>
        <w:numPr>
          <w:ilvl w:val="0"/>
          <w:numId w:val="5"/>
        </w:numPr>
        <w:spacing w:after="120" w:line="276" w:lineRule="auto"/>
        <w:contextualSpacing/>
        <w:jc w:val="both"/>
        <w:rPr>
          <w:rFonts w:ascii="Times New Roman" w:eastAsia="Arial" w:hAnsi="Times New Roman" w:cs="Times New Roman"/>
          <w:sz w:val="24"/>
          <w:szCs w:val="24"/>
          <w:lang w:val="sq-AL" w:eastAsia="en-GB"/>
        </w:rPr>
      </w:pPr>
      <w:r w:rsidRPr="00D7447D">
        <w:rPr>
          <w:rFonts w:ascii="Times New Roman" w:eastAsia="SimSun" w:hAnsi="Times New Roman" w:cs="Times New Roman"/>
          <w:sz w:val="24"/>
          <w:szCs w:val="24"/>
          <w:lang w:val="sq-AL"/>
        </w:rPr>
        <w:t xml:space="preserve">Të ofrojë ndihmë juridike falas për rreth 3,700 gra e vajza në nevojë të cilat plotësojnë kushtet.  </w:t>
      </w:r>
    </w:p>
    <w:p w14:paraId="006EF217" w14:textId="77777777" w:rsidR="009E526F" w:rsidRPr="00D7447D" w:rsidRDefault="009E526F" w:rsidP="000B3CCC">
      <w:pPr>
        <w:spacing w:after="120" w:line="276" w:lineRule="auto"/>
        <w:ind w:left="720"/>
        <w:contextualSpacing/>
        <w:jc w:val="both"/>
        <w:rPr>
          <w:rFonts w:ascii="Times New Roman" w:eastAsia="Arial" w:hAnsi="Times New Roman" w:cs="Times New Roman"/>
          <w:sz w:val="24"/>
          <w:szCs w:val="24"/>
          <w:lang w:val="sq-AL" w:eastAsia="en-GB"/>
        </w:rPr>
      </w:pPr>
    </w:p>
    <w:p w14:paraId="3B4A1C92"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Programi “Mjekësia Ligjore”, për periudhën 2023-2025, synon:</w:t>
      </w:r>
    </w:p>
    <w:p w14:paraId="2536DA12"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p>
    <w:p w14:paraId="445898FD" w14:textId="77777777" w:rsidR="009E526F" w:rsidRPr="00D7447D" w:rsidRDefault="009E526F" w:rsidP="000B3CCC">
      <w:pPr>
        <w:numPr>
          <w:ilvl w:val="0"/>
          <w:numId w:val="5"/>
        </w:num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 xml:space="preserve">Të realizojë rreth 17,500 akte ekspertimi të klasifikuara si; mjeko-ligjore, toksikologjiko-ligjore, biologjiko-ligjore dhe psikiatriko-ligjore, në përputhje me standartet europiane. </w:t>
      </w:r>
    </w:p>
    <w:p w14:paraId="15F20172" w14:textId="77777777" w:rsidR="009E526F" w:rsidRPr="00D7447D" w:rsidRDefault="009E526F" w:rsidP="000B3CCC">
      <w:pPr>
        <w:spacing w:after="120" w:line="276" w:lineRule="auto"/>
        <w:ind w:left="720"/>
        <w:contextualSpacing/>
        <w:jc w:val="both"/>
        <w:rPr>
          <w:rFonts w:ascii="Times New Roman" w:eastAsia="SimSun" w:hAnsi="Times New Roman" w:cs="Times New Roman"/>
          <w:sz w:val="24"/>
          <w:szCs w:val="24"/>
          <w:lang w:val="sq-AL"/>
        </w:rPr>
      </w:pPr>
    </w:p>
    <w:p w14:paraId="002E3C99" w14:textId="77777777" w:rsidR="009E526F" w:rsidRPr="00D7447D" w:rsidRDefault="009E526F" w:rsidP="000B3CCC">
      <w:pPr>
        <w:spacing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Programi “Sistemi i Burgjeve” gjatë periudhës 2023-2025,</w:t>
      </w:r>
      <w:r w:rsidRPr="00D7447D">
        <w:rPr>
          <w:rFonts w:ascii="Times New Roman" w:eastAsia="Times New Roman" w:hAnsi="Times New Roman" w:cs="Times New Roman"/>
          <w:sz w:val="24"/>
          <w:szCs w:val="24"/>
          <w:lang w:val="sq-AL"/>
        </w:rPr>
        <w:t xml:space="preserve"> synon q</w:t>
      </w:r>
      <w:r w:rsidRPr="00D7447D">
        <w:rPr>
          <w:rFonts w:ascii="Times New Roman" w:eastAsia="Arial" w:hAnsi="Times New Roman" w:cs="Times New Roman"/>
          <w:sz w:val="24"/>
          <w:szCs w:val="24"/>
          <w:lang w:val="sq-AL" w:eastAsia="en-GB"/>
        </w:rPr>
        <w:t>ë:</w:t>
      </w:r>
    </w:p>
    <w:p w14:paraId="08D76651" w14:textId="77777777" w:rsidR="009E526F" w:rsidRPr="00D7447D" w:rsidRDefault="009E526F"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Të mbahen në kushte të përshtatshme rreth 5,500 të dënuar burra, 86 të dënuara gra dhe 36 të dënuar të mitur, si dhe të trajtohen me shërbim shëndetësor 382 të dënuar të sëmurë;</w:t>
      </w:r>
    </w:p>
    <w:p w14:paraId="4A7CF5C3" w14:textId="77777777" w:rsidR="009E526F" w:rsidRPr="00D7447D" w:rsidRDefault="009E526F"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Të ri-integrohen nëpërmjet zhvillimit të programeve për rehabilitimin në shoqëri të paraburgosurve dhe të dënuarve në përputhje me standartet europiane, rreth 360 të dënuar burra, 2 të dënuara gra dhe 6 të dënuar të mitur;</w:t>
      </w:r>
    </w:p>
    <w:p w14:paraId="36ED14DF" w14:textId="77777777" w:rsidR="009E526F" w:rsidRPr="00D7447D" w:rsidRDefault="009E526F"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Norma e recidivitetit (burra) të ketë një trend konstant 18% ndër vite;</w:t>
      </w:r>
    </w:p>
    <w:p w14:paraId="40466DCD" w14:textId="77777777" w:rsidR="009E526F" w:rsidRPr="00D7447D" w:rsidRDefault="009E526F"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Norma e recidivitetit (gra) të ketë një trend konstant 1% ndër vite;</w:t>
      </w:r>
    </w:p>
    <w:p w14:paraId="68EF338D" w14:textId="77777777" w:rsidR="009E526F" w:rsidRPr="00D7447D" w:rsidRDefault="009E526F"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Norma e recidivitetit (të mitur) të ketë një trend konstant 1% ndër vite;</w:t>
      </w:r>
    </w:p>
    <w:p w14:paraId="3B999F82" w14:textId="77777777" w:rsidR="009E526F" w:rsidRPr="00D7447D" w:rsidRDefault="009E526F"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Përqindja e të dënuarve të cilët punësohen pasi fitojnë lirinë, të ketë trend konstant përgjatë viteve, kontretisht në  11%;.</w:t>
      </w:r>
    </w:p>
    <w:p w14:paraId="0F891EAA" w14:textId="77777777" w:rsidR="009E526F" w:rsidRPr="00D7447D" w:rsidRDefault="009E526F"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 xml:space="preserve">Të përmirësojë kushtet në sistemin penitenciar dhe të ulë mbipopullimin në burgje. Përqindja e IEVP-ve që garantojnë kushtet e sigurisë, trajtimit dhe rehabilitimit të të dënuarve parashikohet të ketë trend rritës, konkretisht nga 46% e parashikuar për 2022, në 50% në fund të vitit 2025.  </w:t>
      </w:r>
    </w:p>
    <w:p w14:paraId="1A6A0A78" w14:textId="77777777" w:rsidR="009E526F" w:rsidRPr="00D7447D" w:rsidRDefault="009E526F" w:rsidP="000B3CCC">
      <w:pPr>
        <w:spacing w:after="0" w:line="276" w:lineRule="auto"/>
        <w:ind w:left="774"/>
        <w:contextualSpacing/>
        <w:jc w:val="both"/>
        <w:rPr>
          <w:rFonts w:ascii="Times New Roman" w:eastAsia="SimSun" w:hAnsi="Times New Roman" w:cs="Times New Roman"/>
          <w:sz w:val="24"/>
          <w:szCs w:val="24"/>
          <w:lang w:val="sq-AL"/>
        </w:rPr>
      </w:pPr>
    </w:p>
    <w:p w14:paraId="71206599"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Programi “Shërbimi i Përmbarimit Gjyqësor”, për periudhën 2023-2025, synon:</w:t>
      </w:r>
    </w:p>
    <w:p w14:paraId="02E68DC8" w14:textId="77777777" w:rsidR="009E526F" w:rsidRPr="00D7447D" w:rsidRDefault="009E526F" w:rsidP="000B3CCC">
      <w:pPr>
        <w:spacing w:after="120" w:line="276" w:lineRule="auto"/>
        <w:ind w:left="360"/>
        <w:contextualSpacing/>
        <w:jc w:val="both"/>
        <w:rPr>
          <w:rFonts w:ascii="Times New Roman" w:eastAsia="SimSun" w:hAnsi="Times New Roman" w:cs="Times New Roman"/>
          <w:sz w:val="24"/>
          <w:szCs w:val="24"/>
          <w:lang w:val="sq-AL"/>
        </w:rPr>
      </w:pPr>
    </w:p>
    <w:p w14:paraId="61D9D40C" w14:textId="77777777" w:rsidR="009E526F" w:rsidRPr="00D7447D" w:rsidRDefault="009E526F" w:rsidP="000B3CCC">
      <w:pPr>
        <w:numPr>
          <w:ilvl w:val="0"/>
          <w:numId w:val="5"/>
        </w:numPr>
        <w:spacing w:after="120" w:line="276" w:lineRule="auto"/>
        <w:ind w:left="360"/>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Rritjen e numri të titujve të ekzekutuara brenda afateve ligjore nga 10,575 në 2023, në 11,658 në vitin 2025.</w:t>
      </w:r>
    </w:p>
    <w:p w14:paraId="7CA8B882" w14:textId="77777777" w:rsidR="009E526F" w:rsidRPr="00D7447D" w:rsidRDefault="009E526F" w:rsidP="000B3CCC">
      <w:pPr>
        <w:spacing w:after="120" w:line="276" w:lineRule="auto"/>
        <w:ind w:left="360"/>
        <w:contextualSpacing/>
        <w:jc w:val="both"/>
        <w:rPr>
          <w:rFonts w:ascii="Times New Roman" w:eastAsia="SimSun" w:hAnsi="Times New Roman" w:cs="Times New Roman"/>
          <w:sz w:val="24"/>
          <w:szCs w:val="24"/>
          <w:lang w:val="sq-AL"/>
        </w:rPr>
      </w:pPr>
    </w:p>
    <w:p w14:paraId="6FBB5680"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p>
    <w:p w14:paraId="00F24F56"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Programi “Shërbimi për Çështjet e Birësimeve”, për periudhën 2023-2025, synon:</w:t>
      </w:r>
    </w:p>
    <w:p w14:paraId="6ADA39D5" w14:textId="77777777" w:rsidR="009E526F" w:rsidRPr="00D7447D" w:rsidRDefault="009E526F" w:rsidP="000B3CCC">
      <w:pPr>
        <w:spacing w:after="120" w:line="276" w:lineRule="auto"/>
        <w:contextualSpacing/>
        <w:jc w:val="both"/>
        <w:rPr>
          <w:rFonts w:ascii="Times New Roman" w:eastAsia="SimSun" w:hAnsi="Times New Roman" w:cs="Times New Roman"/>
          <w:sz w:val="24"/>
          <w:szCs w:val="24"/>
          <w:lang w:val="sq-AL"/>
        </w:rPr>
      </w:pPr>
    </w:p>
    <w:p w14:paraId="50E984EF" w14:textId="77777777" w:rsidR="009E526F" w:rsidRPr="00D7447D" w:rsidRDefault="009E526F" w:rsidP="000B3CCC">
      <w:pPr>
        <w:numPr>
          <w:ilvl w:val="0"/>
          <w:numId w:val="5"/>
        </w:num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 xml:space="preserve">Të garantojë interesin më të lartë të fëmijëve, nëpërmjet vendosjes në familje të përhershme që përshtaten me nevoja specifike të secilit prej tyre, me synimin që 100% e totalit të birësimeve të rezultojnë të suksesshme. </w:t>
      </w:r>
    </w:p>
    <w:p w14:paraId="299DA110" w14:textId="77777777" w:rsidR="009E526F" w:rsidRPr="00D7447D" w:rsidRDefault="009E526F" w:rsidP="000B3CCC">
      <w:pPr>
        <w:spacing w:after="120" w:line="276" w:lineRule="auto"/>
        <w:ind w:left="720"/>
        <w:contextualSpacing/>
        <w:jc w:val="both"/>
        <w:rPr>
          <w:rFonts w:ascii="Times New Roman" w:eastAsia="SimSun" w:hAnsi="Times New Roman" w:cs="Times New Roman"/>
          <w:sz w:val="24"/>
          <w:szCs w:val="24"/>
          <w:lang w:val="sq-AL"/>
        </w:rPr>
      </w:pPr>
    </w:p>
    <w:p w14:paraId="1F38AD4B" w14:textId="77777777" w:rsidR="009E526F" w:rsidRPr="00D7447D" w:rsidRDefault="009E526F" w:rsidP="000B3CCC">
      <w:p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SimSun" w:hAnsi="Times New Roman" w:cs="Times New Roman"/>
          <w:sz w:val="24"/>
          <w:szCs w:val="24"/>
          <w:lang w:val="sq-AL"/>
        </w:rPr>
        <w:t xml:space="preserve">Programi “Shërbimi i Kthimit dhe Kompensimit </w:t>
      </w:r>
      <w:r w:rsidRPr="00D7447D">
        <w:rPr>
          <w:rFonts w:ascii="Times New Roman" w:eastAsia="Times New Roman" w:hAnsi="Times New Roman" w:cs="Times New Roman"/>
          <w:sz w:val="24"/>
          <w:szCs w:val="24"/>
          <w:lang w:val="sq-AL"/>
        </w:rPr>
        <w:t>të Pronave</w:t>
      </w:r>
      <w:r w:rsidRPr="00D7447D">
        <w:rPr>
          <w:rFonts w:ascii="Times New Roman" w:eastAsia="Arial" w:hAnsi="Times New Roman" w:cs="Times New Roman"/>
          <w:sz w:val="24"/>
          <w:szCs w:val="24"/>
          <w:lang w:val="sq-AL" w:eastAsia="en-GB"/>
        </w:rPr>
        <w:t xml:space="preserve">”, për periudhën 2023-2025, </w:t>
      </w:r>
      <w:r w:rsidRPr="00D7447D">
        <w:rPr>
          <w:rFonts w:ascii="Times New Roman" w:eastAsia="Times New Roman" w:hAnsi="Times New Roman" w:cs="Times New Roman"/>
          <w:sz w:val="24"/>
          <w:szCs w:val="24"/>
          <w:lang w:val="sq-AL"/>
        </w:rPr>
        <w:t>synon</w:t>
      </w:r>
      <w:r w:rsidRPr="00D7447D">
        <w:rPr>
          <w:rFonts w:ascii="Times New Roman" w:eastAsia="Arial" w:hAnsi="Times New Roman" w:cs="Times New Roman"/>
          <w:sz w:val="24"/>
          <w:szCs w:val="24"/>
          <w:lang w:val="sq-AL" w:eastAsia="en-GB"/>
        </w:rPr>
        <w:t>:</w:t>
      </w:r>
    </w:p>
    <w:p w14:paraId="5C5CDEDA" w14:textId="77777777" w:rsidR="009E526F" w:rsidRPr="00D7447D" w:rsidRDefault="009E526F" w:rsidP="000B3CCC">
      <w:pPr>
        <w:numPr>
          <w:ilvl w:val="0"/>
          <w:numId w:val="5"/>
        </w:numPr>
        <w:spacing w:after="12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 xml:space="preserve">Realizimin e skemës së shpërndarjes së Fondit Special të Kompensimit nga 1,600 e parashikuar për 2023, në 1,936 për 2025. </w:t>
      </w:r>
    </w:p>
    <w:p w14:paraId="71DE2B68" w14:textId="77777777" w:rsidR="009E526F" w:rsidRPr="00D7447D" w:rsidRDefault="009E526F" w:rsidP="000B3CCC">
      <w:pPr>
        <w:spacing w:after="120" w:line="276" w:lineRule="auto"/>
        <w:ind w:left="720"/>
        <w:contextualSpacing/>
        <w:jc w:val="both"/>
        <w:rPr>
          <w:rFonts w:ascii="Times New Roman" w:eastAsia="SimSun" w:hAnsi="Times New Roman" w:cs="Times New Roman"/>
          <w:sz w:val="24"/>
          <w:szCs w:val="24"/>
          <w:lang w:val="sq-AL"/>
        </w:rPr>
      </w:pPr>
    </w:p>
    <w:p w14:paraId="7334294B" w14:textId="77777777" w:rsidR="009E526F" w:rsidRPr="00D7447D" w:rsidRDefault="009E526F" w:rsidP="000B3CCC">
      <w:pPr>
        <w:spacing w:before="120" w:after="12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Programi “Shërbimi i Provës”, për periudhën 2023-2025, synon:</w:t>
      </w:r>
    </w:p>
    <w:p w14:paraId="33210D78" w14:textId="03CB1593" w:rsidR="009E526F" w:rsidRPr="00D7447D" w:rsidRDefault="009E526F" w:rsidP="000B3CCC">
      <w:pPr>
        <w:pStyle w:val="ListParagraph"/>
        <w:numPr>
          <w:ilvl w:val="0"/>
          <w:numId w:val="42"/>
        </w:numPr>
        <w:spacing w:before="120" w:after="120" w:line="276" w:lineRule="auto"/>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Të mbikqyrë në mënyrë efektive 6,880 burra, 790 gra dhe 186 të mitur gjatë shërbimit të provës.</w:t>
      </w:r>
    </w:p>
    <w:p w14:paraId="21076685" w14:textId="77777777" w:rsidR="001D1219" w:rsidRPr="00D7447D" w:rsidRDefault="001D1219" w:rsidP="000B3CCC">
      <w:pPr>
        <w:spacing w:before="120" w:after="120" w:line="276" w:lineRule="auto"/>
        <w:jc w:val="both"/>
        <w:rPr>
          <w:rFonts w:ascii="Times New Roman" w:eastAsia="SimSun" w:hAnsi="Times New Roman" w:cs="Times New Roman"/>
          <w:sz w:val="24"/>
          <w:szCs w:val="24"/>
          <w:lang w:val="sq-AL"/>
        </w:rPr>
      </w:pPr>
    </w:p>
    <w:p w14:paraId="6A3C9F7D" w14:textId="77777777" w:rsidR="00C04AB3" w:rsidRPr="00D7447D" w:rsidRDefault="00C04AB3" w:rsidP="000B3CCC">
      <w:pPr>
        <w:pStyle w:val="Heading2"/>
        <w:spacing w:line="276" w:lineRule="auto"/>
        <w:rPr>
          <w:rFonts w:ascii="Times New Roman" w:eastAsia="Calibri" w:hAnsi="Times New Roman" w:cs="Times New Roman"/>
          <w:i w:val="0"/>
          <w:sz w:val="24"/>
          <w:szCs w:val="24"/>
        </w:rPr>
      </w:pPr>
      <w:bookmarkStart w:id="26" w:name="_Toc115701046"/>
      <w:r w:rsidRPr="00D7447D">
        <w:rPr>
          <w:rFonts w:ascii="Times New Roman" w:eastAsia="Calibri" w:hAnsi="Times New Roman" w:cs="Times New Roman"/>
          <w:i w:val="0"/>
          <w:sz w:val="24"/>
          <w:szCs w:val="24"/>
        </w:rPr>
        <w:t>MINISTRIA E INFRASTRUKTURËS DHE ENERGJISË</w:t>
      </w:r>
      <w:bookmarkEnd w:id="26"/>
    </w:p>
    <w:p w14:paraId="32BF6A28" w14:textId="77777777" w:rsidR="00DC669F" w:rsidRPr="00D7447D" w:rsidRDefault="00DC669F" w:rsidP="000B3CCC">
      <w:pPr>
        <w:spacing w:after="0" w:line="276" w:lineRule="auto"/>
        <w:jc w:val="both"/>
        <w:rPr>
          <w:rFonts w:ascii="Times New Roman" w:eastAsia="Times New Roman" w:hAnsi="Times New Roman" w:cs="Times New Roman"/>
          <w:color w:val="0070C0"/>
          <w:sz w:val="24"/>
          <w:szCs w:val="24"/>
          <w:u w:val="single"/>
          <w:lang w:val="en-GB" w:eastAsia="sr-Latn-CS"/>
        </w:rPr>
      </w:pPr>
    </w:p>
    <w:p w14:paraId="74586203" w14:textId="77777777" w:rsidR="00DC669F" w:rsidRPr="00D7447D" w:rsidRDefault="00DC669F" w:rsidP="000B3CCC">
      <w:p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Misioni i Ministrisë së Infrastrukturës dhe Energjisë është hartimi, zbatimi dhe monitorimi i politikave shtetërore,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hapësirës së lirë private si dhe</w:t>
      </w:r>
      <w:r w:rsidR="00772340" w:rsidRPr="00D7447D">
        <w:rPr>
          <w:rFonts w:ascii="Times New Roman" w:eastAsia="Calibri" w:hAnsi="Times New Roman" w:cs="Times New Roman"/>
          <w:sz w:val="24"/>
          <w:szCs w:val="24"/>
          <w:lang w:val="sq-AL"/>
        </w:rPr>
        <w:t>,</w:t>
      </w:r>
      <w:r w:rsidRPr="00D7447D">
        <w:rPr>
          <w:rFonts w:ascii="Times New Roman" w:eastAsia="Calibri" w:hAnsi="Times New Roman" w:cs="Times New Roman"/>
          <w:sz w:val="24"/>
          <w:szCs w:val="24"/>
          <w:lang w:val="sq-AL"/>
        </w:rPr>
        <w:t xml:space="preserve"> krijimin e kushteve për një konkurrencë të drejtë ndërmjet llojeve të transportit dhe sistemit të licencimit, duke përdorur burimet e disponueshme me efiçencë dhe efektivitet.</w:t>
      </w:r>
    </w:p>
    <w:p w14:paraId="7DB4F2FD" w14:textId="2BB9A9BB" w:rsidR="00DC669F" w:rsidRPr="00D7447D" w:rsidRDefault="006E1F7F" w:rsidP="000B3CCC">
      <w:p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 periudhën 202</w:t>
      </w:r>
      <w:r w:rsidR="009C504D" w:rsidRPr="00D7447D">
        <w:rPr>
          <w:rFonts w:ascii="Times New Roman" w:eastAsia="Calibri" w:hAnsi="Times New Roman" w:cs="Times New Roman"/>
          <w:sz w:val="24"/>
          <w:szCs w:val="24"/>
          <w:lang w:val="sq-AL"/>
        </w:rPr>
        <w:t>3</w:t>
      </w:r>
      <w:r w:rsidRPr="00D7447D">
        <w:rPr>
          <w:rFonts w:ascii="Times New Roman" w:eastAsia="Calibri" w:hAnsi="Times New Roman" w:cs="Times New Roman"/>
          <w:sz w:val="24"/>
          <w:szCs w:val="24"/>
          <w:lang w:val="sq-AL"/>
        </w:rPr>
        <w:t>-202</w:t>
      </w:r>
      <w:r w:rsidR="009C504D" w:rsidRPr="00D7447D">
        <w:rPr>
          <w:rFonts w:ascii="Times New Roman" w:eastAsia="Calibri" w:hAnsi="Times New Roman" w:cs="Times New Roman"/>
          <w:sz w:val="24"/>
          <w:szCs w:val="24"/>
          <w:lang w:val="sq-AL"/>
        </w:rPr>
        <w:t>5</w:t>
      </w:r>
      <w:r w:rsidR="00DC669F" w:rsidRPr="00D7447D">
        <w:rPr>
          <w:rFonts w:ascii="Times New Roman" w:eastAsia="Calibri" w:hAnsi="Times New Roman" w:cs="Times New Roman"/>
          <w:sz w:val="24"/>
          <w:szCs w:val="24"/>
          <w:lang w:val="sq-AL"/>
        </w:rPr>
        <w:t>, Ministria e Infrastrukturës dhe Energjisë do të përmbushë objektivat e synuar përmes fondeve buxhetore të alokuara sipas tabelës së mëposhtme:</w:t>
      </w:r>
    </w:p>
    <w:p w14:paraId="21DAD550" w14:textId="530DB5C7" w:rsidR="00DC669F" w:rsidRPr="00D7447D" w:rsidRDefault="00DC669F" w:rsidP="000B3CCC">
      <w:pPr>
        <w:spacing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 xml:space="preserve">Tabela </w:t>
      </w:r>
      <w:r w:rsidR="00185105" w:rsidRPr="00D7447D">
        <w:rPr>
          <w:rFonts w:ascii="Times New Roman" w:eastAsia="Calibri" w:hAnsi="Times New Roman" w:cs="Times New Roman"/>
          <w:b/>
          <w:sz w:val="24"/>
          <w:szCs w:val="24"/>
          <w:lang w:val="sq-AL"/>
        </w:rPr>
        <w:t>15</w:t>
      </w:r>
      <w:r w:rsidRPr="00D7447D">
        <w:rPr>
          <w:rFonts w:ascii="Times New Roman" w:eastAsia="Calibri" w:hAnsi="Times New Roman" w:cs="Times New Roman"/>
          <w:sz w:val="24"/>
          <w:szCs w:val="24"/>
          <w:lang w:val="sq-AL"/>
        </w:rPr>
        <w:t xml:space="preserve">: </w:t>
      </w:r>
      <w:r w:rsidRPr="00D7447D">
        <w:rPr>
          <w:rFonts w:ascii="Times New Roman" w:eastAsia="Times New Roman" w:hAnsi="Times New Roman" w:cs="Times New Roman"/>
          <w:sz w:val="24"/>
          <w:szCs w:val="24"/>
          <w:lang w:val="sq-AL"/>
        </w:rPr>
        <w:t>Shpenzimet për Ministrinë e Infrastruk</w:t>
      </w:r>
      <w:r w:rsidR="006E1F7F" w:rsidRPr="00D7447D">
        <w:rPr>
          <w:rFonts w:ascii="Times New Roman" w:eastAsia="Times New Roman" w:hAnsi="Times New Roman" w:cs="Times New Roman"/>
          <w:sz w:val="24"/>
          <w:szCs w:val="24"/>
          <w:lang w:val="sq-AL"/>
        </w:rPr>
        <w:t>turës dhe Energjisë për PBA 202</w:t>
      </w:r>
      <w:r w:rsidR="00D90DE1" w:rsidRPr="00D7447D">
        <w:rPr>
          <w:rFonts w:ascii="Times New Roman" w:eastAsia="Times New Roman" w:hAnsi="Times New Roman" w:cs="Times New Roman"/>
          <w:sz w:val="24"/>
          <w:szCs w:val="24"/>
          <w:lang w:val="sq-AL"/>
        </w:rPr>
        <w:t>2-2025</w:t>
      </w:r>
    </w:p>
    <w:tbl>
      <w:tblPr>
        <w:tblStyle w:val="GridTable5Dark-Accent511"/>
        <w:tblW w:w="7933" w:type="dxa"/>
        <w:jc w:val="center"/>
        <w:tblLook w:val="04A0" w:firstRow="1" w:lastRow="0" w:firstColumn="1" w:lastColumn="0" w:noHBand="0" w:noVBand="1"/>
      </w:tblPr>
      <w:tblGrid>
        <w:gridCol w:w="1487"/>
        <w:gridCol w:w="1782"/>
        <w:gridCol w:w="1262"/>
        <w:gridCol w:w="1134"/>
        <w:gridCol w:w="142"/>
        <w:gridCol w:w="992"/>
        <w:gridCol w:w="142"/>
        <w:gridCol w:w="992"/>
      </w:tblGrid>
      <w:tr w:rsidR="00BE2832" w:rsidRPr="00D7447D" w14:paraId="481C754D" w14:textId="77777777" w:rsidTr="009C504D">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1487" w:type="dxa"/>
          </w:tcPr>
          <w:p w14:paraId="63362C36" w14:textId="77777777" w:rsidR="00BE2832" w:rsidRPr="00D7447D" w:rsidRDefault="00BE2832" w:rsidP="000B3CCC">
            <w:pPr>
              <w:spacing w:line="276" w:lineRule="auto"/>
              <w:jc w:val="center"/>
              <w:rPr>
                <w:rFonts w:ascii="Times New Roman" w:eastAsia="Times New Roman" w:hAnsi="Times New Roman" w:cs="Times New Roman"/>
                <w:b w:val="0"/>
                <w:color w:val="FFFFFF"/>
                <w:sz w:val="24"/>
                <w:szCs w:val="24"/>
              </w:rPr>
            </w:pPr>
          </w:p>
        </w:tc>
        <w:tc>
          <w:tcPr>
            <w:tcW w:w="6446" w:type="dxa"/>
            <w:gridSpan w:val="7"/>
            <w:vAlign w:val="center"/>
            <w:hideMark/>
          </w:tcPr>
          <w:p w14:paraId="304AFEC4" w14:textId="73304B77" w:rsidR="00BE2832" w:rsidRPr="00D7447D" w:rsidRDefault="00BE2832" w:rsidP="000B3CC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FFFFFF"/>
                <w:sz w:val="24"/>
                <w:szCs w:val="24"/>
              </w:rPr>
            </w:pPr>
            <w:r w:rsidRPr="00D7447D">
              <w:rPr>
                <w:rFonts w:ascii="Times New Roman" w:eastAsia="Times New Roman" w:hAnsi="Times New Roman" w:cs="Times New Roman"/>
                <w:b w:val="0"/>
                <w:color w:val="FFFFFF"/>
                <w:sz w:val="24"/>
                <w:szCs w:val="24"/>
              </w:rPr>
              <w:t>Shpenzimet për Ministrinë e Infrastrukturës dhe Energjisë për PBA 202</w:t>
            </w:r>
            <w:r w:rsidR="009C504D" w:rsidRPr="00D7447D">
              <w:rPr>
                <w:rFonts w:ascii="Times New Roman" w:eastAsia="Times New Roman" w:hAnsi="Times New Roman" w:cs="Times New Roman"/>
                <w:b w:val="0"/>
                <w:color w:val="FFFFFF"/>
                <w:sz w:val="24"/>
                <w:szCs w:val="24"/>
              </w:rPr>
              <w:t>3</w:t>
            </w:r>
            <w:r w:rsidRPr="00D7447D">
              <w:rPr>
                <w:rFonts w:ascii="Times New Roman" w:eastAsia="Times New Roman" w:hAnsi="Times New Roman" w:cs="Times New Roman"/>
                <w:b w:val="0"/>
                <w:color w:val="FFFFFF"/>
                <w:sz w:val="24"/>
                <w:szCs w:val="24"/>
              </w:rPr>
              <w:t>-202</w:t>
            </w:r>
            <w:r w:rsidR="009C504D" w:rsidRPr="00D7447D">
              <w:rPr>
                <w:rFonts w:ascii="Times New Roman" w:eastAsia="Times New Roman" w:hAnsi="Times New Roman" w:cs="Times New Roman"/>
                <w:b w:val="0"/>
                <w:color w:val="FFFFFF"/>
                <w:sz w:val="24"/>
                <w:szCs w:val="24"/>
              </w:rPr>
              <w:t>5</w:t>
            </w:r>
          </w:p>
        </w:tc>
      </w:tr>
      <w:tr w:rsidR="00BE2832" w:rsidRPr="00D7447D" w14:paraId="07E815DD" w14:textId="77777777" w:rsidTr="009C504D">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val="restart"/>
            <w:hideMark/>
          </w:tcPr>
          <w:p w14:paraId="06CCEB7C" w14:textId="77777777" w:rsidR="00BE2832" w:rsidRPr="00D7447D" w:rsidRDefault="00BE2832" w:rsidP="000B3CCC">
            <w:pPr>
              <w:spacing w:line="276" w:lineRule="auto"/>
              <w:jc w:val="center"/>
              <w:rPr>
                <w:rFonts w:ascii="Times New Roman" w:eastAsia="Times New Roman" w:hAnsi="Times New Roman" w:cs="Times New Roman"/>
                <w:color w:val="2E74B5"/>
                <w:sz w:val="24"/>
                <w:szCs w:val="24"/>
              </w:rPr>
            </w:pPr>
          </w:p>
        </w:tc>
        <w:tc>
          <w:tcPr>
            <w:tcW w:w="1262" w:type="dxa"/>
          </w:tcPr>
          <w:p w14:paraId="7E72A5B9" w14:textId="77777777" w:rsidR="00BE2832" w:rsidRPr="00D7447D" w:rsidRDefault="00BE2832"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2E74B5"/>
                <w:sz w:val="24"/>
                <w:szCs w:val="24"/>
              </w:rPr>
            </w:pPr>
          </w:p>
        </w:tc>
        <w:tc>
          <w:tcPr>
            <w:tcW w:w="3402" w:type="dxa"/>
            <w:gridSpan w:val="5"/>
            <w:noWrap/>
            <w:hideMark/>
          </w:tcPr>
          <w:p w14:paraId="0F4C9475" w14:textId="77777777" w:rsidR="00BE2832" w:rsidRPr="00D7447D" w:rsidRDefault="00BE2832"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2E74B5"/>
                <w:sz w:val="24"/>
                <w:szCs w:val="24"/>
              </w:rPr>
            </w:pPr>
            <w:r w:rsidRPr="00D7447D">
              <w:rPr>
                <w:rFonts w:ascii="Times New Roman" w:eastAsia="Times New Roman" w:hAnsi="Times New Roman" w:cs="Times New Roman"/>
                <w:b/>
                <w:bCs/>
                <w:color w:val="2E74B5"/>
                <w:sz w:val="24"/>
                <w:szCs w:val="24"/>
              </w:rPr>
              <w:t xml:space="preserve">Shpenzimet totale </w:t>
            </w:r>
          </w:p>
        </w:tc>
      </w:tr>
      <w:tr w:rsidR="00BE2832" w:rsidRPr="00D7447D" w14:paraId="481BDEF4" w14:textId="77777777" w:rsidTr="009C504D">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vMerge/>
            <w:hideMark/>
          </w:tcPr>
          <w:p w14:paraId="6D9B6C17" w14:textId="77777777" w:rsidR="00BE2832" w:rsidRPr="00D7447D" w:rsidRDefault="00BE2832" w:rsidP="000B3CCC">
            <w:pPr>
              <w:spacing w:line="276" w:lineRule="auto"/>
              <w:rPr>
                <w:rFonts w:ascii="Times New Roman" w:eastAsia="Times New Roman" w:hAnsi="Times New Roman" w:cs="Times New Roman"/>
                <w:b w:val="0"/>
                <w:color w:val="000080"/>
                <w:sz w:val="24"/>
                <w:szCs w:val="24"/>
              </w:rPr>
            </w:pPr>
          </w:p>
        </w:tc>
        <w:tc>
          <w:tcPr>
            <w:tcW w:w="1262" w:type="dxa"/>
            <w:noWrap/>
            <w:hideMark/>
          </w:tcPr>
          <w:p w14:paraId="7E8EA005" w14:textId="16A31337" w:rsidR="00BE2832" w:rsidRPr="00D7447D" w:rsidRDefault="00BE283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E74B5"/>
                <w:sz w:val="24"/>
                <w:szCs w:val="24"/>
              </w:rPr>
            </w:pPr>
            <w:r w:rsidRPr="00D7447D">
              <w:rPr>
                <w:rFonts w:ascii="Times New Roman" w:eastAsia="Times New Roman" w:hAnsi="Times New Roman" w:cs="Times New Roman"/>
                <w:b/>
                <w:bCs/>
                <w:color w:val="2E74B5"/>
                <w:sz w:val="24"/>
                <w:szCs w:val="24"/>
              </w:rPr>
              <w:t>Buxheti 202</w:t>
            </w:r>
            <w:r w:rsidR="009C504D" w:rsidRPr="00D7447D">
              <w:rPr>
                <w:rFonts w:ascii="Times New Roman" w:eastAsia="Times New Roman" w:hAnsi="Times New Roman" w:cs="Times New Roman"/>
                <w:b/>
                <w:bCs/>
                <w:color w:val="2E74B5"/>
                <w:sz w:val="24"/>
                <w:szCs w:val="24"/>
              </w:rPr>
              <w:t>2</w:t>
            </w:r>
          </w:p>
        </w:tc>
        <w:tc>
          <w:tcPr>
            <w:tcW w:w="1134" w:type="dxa"/>
            <w:noWrap/>
            <w:hideMark/>
          </w:tcPr>
          <w:p w14:paraId="409DCEC9" w14:textId="65A4F145" w:rsidR="00BE2832" w:rsidRPr="00D7447D" w:rsidRDefault="00BE283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E74B5"/>
                <w:sz w:val="24"/>
                <w:szCs w:val="24"/>
              </w:rPr>
            </w:pPr>
            <w:r w:rsidRPr="00D7447D">
              <w:rPr>
                <w:rFonts w:ascii="Times New Roman" w:eastAsia="Times New Roman" w:hAnsi="Times New Roman" w:cs="Times New Roman"/>
                <w:b/>
                <w:bCs/>
                <w:color w:val="2E74B5"/>
                <w:sz w:val="24"/>
                <w:szCs w:val="24"/>
              </w:rPr>
              <w:t>PBA 202</w:t>
            </w:r>
            <w:r w:rsidR="009C504D" w:rsidRPr="00D7447D">
              <w:rPr>
                <w:rFonts w:ascii="Times New Roman" w:eastAsia="Times New Roman" w:hAnsi="Times New Roman" w:cs="Times New Roman"/>
                <w:b/>
                <w:bCs/>
                <w:color w:val="2E74B5"/>
                <w:sz w:val="24"/>
                <w:szCs w:val="24"/>
              </w:rPr>
              <w:t>3</w:t>
            </w:r>
          </w:p>
        </w:tc>
        <w:tc>
          <w:tcPr>
            <w:tcW w:w="1134" w:type="dxa"/>
            <w:gridSpan w:val="2"/>
            <w:noWrap/>
            <w:hideMark/>
          </w:tcPr>
          <w:p w14:paraId="0112CF50" w14:textId="48860F4E" w:rsidR="00BE2832" w:rsidRPr="00D7447D" w:rsidRDefault="00BE283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E74B5"/>
                <w:sz w:val="24"/>
                <w:szCs w:val="24"/>
              </w:rPr>
            </w:pPr>
            <w:r w:rsidRPr="00D7447D">
              <w:rPr>
                <w:rFonts w:ascii="Times New Roman" w:eastAsia="Times New Roman" w:hAnsi="Times New Roman" w:cs="Times New Roman"/>
                <w:b/>
                <w:bCs/>
                <w:color w:val="2E74B5"/>
                <w:sz w:val="24"/>
                <w:szCs w:val="24"/>
              </w:rPr>
              <w:t>PBA 202</w:t>
            </w:r>
            <w:r w:rsidR="009C504D" w:rsidRPr="00D7447D">
              <w:rPr>
                <w:rFonts w:ascii="Times New Roman" w:eastAsia="Times New Roman" w:hAnsi="Times New Roman" w:cs="Times New Roman"/>
                <w:b/>
                <w:bCs/>
                <w:color w:val="2E74B5"/>
                <w:sz w:val="24"/>
                <w:szCs w:val="24"/>
              </w:rPr>
              <w:t>4</w:t>
            </w:r>
          </w:p>
        </w:tc>
        <w:tc>
          <w:tcPr>
            <w:tcW w:w="1134" w:type="dxa"/>
            <w:gridSpan w:val="2"/>
            <w:noWrap/>
            <w:hideMark/>
          </w:tcPr>
          <w:p w14:paraId="49A7DED1" w14:textId="32C019AB" w:rsidR="00BE2832" w:rsidRPr="00D7447D" w:rsidRDefault="00BE283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2E74B5"/>
                <w:sz w:val="24"/>
                <w:szCs w:val="24"/>
              </w:rPr>
            </w:pPr>
            <w:r w:rsidRPr="00D7447D">
              <w:rPr>
                <w:rFonts w:ascii="Times New Roman" w:eastAsia="Times New Roman" w:hAnsi="Times New Roman" w:cs="Times New Roman"/>
                <w:b/>
                <w:bCs/>
                <w:color w:val="2E74B5"/>
                <w:sz w:val="24"/>
                <w:szCs w:val="24"/>
              </w:rPr>
              <w:t>PBA 202</w:t>
            </w:r>
            <w:r w:rsidR="009C504D" w:rsidRPr="00D7447D">
              <w:rPr>
                <w:rFonts w:ascii="Times New Roman" w:eastAsia="Times New Roman" w:hAnsi="Times New Roman" w:cs="Times New Roman"/>
                <w:b/>
                <w:bCs/>
                <w:color w:val="2E74B5"/>
                <w:sz w:val="24"/>
                <w:szCs w:val="24"/>
              </w:rPr>
              <w:t>5</w:t>
            </w:r>
          </w:p>
        </w:tc>
      </w:tr>
      <w:tr w:rsidR="00BE2832" w:rsidRPr="00D7447D" w14:paraId="65C87CA9" w14:textId="77777777" w:rsidTr="009C504D">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70451293" w14:textId="77777777" w:rsidR="00BE2832" w:rsidRPr="00D7447D" w:rsidRDefault="00BE2832" w:rsidP="000B3CCC">
            <w:pPr>
              <w:spacing w:line="276" w:lineRule="auto"/>
              <w:rPr>
                <w:rFonts w:ascii="Times New Roman" w:eastAsia="Times New Roman" w:hAnsi="Times New Roman" w:cs="Times New Roman"/>
                <w:color w:val="FFFFFF"/>
                <w:sz w:val="24"/>
                <w:szCs w:val="24"/>
              </w:rPr>
            </w:pPr>
            <w:r w:rsidRPr="00D7447D">
              <w:rPr>
                <w:rFonts w:ascii="Times New Roman" w:eastAsia="Times New Roman" w:hAnsi="Times New Roman" w:cs="Times New Roman"/>
                <w:b w:val="0"/>
                <w:color w:val="FFFFFF"/>
                <w:sz w:val="24"/>
                <w:szCs w:val="24"/>
              </w:rPr>
              <w:t>në milion lek</w:t>
            </w:r>
          </w:p>
        </w:tc>
        <w:tc>
          <w:tcPr>
            <w:tcW w:w="1262" w:type="dxa"/>
            <w:noWrap/>
            <w:vAlign w:val="center"/>
          </w:tcPr>
          <w:p w14:paraId="24E68CBC" w14:textId="327B69CB" w:rsidR="00BE2832" w:rsidRPr="00D7447D" w:rsidRDefault="00F77642"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47,471</w:t>
            </w:r>
          </w:p>
        </w:tc>
        <w:tc>
          <w:tcPr>
            <w:tcW w:w="1276" w:type="dxa"/>
            <w:gridSpan w:val="2"/>
            <w:noWrap/>
            <w:vAlign w:val="center"/>
          </w:tcPr>
          <w:p w14:paraId="3BB1E189" w14:textId="7ED695EB" w:rsidR="00BE2832" w:rsidRPr="00D7447D" w:rsidRDefault="00F77642"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48,748</w:t>
            </w:r>
          </w:p>
        </w:tc>
        <w:tc>
          <w:tcPr>
            <w:tcW w:w="1134" w:type="dxa"/>
            <w:gridSpan w:val="2"/>
            <w:noWrap/>
            <w:vAlign w:val="center"/>
          </w:tcPr>
          <w:p w14:paraId="32262B6C" w14:textId="08B78046" w:rsidR="00BE2832" w:rsidRPr="00D7447D" w:rsidRDefault="00F77642"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54,544</w:t>
            </w:r>
          </w:p>
        </w:tc>
        <w:tc>
          <w:tcPr>
            <w:tcW w:w="992" w:type="dxa"/>
            <w:noWrap/>
            <w:vAlign w:val="center"/>
          </w:tcPr>
          <w:p w14:paraId="7D5CA23A" w14:textId="428F4507" w:rsidR="00BE2832" w:rsidRPr="00D7447D" w:rsidRDefault="00F77642"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58,697</w:t>
            </w:r>
          </w:p>
        </w:tc>
      </w:tr>
      <w:tr w:rsidR="00BE2832" w:rsidRPr="00D7447D" w14:paraId="70212409" w14:textId="77777777" w:rsidTr="009C504D">
        <w:trPr>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hideMark/>
          </w:tcPr>
          <w:p w14:paraId="57634752" w14:textId="77777777" w:rsidR="00BE2832" w:rsidRPr="00D7447D" w:rsidRDefault="00BE2832" w:rsidP="000B3CCC">
            <w:pPr>
              <w:spacing w:line="276" w:lineRule="auto"/>
              <w:rPr>
                <w:rFonts w:ascii="Times New Roman" w:eastAsia="Times New Roman" w:hAnsi="Times New Roman" w:cs="Times New Roman"/>
                <w:b w:val="0"/>
                <w:color w:val="FFFFFF"/>
                <w:sz w:val="24"/>
                <w:szCs w:val="24"/>
              </w:rPr>
            </w:pPr>
            <w:r w:rsidRPr="00D7447D">
              <w:rPr>
                <w:rFonts w:ascii="Times New Roman" w:eastAsia="Times New Roman" w:hAnsi="Times New Roman" w:cs="Times New Roman"/>
                <w:b w:val="0"/>
                <w:color w:val="FFFFFF"/>
                <w:sz w:val="24"/>
                <w:szCs w:val="24"/>
              </w:rPr>
              <w:t>% ndaj PBB</w:t>
            </w:r>
          </w:p>
        </w:tc>
        <w:tc>
          <w:tcPr>
            <w:tcW w:w="1262" w:type="dxa"/>
            <w:noWrap/>
            <w:vAlign w:val="center"/>
            <w:hideMark/>
          </w:tcPr>
          <w:p w14:paraId="16B3EC29" w14:textId="2B36EB82" w:rsidR="00BE2832" w:rsidRPr="00D7447D" w:rsidRDefault="00F7764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2.54</w:t>
            </w:r>
            <w:r w:rsidR="00BE2832" w:rsidRPr="00D7447D">
              <w:rPr>
                <w:rFonts w:ascii="Times New Roman" w:eastAsia="Times New Roman" w:hAnsi="Times New Roman" w:cs="Times New Roman"/>
                <w:sz w:val="24"/>
                <w:szCs w:val="24"/>
              </w:rPr>
              <w:t>%</w:t>
            </w:r>
          </w:p>
        </w:tc>
        <w:tc>
          <w:tcPr>
            <w:tcW w:w="1276" w:type="dxa"/>
            <w:gridSpan w:val="2"/>
            <w:noWrap/>
            <w:vAlign w:val="center"/>
            <w:hideMark/>
          </w:tcPr>
          <w:p w14:paraId="0F778C6E" w14:textId="086AC785" w:rsidR="00BE2832" w:rsidRPr="00D7447D" w:rsidRDefault="00BE283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2.</w:t>
            </w:r>
            <w:r w:rsidR="0046415E" w:rsidRPr="00D7447D">
              <w:rPr>
                <w:rFonts w:ascii="Times New Roman" w:eastAsia="Times New Roman" w:hAnsi="Times New Roman" w:cs="Times New Roman"/>
                <w:sz w:val="24"/>
                <w:szCs w:val="24"/>
              </w:rPr>
              <w:t>48</w:t>
            </w:r>
            <w:r w:rsidRPr="00D7447D">
              <w:rPr>
                <w:rFonts w:ascii="Times New Roman" w:eastAsia="Times New Roman" w:hAnsi="Times New Roman" w:cs="Times New Roman"/>
                <w:sz w:val="24"/>
                <w:szCs w:val="24"/>
              </w:rPr>
              <w:t>%</w:t>
            </w:r>
          </w:p>
        </w:tc>
        <w:tc>
          <w:tcPr>
            <w:tcW w:w="1134" w:type="dxa"/>
            <w:gridSpan w:val="2"/>
            <w:noWrap/>
            <w:vAlign w:val="center"/>
            <w:hideMark/>
          </w:tcPr>
          <w:p w14:paraId="78531FE4" w14:textId="6BADB2CA" w:rsidR="00BE2832" w:rsidRPr="00D7447D" w:rsidRDefault="00BE283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2.</w:t>
            </w:r>
            <w:r w:rsidR="0046415E" w:rsidRPr="00D7447D">
              <w:rPr>
                <w:rFonts w:ascii="Times New Roman" w:eastAsia="Times New Roman" w:hAnsi="Times New Roman" w:cs="Times New Roman"/>
                <w:sz w:val="24"/>
                <w:szCs w:val="24"/>
              </w:rPr>
              <w:t>63</w:t>
            </w:r>
            <w:r w:rsidRPr="00D7447D">
              <w:rPr>
                <w:rFonts w:ascii="Times New Roman" w:eastAsia="Times New Roman" w:hAnsi="Times New Roman" w:cs="Times New Roman"/>
                <w:sz w:val="24"/>
                <w:szCs w:val="24"/>
              </w:rPr>
              <w:t>%</w:t>
            </w:r>
          </w:p>
        </w:tc>
        <w:tc>
          <w:tcPr>
            <w:tcW w:w="992" w:type="dxa"/>
            <w:noWrap/>
            <w:vAlign w:val="center"/>
            <w:hideMark/>
          </w:tcPr>
          <w:p w14:paraId="27FB560E" w14:textId="35CEC630" w:rsidR="00BE2832" w:rsidRPr="00D7447D" w:rsidRDefault="00BE2832"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2.</w:t>
            </w:r>
            <w:r w:rsidR="0046415E" w:rsidRPr="00D7447D">
              <w:rPr>
                <w:rFonts w:ascii="Times New Roman" w:eastAsia="Times New Roman" w:hAnsi="Times New Roman" w:cs="Times New Roman"/>
                <w:sz w:val="24"/>
                <w:szCs w:val="24"/>
              </w:rPr>
              <w:t>69</w:t>
            </w:r>
            <w:r w:rsidRPr="00D7447D">
              <w:rPr>
                <w:rFonts w:ascii="Times New Roman" w:eastAsia="Times New Roman" w:hAnsi="Times New Roman" w:cs="Times New Roman"/>
                <w:sz w:val="24"/>
                <w:szCs w:val="24"/>
              </w:rPr>
              <w:t>%</w:t>
            </w:r>
          </w:p>
        </w:tc>
      </w:tr>
      <w:tr w:rsidR="00BE2832" w:rsidRPr="00D7447D" w14:paraId="15CFC758" w14:textId="77777777" w:rsidTr="009C504D">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69" w:type="dxa"/>
            <w:gridSpan w:val="2"/>
            <w:noWrap/>
            <w:vAlign w:val="center"/>
          </w:tcPr>
          <w:p w14:paraId="42705C04" w14:textId="77777777" w:rsidR="00BE2832" w:rsidRPr="00D7447D" w:rsidRDefault="00BE2832" w:rsidP="000B3CCC">
            <w:pPr>
              <w:spacing w:line="276" w:lineRule="auto"/>
              <w:rPr>
                <w:rFonts w:ascii="Times New Roman" w:eastAsia="Times New Roman" w:hAnsi="Times New Roman" w:cs="Times New Roman"/>
                <w:b w:val="0"/>
                <w:color w:val="FFFFFF"/>
                <w:sz w:val="24"/>
                <w:szCs w:val="24"/>
              </w:rPr>
            </w:pPr>
            <w:r w:rsidRPr="00D7447D">
              <w:rPr>
                <w:rFonts w:ascii="Times New Roman" w:eastAsia="Times New Roman" w:hAnsi="Times New Roman" w:cs="Times New Roman"/>
                <w:b w:val="0"/>
                <w:color w:val="FFFFFF"/>
                <w:sz w:val="24"/>
                <w:szCs w:val="24"/>
              </w:rPr>
              <w:lastRenderedPageBreak/>
              <w:t>% ndaj totalit të Shpenzimeve Buxhetore</w:t>
            </w:r>
          </w:p>
        </w:tc>
        <w:tc>
          <w:tcPr>
            <w:tcW w:w="1262" w:type="dxa"/>
            <w:noWrap/>
            <w:vAlign w:val="center"/>
          </w:tcPr>
          <w:p w14:paraId="6B86CAE9" w14:textId="0992885C" w:rsidR="00BE2832" w:rsidRPr="00D7447D" w:rsidRDefault="00CD1416"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7.4</w:t>
            </w:r>
            <w:r w:rsidR="00BE2832" w:rsidRPr="00D7447D">
              <w:rPr>
                <w:rFonts w:ascii="Times New Roman" w:eastAsia="Times New Roman" w:hAnsi="Times New Roman" w:cs="Times New Roman"/>
                <w:sz w:val="24"/>
                <w:szCs w:val="24"/>
              </w:rPr>
              <w:t>%</w:t>
            </w:r>
          </w:p>
        </w:tc>
        <w:tc>
          <w:tcPr>
            <w:tcW w:w="1276" w:type="dxa"/>
            <w:gridSpan w:val="2"/>
            <w:noWrap/>
            <w:vAlign w:val="center"/>
          </w:tcPr>
          <w:p w14:paraId="2D233519" w14:textId="567573D6" w:rsidR="00BE2832" w:rsidRPr="00D7447D" w:rsidRDefault="00940DD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7</w:t>
            </w:r>
            <w:r w:rsidR="00BE2832" w:rsidRPr="00D7447D">
              <w:rPr>
                <w:rFonts w:ascii="Times New Roman" w:eastAsia="Times New Roman" w:hAnsi="Times New Roman" w:cs="Times New Roman"/>
                <w:sz w:val="24"/>
                <w:szCs w:val="24"/>
              </w:rPr>
              <w:t>,77%</w:t>
            </w:r>
          </w:p>
        </w:tc>
        <w:tc>
          <w:tcPr>
            <w:tcW w:w="1134" w:type="dxa"/>
            <w:gridSpan w:val="2"/>
            <w:noWrap/>
            <w:vAlign w:val="center"/>
          </w:tcPr>
          <w:p w14:paraId="3AB8BBA7" w14:textId="21A6599D" w:rsidR="00BE2832" w:rsidRPr="00D7447D" w:rsidRDefault="00940DD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8</w:t>
            </w:r>
            <w:r w:rsidR="00BE2832" w:rsidRPr="00D7447D">
              <w:rPr>
                <w:rFonts w:ascii="Times New Roman" w:eastAsia="Times New Roman" w:hAnsi="Times New Roman" w:cs="Times New Roman"/>
                <w:sz w:val="24"/>
                <w:szCs w:val="24"/>
              </w:rPr>
              <w:t>,</w:t>
            </w:r>
            <w:r w:rsidRPr="00D7447D">
              <w:rPr>
                <w:rFonts w:ascii="Times New Roman" w:eastAsia="Times New Roman" w:hAnsi="Times New Roman" w:cs="Times New Roman"/>
                <w:sz w:val="24"/>
                <w:szCs w:val="24"/>
              </w:rPr>
              <w:t>26</w:t>
            </w:r>
            <w:r w:rsidR="00BE2832" w:rsidRPr="00D7447D">
              <w:rPr>
                <w:rFonts w:ascii="Times New Roman" w:eastAsia="Times New Roman" w:hAnsi="Times New Roman" w:cs="Times New Roman"/>
                <w:sz w:val="24"/>
                <w:szCs w:val="24"/>
              </w:rPr>
              <w:t>%</w:t>
            </w:r>
          </w:p>
        </w:tc>
        <w:tc>
          <w:tcPr>
            <w:tcW w:w="992" w:type="dxa"/>
            <w:noWrap/>
            <w:vAlign w:val="center"/>
          </w:tcPr>
          <w:p w14:paraId="5C03B8A7" w14:textId="71B51ED6" w:rsidR="00BE2832" w:rsidRPr="00D7447D" w:rsidRDefault="00BE2832"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7447D">
              <w:rPr>
                <w:rFonts w:ascii="Times New Roman" w:eastAsia="Times New Roman" w:hAnsi="Times New Roman" w:cs="Times New Roman"/>
                <w:sz w:val="24"/>
                <w:szCs w:val="24"/>
              </w:rPr>
              <w:t>8.</w:t>
            </w:r>
            <w:r w:rsidR="00940DD7" w:rsidRPr="00D7447D">
              <w:rPr>
                <w:rFonts w:ascii="Times New Roman" w:eastAsia="Times New Roman" w:hAnsi="Times New Roman" w:cs="Times New Roman"/>
                <w:sz w:val="24"/>
                <w:szCs w:val="24"/>
              </w:rPr>
              <w:t>41</w:t>
            </w:r>
            <w:r w:rsidRPr="00D7447D">
              <w:rPr>
                <w:rFonts w:ascii="Times New Roman" w:eastAsia="Times New Roman" w:hAnsi="Times New Roman" w:cs="Times New Roman"/>
                <w:sz w:val="24"/>
                <w:szCs w:val="24"/>
              </w:rPr>
              <w:t>%</w:t>
            </w:r>
          </w:p>
        </w:tc>
      </w:tr>
    </w:tbl>
    <w:p w14:paraId="5F1F4B4A" w14:textId="77777777" w:rsidR="00DC669F" w:rsidRPr="00D7447D" w:rsidRDefault="00DC669F" w:rsidP="000B3CCC">
      <w:pPr>
        <w:spacing w:after="0" w:line="276" w:lineRule="auto"/>
        <w:jc w:val="both"/>
        <w:rPr>
          <w:rFonts w:ascii="Times New Roman" w:eastAsia="Times New Roman" w:hAnsi="Times New Roman" w:cs="Times New Roman"/>
          <w:sz w:val="24"/>
          <w:szCs w:val="24"/>
          <w:u w:val="single"/>
          <w:lang w:eastAsia="sr-Latn-CS"/>
        </w:rPr>
      </w:pPr>
    </w:p>
    <w:p w14:paraId="4E984B4B" w14:textId="77777777" w:rsidR="005C439F" w:rsidRPr="00D7447D" w:rsidRDefault="005C439F" w:rsidP="000B3CCC">
      <w:pPr>
        <w:tabs>
          <w:tab w:val="left" w:pos="630"/>
        </w:tabs>
        <w:spacing w:after="0" w:line="276" w:lineRule="auto"/>
        <w:ind w:left="720"/>
        <w:rPr>
          <w:rFonts w:ascii="Times New Roman" w:eastAsia="Calibri" w:hAnsi="Times New Roman" w:cs="Times New Roman"/>
          <w:b/>
          <w:sz w:val="24"/>
          <w:szCs w:val="24"/>
        </w:rPr>
      </w:pPr>
    </w:p>
    <w:p w14:paraId="438D6E49" w14:textId="0ED0C5E4" w:rsidR="00DC669F" w:rsidRPr="00D7447D" w:rsidRDefault="00DC669F" w:rsidP="000B3CCC">
      <w:pPr>
        <w:tabs>
          <w:tab w:val="left" w:pos="630"/>
        </w:tabs>
        <w:spacing w:after="0" w:line="276" w:lineRule="auto"/>
        <w:ind w:left="720"/>
        <w:rPr>
          <w:rFonts w:ascii="Times New Roman" w:eastAsia="Calibri" w:hAnsi="Times New Roman" w:cs="Times New Roman"/>
          <w:b/>
          <w:sz w:val="24"/>
          <w:szCs w:val="24"/>
        </w:rPr>
      </w:pPr>
      <w:r w:rsidRPr="00D7447D">
        <w:rPr>
          <w:rFonts w:ascii="Times New Roman" w:eastAsia="Calibri" w:hAnsi="Times New Roman" w:cs="Times New Roman"/>
          <w:b/>
          <w:sz w:val="24"/>
          <w:szCs w:val="24"/>
        </w:rPr>
        <w:t xml:space="preserve">3.5.1 Prioritetet për </w:t>
      </w:r>
      <w:r w:rsidR="001266C9" w:rsidRPr="00D7447D">
        <w:rPr>
          <w:rFonts w:ascii="Times New Roman" w:eastAsia="Calibri" w:hAnsi="Times New Roman" w:cs="Times New Roman"/>
          <w:b/>
          <w:sz w:val="24"/>
          <w:szCs w:val="24"/>
        </w:rPr>
        <w:t>periudhën 202</w:t>
      </w:r>
      <w:r w:rsidR="007068DD" w:rsidRPr="00D7447D">
        <w:rPr>
          <w:rFonts w:ascii="Times New Roman" w:eastAsia="Calibri" w:hAnsi="Times New Roman" w:cs="Times New Roman"/>
          <w:b/>
          <w:sz w:val="24"/>
          <w:szCs w:val="24"/>
        </w:rPr>
        <w:t>3</w:t>
      </w:r>
      <w:r w:rsidR="001266C9" w:rsidRPr="00D7447D">
        <w:rPr>
          <w:rFonts w:ascii="Times New Roman" w:eastAsia="Calibri" w:hAnsi="Times New Roman" w:cs="Times New Roman"/>
          <w:b/>
          <w:sz w:val="24"/>
          <w:szCs w:val="24"/>
        </w:rPr>
        <w:t>-202</w:t>
      </w:r>
      <w:r w:rsidR="007068DD" w:rsidRPr="00D7447D">
        <w:rPr>
          <w:rFonts w:ascii="Times New Roman" w:eastAsia="Calibri" w:hAnsi="Times New Roman" w:cs="Times New Roman"/>
          <w:b/>
          <w:sz w:val="24"/>
          <w:szCs w:val="24"/>
        </w:rPr>
        <w:t>5</w:t>
      </w:r>
    </w:p>
    <w:p w14:paraId="23CCD1E5" w14:textId="77777777" w:rsidR="00DC669F" w:rsidRPr="00D7447D" w:rsidRDefault="00DC669F" w:rsidP="000B3CCC">
      <w:pPr>
        <w:numPr>
          <w:ilvl w:val="0"/>
          <w:numId w:val="11"/>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Zgjerimi i rrjetit të rrugëve kombëtare  nëpërmjet, ndërtimit, rehabilitimit dhe sistemimit të rrugëve kombëtare dhe përveç kësaj kalimin në praktikat e mirëmbajtjes së rrugëve bazuar në performancë;</w:t>
      </w:r>
    </w:p>
    <w:p w14:paraId="039CFCD6" w14:textId="77777777" w:rsidR="00DC669F" w:rsidRPr="00D7447D" w:rsidRDefault="00DC669F" w:rsidP="000B3CCC">
      <w:pPr>
        <w:numPr>
          <w:ilvl w:val="0"/>
          <w:numId w:val="11"/>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14:paraId="389C4B86" w14:textId="77777777" w:rsidR="00DC669F" w:rsidRPr="00D7447D" w:rsidRDefault="00DC669F" w:rsidP="000B3CCC">
      <w:pPr>
        <w:numPr>
          <w:ilvl w:val="0"/>
          <w:numId w:val="11"/>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e efiçencës së energjisë  kundrejt konsumit të përgjithshëm final të energjisë nëpërmjet shqyrtimit të programeve për promovimin e tregut, për penetrimin e teknologjive të përparuara  si dhe rritjen e përdorimit të energjive të rinovu</w:t>
      </w:r>
      <w:r w:rsidR="00F6409B" w:rsidRPr="00D7447D">
        <w:rPr>
          <w:rFonts w:ascii="Times New Roman" w:eastAsia="Calibri" w:hAnsi="Times New Roman" w:cs="Times New Roman"/>
          <w:sz w:val="24"/>
          <w:szCs w:val="24"/>
          <w:lang w:val="sq-AL"/>
        </w:rPr>
        <w:t>e</w:t>
      </w:r>
      <w:r w:rsidRPr="00D7447D">
        <w:rPr>
          <w:rFonts w:ascii="Times New Roman" w:eastAsia="Calibri" w:hAnsi="Times New Roman" w:cs="Times New Roman"/>
          <w:sz w:val="24"/>
          <w:szCs w:val="24"/>
          <w:lang w:val="sq-AL"/>
        </w:rPr>
        <w:t>shme;</w:t>
      </w:r>
    </w:p>
    <w:p w14:paraId="5F0A2CD8" w14:textId="77777777" w:rsidR="007B048F" w:rsidRPr="00D7447D" w:rsidRDefault="00DC669F" w:rsidP="000B3CCC">
      <w:pPr>
        <w:numPr>
          <w:ilvl w:val="0"/>
          <w:numId w:val="11"/>
        </w:num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Trajtimi i mbetjeve në mënyrë të kontrolluar sanitare,  nëpërmjet vazhdimit të ndërtimit  të impianteve të reja të trajtimit të mbetjeve të ngurta dhe rehabilitimit të venddepozitimeve ekzistuese.</w:t>
      </w:r>
    </w:p>
    <w:p w14:paraId="24673A27" w14:textId="77777777" w:rsidR="00DC669F" w:rsidRPr="00D7447D" w:rsidRDefault="00DC669F" w:rsidP="000B3CCC">
      <w:pPr>
        <w:spacing w:after="0" w:line="276" w:lineRule="auto"/>
        <w:jc w:val="both"/>
        <w:rPr>
          <w:rFonts w:ascii="Times New Roman" w:eastAsia="Calibri" w:hAnsi="Times New Roman" w:cs="Times New Roman"/>
          <w:b/>
          <w:sz w:val="24"/>
          <w:szCs w:val="24"/>
        </w:rPr>
      </w:pPr>
    </w:p>
    <w:p w14:paraId="272EC249" w14:textId="77777777" w:rsidR="00DC669F" w:rsidRPr="00D7447D" w:rsidRDefault="00DC669F" w:rsidP="000B3CCC">
      <w:pPr>
        <w:spacing w:after="0" w:line="276" w:lineRule="auto"/>
        <w:jc w:val="both"/>
        <w:rPr>
          <w:rFonts w:ascii="Times New Roman" w:eastAsia="Calibri" w:hAnsi="Times New Roman" w:cs="Times New Roman"/>
          <w:b/>
          <w:sz w:val="24"/>
          <w:szCs w:val="24"/>
        </w:rPr>
      </w:pPr>
      <w:r w:rsidRPr="00D7447D">
        <w:rPr>
          <w:rFonts w:ascii="Times New Roman" w:eastAsia="Calibri" w:hAnsi="Times New Roman" w:cs="Times New Roman"/>
          <w:b/>
          <w:sz w:val="24"/>
          <w:szCs w:val="24"/>
        </w:rPr>
        <w:t xml:space="preserve">Tabela </w:t>
      </w:r>
      <w:r w:rsidR="00185105" w:rsidRPr="00D7447D">
        <w:rPr>
          <w:rFonts w:ascii="Times New Roman" w:eastAsia="Calibri" w:hAnsi="Times New Roman" w:cs="Times New Roman"/>
          <w:b/>
          <w:sz w:val="24"/>
          <w:szCs w:val="24"/>
        </w:rPr>
        <w:t>16</w:t>
      </w:r>
      <w:r w:rsidRPr="00D7447D">
        <w:rPr>
          <w:rFonts w:ascii="Times New Roman" w:eastAsia="Calibri" w:hAnsi="Times New Roman" w:cs="Times New Roman"/>
          <w:b/>
          <w:sz w:val="24"/>
          <w:szCs w:val="24"/>
        </w:rPr>
        <w:t xml:space="preserve">: </w:t>
      </w:r>
      <w:r w:rsidRPr="00D7447D">
        <w:rPr>
          <w:rFonts w:ascii="Times New Roman" w:eastAsia="Times New Roman" w:hAnsi="Times New Roman" w:cs="Times New Roman"/>
          <w:sz w:val="24"/>
          <w:szCs w:val="24"/>
          <w:lang w:val="sq-AL"/>
        </w:rPr>
        <w:t xml:space="preserve">Shpenzimet për Ministrinë e Infrastrukturës dhe Energjisë </w:t>
      </w:r>
      <w:r w:rsidR="00277146" w:rsidRPr="00D7447D">
        <w:rPr>
          <w:rFonts w:ascii="Times New Roman" w:eastAsia="Times New Roman" w:hAnsi="Times New Roman" w:cs="Times New Roman"/>
          <w:sz w:val="24"/>
          <w:szCs w:val="24"/>
          <w:lang w:val="sq-AL"/>
        </w:rPr>
        <w:t>sipas programeve buxhetore dhe sipas artikujve ekonomikë</w:t>
      </w:r>
    </w:p>
    <w:p w14:paraId="47E0355F" w14:textId="77777777" w:rsidR="00DC669F" w:rsidRPr="00D7447D" w:rsidRDefault="00DC669F" w:rsidP="000B3CCC">
      <w:pPr>
        <w:spacing w:after="0" w:line="276" w:lineRule="auto"/>
        <w:jc w:val="both"/>
        <w:rPr>
          <w:rFonts w:ascii="Times New Roman" w:eastAsia="Times New Roman" w:hAnsi="Times New Roman" w:cs="Times New Roman"/>
          <w:b/>
          <w:color w:val="0070C0"/>
          <w:sz w:val="24"/>
          <w:szCs w:val="24"/>
          <w:lang w:eastAsia="sr-Latn-CS"/>
        </w:rPr>
      </w:pPr>
    </w:p>
    <w:p w14:paraId="7F6C68F5" w14:textId="72662FEB" w:rsidR="00FD15FB" w:rsidRPr="00D7447D" w:rsidRDefault="004F3764" w:rsidP="000B3CCC">
      <w:pPr>
        <w:spacing w:line="276" w:lineRule="auto"/>
        <w:rPr>
          <w:rFonts w:ascii="Times New Roman" w:eastAsia="MS Gothic" w:hAnsi="Times New Roman" w:cs="Times New Roman"/>
          <w:b/>
          <w:bCs/>
          <w:color w:val="0070C0"/>
          <w:sz w:val="24"/>
          <w:szCs w:val="24"/>
          <w:lang w:val="en-GB"/>
        </w:rPr>
      </w:pPr>
      <w:r w:rsidRPr="00D7447D">
        <w:rPr>
          <w:rFonts w:ascii="Times New Roman" w:hAnsi="Times New Roman" w:cs="Times New Roman"/>
          <w:noProof/>
          <w:sz w:val="24"/>
          <w:szCs w:val="24"/>
        </w:rPr>
        <w:drawing>
          <wp:inline distT="0" distB="0" distL="0" distR="0" wp14:anchorId="55494567" wp14:editId="5AB4CE6B">
            <wp:extent cx="5942836" cy="366491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6741" cy="3667323"/>
                    </a:xfrm>
                    <a:prstGeom prst="rect">
                      <a:avLst/>
                    </a:prstGeom>
                  </pic:spPr>
                </pic:pic>
              </a:graphicData>
            </a:graphic>
          </wp:inline>
        </w:drawing>
      </w:r>
    </w:p>
    <w:p w14:paraId="7D036AF9" w14:textId="77777777" w:rsidR="00DC669F" w:rsidRPr="00D7447D" w:rsidRDefault="00DC669F" w:rsidP="000B3CCC">
      <w:pPr>
        <w:spacing w:line="276" w:lineRule="auto"/>
        <w:rPr>
          <w:rFonts w:ascii="Times New Roman" w:eastAsia="MS Gothic" w:hAnsi="Times New Roman" w:cs="Times New Roman"/>
          <w:b/>
          <w:bCs/>
          <w:color w:val="0070C0"/>
          <w:sz w:val="24"/>
          <w:szCs w:val="24"/>
          <w:lang w:val="en-GB"/>
        </w:rPr>
      </w:pPr>
    </w:p>
    <w:p w14:paraId="072BC8EC" w14:textId="77777777" w:rsidR="00DC669F" w:rsidRPr="00D7447D" w:rsidRDefault="00DC669F" w:rsidP="000B3CCC">
      <w:pPr>
        <w:pStyle w:val="Heading3"/>
        <w:numPr>
          <w:ilvl w:val="2"/>
          <w:numId w:val="21"/>
        </w:numPr>
        <w:spacing w:after="200" w:line="276" w:lineRule="auto"/>
        <w:contextualSpacing/>
        <w:rPr>
          <w:rFonts w:ascii="Times New Roman" w:eastAsia="Calibri" w:hAnsi="Times New Roman" w:cs="Times New Roman"/>
          <w:b/>
          <w:color w:val="auto"/>
        </w:rPr>
      </w:pPr>
      <w:r w:rsidRPr="00D7447D">
        <w:rPr>
          <w:rFonts w:ascii="Times New Roman" w:eastAsia="Calibri" w:hAnsi="Times New Roman" w:cs="Times New Roman"/>
          <w:b/>
          <w:color w:val="auto"/>
        </w:rPr>
        <w:t>Përmbledhje e Treguesve Kyç të Performancës</w:t>
      </w:r>
    </w:p>
    <w:p w14:paraId="35C7BFF4"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 xml:space="preserve">Programi “Transporti Rrugor” </w:t>
      </w:r>
    </w:p>
    <w:p w14:paraId="4B1BD2A6" w14:textId="77777777" w:rsidR="00740D1B" w:rsidRPr="00D7447D" w:rsidRDefault="00740D1B" w:rsidP="000B3CCC">
      <w:pPr>
        <w:pStyle w:val="ListParagraph"/>
        <w:numPr>
          <w:ilvl w:val="0"/>
          <w:numId w:val="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Ndërtim rruga Kardhiq - Delvinë Loti 8 (rishikimi dhe plotësimi i sinjalistikës nga Loti 1 deri në Lotin 7) dhe ndërtimi i rrugës lidhëse Shijan - Ura e Gajdarit dhe rehabilitimi i segmentit rrugor Shijan - Delvinë.</w:t>
      </w:r>
    </w:p>
    <w:p w14:paraId="056D1070"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Rritja e sigurisë rrugore në të gjitha akset kombëtare ku synohet ulja e numrit të aksidenteve me pasojë humbje jetë njerëzish dhe numri i pikave të zeza me 25%, sipas Strategjisë Kombëtare të Transportit. </w:t>
      </w:r>
    </w:p>
    <w:p w14:paraId="441C3BE7"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3483 km rrugë të mirëmbajtura sipas standardeve n</w:t>
      </w:r>
      <w:r w:rsidR="00751E16" w:rsidRPr="00D7447D">
        <w:rPr>
          <w:rFonts w:ascii="Times New Roman" w:eastAsia="Calibri" w:hAnsi="Times New Roman" w:cs="Times New Roman"/>
          <w:sz w:val="24"/>
          <w:szCs w:val="24"/>
          <w:lang w:val="sq-AL"/>
        </w:rPr>
        <w:t>ë vitin 2023</w:t>
      </w:r>
      <w:r w:rsidRPr="00D7447D">
        <w:rPr>
          <w:rFonts w:ascii="Times New Roman" w:eastAsia="Calibri" w:hAnsi="Times New Roman" w:cs="Times New Roman"/>
          <w:sz w:val="24"/>
          <w:szCs w:val="24"/>
          <w:lang w:val="sq-AL"/>
        </w:rPr>
        <w:t xml:space="preserve"> në të gjithë territorin;</w:t>
      </w:r>
    </w:p>
    <w:p w14:paraId="0A32F4FF"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Numri i kilometrave të ndërtuara reabilituara, sistemuara, asfaltuara dhe te pajisura me sinjalistike rrugore do t</w:t>
      </w:r>
      <w:r w:rsidR="00751E16" w:rsidRPr="00D7447D">
        <w:rPr>
          <w:rFonts w:ascii="Times New Roman" w:eastAsia="Calibri" w:hAnsi="Times New Roman" w:cs="Times New Roman"/>
          <w:sz w:val="24"/>
          <w:szCs w:val="24"/>
          <w:lang w:val="sq-AL"/>
        </w:rPr>
        <w:t>ë arrijë në 602 Km në vitin 2022</w:t>
      </w:r>
      <w:r w:rsidRPr="00D7447D">
        <w:rPr>
          <w:rFonts w:ascii="Times New Roman" w:eastAsia="Calibri" w:hAnsi="Times New Roman" w:cs="Times New Roman"/>
          <w:sz w:val="24"/>
          <w:szCs w:val="24"/>
          <w:lang w:val="sq-AL"/>
        </w:rPr>
        <w:t xml:space="preserve"> nga 308Km që pritet të ndër</w:t>
      </w:r>
      <w:r w:rsidR="00751E16" w:rsidRPr="00D7447D">
        <w:rPr>
          <w:rFonts w:ascii="Times New Roman" w:eastAsia="Calibri" w:hAnsi="Times New Roman" w:cs="Times New Roman"/>
          <w:sz w:val="24"/>
          <w:szCs w:val="24"/>
          <w:lang w:val="sq-AL"/>
        </w:rPr>
        <w:t>tohen deri në fund të vitit 2021</w:t>
      </w:r>
      <w:r w:rsidRPr="00D7447D">
        <w:rPr>
          <w:rFonts w:ascii="Times New Roman" w:eastAsia="Calibri" w:hAnsi="Times New Roman" w:cs="Times New Roman"/>
          <w:sz w:val="24"/>
          <w:szCs w:val="24"/>
          <w:lang w:val="sq-AL"/>
        </w:rPr>
        <w:t>;</w:t>
      </w:r>
    </w:p>
    <w:p w14:paraId="5FED9993" w14:textId="77777777" w:rsidR="00740D1B" w:rsidRPr="00D7447D" w:rsidRDefault="00740D1B" w:rsidP="000B3CCC">
      <w:pPr>
        <w:autoSpaceDE w:val="0"/>
        <w:autoSpaceDN w:val="0"/>
        <w:adjustRightInd w:val="0"/>
        <w:spacing w:line="276" w:lineRule="auto"/>
        <w:rPr>
          <w:rFonts w:ascii="Times New Roman" w:eastAsia="Calibri" w:hAnsi="Times New Roman" w:cs="Times New Roman"/>
          <w:i/>
          <w:sz w:val="24"/>
          <w:szCs w:val="24"/>
          <w:lang w:val="sq-AL"/>
        </w:rPr>
      </w:pPr>
    </w:p>
    <w:p w14:paraId="39298C6C"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r w:rsidRPr="000B3CCC">
        <w:rPr>
          <w:rFonts w:ascii="Times New Roman" w:eastAsia="Calibri" w:hAnsi="Times New Roman" w:cs="Times New Roman"/>
          <w:b/>
          <w:sz w:val="24"/>
          <w:szCs w:val="24"/>
          <w:lang w:val="sq-AL"/>
        </w:rPr>
        <w:t>Programi “Ujësjellës Kanalizime”</w:t>
      </w:r>
      <w:r w:rsidRPr="00D7447D">
        <w:rPr>
          <w:rFonts w:ascii="Times New Roman" w:eastAsia="Calibri" w:hAnsi="Times New Roman" w:cs="Times New Roman"/>
          <w:b/>
          <w:sz w:val="24"/>
          <w:szCs w:val="24"/>
          <w:lang w:val="sq-AL"/>
        </w:rPr>
        <w:t xml:space="preserve"> </w:t>
      </w:r>
    </w:p>
    <w:p w14:paraId="09FCD3EB" w14:textId="29E05BFB"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Reduktimi i humbjeve në nivel kom</w:t>
      </w:r>
      <w:r w:rsidR="00751E16" w:rsidRPr="00D7447D">
        <w:rPr>
          <w:rFonts w:ascii="Times New Roman" w:eastAsia="Calibri" w:hAnsi="Times New Roman" w:cs="Times New Roman"/>
          <w:sz w:val="24"/>
          <w:szCs w:val="24"/>
          <w:lang w:val="sq-AL"/>
        </w:rPr>
        <w:t>bëtar në masën 50% në vitin 202</w:t>
      </w:r>
      <w:r w:rsidR="0062221F"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w:t>
      </w:r>
    </w:p>
    <w:p w14:paraId="435A9931" w14:textId="5EAC1C2B"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Furnizimi me ujë dhe shërbime i zonës</w:t>
      </w:r>
      <w:r w:rsidR="00751E16" w:rsidRPr="00D7447D">
        <w:rPr>
          <w:rFonts w:ascii="Times New Roman" w:eastAsia="Calibri" w:hAnsi="Times New Roman" w:cs="Times New Roman"/>
          <w:sz w:val="24"/>
          <w:szCs w:val="24"/>
          <w:lang w:val="sq-AL"/>
        </w:rPr>
        <w:t xml:space="preserve"> bregdetare 24 orë në vitin 202</w:t>
      </w:r>
      <w:r w:rsidR="0062221F"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w:t>
      </w:r>
    </w:p>
    <w:p w14:paraId="05B3B6D5" w14:textId="40F85232"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Mesatarja e orëve të furnizimit me ujë të pijshëm në rang kombëtar rritet në 14 orë në ditë n</w:t>
      </w:r>
      <w:r w:rsidR="00751E16" w:rsidRPr="00D7447D">
        <w:rPr>
          <w:rFonts w:ascii="Times New Roman" w:eastAsia="Calibri" w:hAnsi="Times New Roman" w:cs="Times New Roman"/>
          <w:sz w:val="24"/>
          <w:szCs w:val="24"/>
          <w:lang w:val="sq-AL"/>
        </w:rPr>
        <w:t>ë 202</w:t>
      </w:r>
      <w:r w:rsidR="0062221F"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ng</w:t>
      </w:r>
      <w:r w:rsidR="00751E16" w:rsidRPr="00D7447D">
        <w:rPr>
          <w:rFonts w:ascii="Times New Roman" w:eastAsia="Calibri" w:hAnsi="Times New Roman" w:cs="Times New Roman"/>
          <w:sz w:val="24"/>
          <w:szCs w:val="24"/>
          <w:lang w:val="sq-AL"/>
        </w:rPr>
        <w:t>a 12.5 orë në ditë në vitin 202</w:t>
      </w:r>
      <w:r w:rsidR="0062221F"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5A79CE89" w14:textId="5B72DB0A"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Mbulimi me shërbim furnizimi me ujë të pijshë</w:t>
      </w:r>
      <w:r w:rsidR="00751E16" w:rsidRPr="00D7447D">
        <w:rPr>
          <w:rFonts w:ascii="Times New Roman" w:eastAsia="Calibri" w:hAnsi="Times New Roman" w:cs="Times New Roman"/>
          <w:sz w:val="24"/>
          <w:szCs w:val="24"/>
          <w:lang w:val="sq-AL"/>
        </w:rPr>
        <w:t>m  zonë Urbane 95% në vitin 202</w:t>
      </w:r>
      <w:r w:rsidR="0062221F" w:rsidRPr="00D7447D">
        <w:rPr>
          <w:rFonts w:ascii="Times New Roman" w:eastAsia="Calibri" w:hAnsi="Times New Roman" w:cs="Times New Roman"/>
          <w:sz w:val="24"/>
          <w:szCs w:val="24"/>
          <w:lang w:val="sq-AL"/>
        </w:rPr>
        <w:t>5</w:t>
      </w:r>
      <w:r w:rsidR="00751E16" w:rsidRPr="00D7447D">
        <w:rPr>
          <w:rFonts w:ascii="Times New Roman" w:eastAsia="Calibri" w:hAnsi="Times New Roman" w:cs="Times New Roman"/>
          <w:sz w:val="24"/>
          <w:szCs w:val="24"/>
          <w:lang w:val="sq-AL"/>
        </w:rPr>
        <w:t xml:space="preserve"> nga 94% në vitin 202</w:t>
      </w:r>
      <w:r w:rsidR="0062221F"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0DF550B7" w14:textId="739DF8EE"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Mbulimi me shërbim furnizimi me ujë të pijshëm  zonë Rurale 62% në vitin </w:t>
      </w:r>
      <w:r w:rsidR="00ED3399" w:rsidRPr="00D7447D">
        <w:rPr>
          <w:rFonts w:ascii="Times New Roman" w:eastAsia="Calibri" w:hAnsi="Times New Roman" w:cs="Times New Roman"/>
          <w:sz w:val="24"/>
          <w:szCs w:val="24"/>
          <w:lang w:val="sq-AL"/>
        </w:rPr>
        <w:t>202</w:t>
      </w:r>
      <w:r w:rsidR="0062221F"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59% në vitin </w:t>
      </w:r>
      <w:r w:rsidR="00ED3399" w:rsidRPr="00D7447D">
        <w:rPr>
          <w:rFonts w:ascii="Times New Roman" w:eastAsia="Calibri" w:hAnsi="Times New Roman" w:cs="Times New Roman"/>
          <w:sz w:val="24"/>
          <w:szCs w:val="24"/>
          <w:lang w:val="sq-AL"/>
        </w:rPr>
        <w:t>202</w:t>
      </w:r>
      <w:r w:rsidR="0062221F"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17262206" w14:textId="5B8099A2"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Mbulimi me kanalizime  zonë Urbane 81% në vitin </w:t>
      </w:r>
      <w:r w:rsidR="00ED3399" w:rsidRPr="00D7447D">
        <w:rPr>
          <w:rFonts w:ascii="Times New Roman" w:eastAsia="Calibri" w:hAnsi="Times New Roman" w:cs="Times New Roman"/>
          <w:sz w:val="24"/>
          <w:szCs w:val="24"/>
          <w:lang w:val="sq-AL"/>
        </w:rPr>
        <w:t>202</w:t>
      </w:r>
      <w:r w:rsidR="00D542C4"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80% në vitin </w:t>
      </w:r>
      <w:r w:rsidR="00ED3399" w:rsidRPr="00D7447D">
        <w:rPr>
          <w:rFonts w:ascii="Times New Roman" w:eastAsia="Calibri" w:hAnsi="Times New Roman" w:cs="Times New Roman"/>
          <w:sz w:val="24"/>
          <w:szCs w:val="24"/>
          <w:lang w:val="sq-AL"/>
        </w:rPr>
        <w:t>202</w:t>
      </w:r>
      <w:r w:rsidR="00D542C4"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2CF3F3BB" w14:textId="4E7185B4"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Mbulimi me kanalizime  zonë Rurale 22% në vitin </w:t>
      </w:r>
      <w:r w:rsidR="00ED3399" w:rsidRPr="00D7447D">
        <w:rPr>
          <w:rFonts w:ascii="Times New Roman" w:eastAsia="Calibri" w:hAnsi="Times New Roman" w:cs="Times New Roman"/>
          <w:sz w:val="24"/>
          <w:szCs w:val="24"/>
          <w:lang w:val="sq-AL"/>
        </w:rPr>
        <w:t>202</w:t>
      </w:r>
      <w:r w:rsidR="00D542C4"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16% në vitin </w:t>
      </w:r>
      <w:r w:rsidR="00ED3399" w:rsidRPr="00D7447D">
        <w:rPr>
          <w:rFonts w:ascii="Times New Roman" w:eastAsia="Calibri" w:hAnsi="Times New Roman" w:cs="Times New Roman"/>
          <w:sz w:val="24"/>
          <w:szCs w:val="24"/>
          <w:lang w:val="sq-AL"/>
        </w:rPr>
        <w:t>202</w:t>
      </w:r>
      <w:r w:rsidR="00D542C4" w:rsidRPr="00D7447D">
        <w:rPr>
          <w:rFonts w:ascii="Times New Roman" w:eastAsia="Calibri" w:hAnsi="Times New Roman" w:cs="Times New Roman"/>
          <w:sz w:val="24"/>
          <w:szCs w:val="24"/>
          <w:lang w:val="sq-AL"/>
        </w:rPr>
        <w:t>2;</w:t>
      </w:r>
    </w:p>
    <w:p w14:paraId="25DA2593" w14:textId="2E180021"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Orët mesatare të furnizimit me ujë të pijshëm synohet në 16 ore/dite në vitin </w:t>
      </w:r>
      <w:r w:rsidR="00ED3399" w:rsidRPr="00D7447D">
        <w:rPr>
          <w:rFonts w:ascii="Times New Roman" w:eastAsia="Calibri" w:hAnsi="Times New Roman" w:cs="Times New Roman"/>
          <w:sz w:val="24"/>
          <w:szCs w:val="24"/>
          <w:lang w:val="sq-AL"/>
        </w:rPr>
        <w:t>202</w:t>
      </w:r>
      <w:r w:rsidR="003E283B"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13 orë/ditë në vitin </w:t>
      </w:r>
      <w:r w:rsidR="00ED3399" w:rsidRPr="00D7447D">
        <w:rPr>
          <w:rFonts w:ascii="Times New Roman" w:eastAsia="Calibri" w:hAnsi="Times New Roman" w:cs="Times New Roman"/>
          <w:sz w:val="24"/>
          <w:szCs w:val="24"/>
          <w:lang w:val="sq-AL"/>
        </w:rPr>
        <w:t>202</w:t>
      </w:r>
      <w:r w:rsidR="003E283B"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3CE04DAC" w14:textId="606904EA"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Sasia e ujit të faturuar synohet të arrihet në 122 litër/ frymë/ditë në vitin </w:t>
      </w:r>
      <w:r w:rsidR="00ED3399" w:rsidRPr="00D7447D">
        <w:rPr>
          <w:rFonts w:ascii="Times New Roman" w:eastAsia="Calibri" w:hAnsi="Times New Roman" w:cs="Times New Roman"/>
          <w:sz w:val="24"/>
          <w:szCs w:val="24"/>
          <w:lang w:val="sq-AL"/>
        </w:rPr>
        <w:t>202</w:t>
      </w:r>
      <w:r w:rsidR="003E283B"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115 litër/ frymë/ditë në vitin </w:t>
      </w:r>
      <w:r w:rsidR="00ED3399" w:rsidRPr="00D7447D">
        <w:rPr>
          <w:rFonts w:ascii="Times New Roman" w:eastAsia="Calibri" w:hAnsi="Times New Roman" w:cs="Times New Roman"/>
          <w:sz w:val="24"/>
          <w:szCs w:val="24"/>
          <w:lang w:val="sq-AL"/>
        </w:rPr>
        <w:t>202</w:t>
      </w:r>
      <w:r w:rsidR="003E283B"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04108E17" w14:textId="07D73D7E"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Orët e furnizimit me ujë në zonat bregdetare synohet të arrihet në 24 orë/ditë në vitin </w:t>
      </w:r>
      <w:r w:rsidR="00ED3399" w:rsidRPr="00D7447D">
        <w:rPr>
          <w:rFonts w:ascii="Times New Roman" w:eastAsia="Calibri" w:hAnsi="Times New Roman" w:cs="Times New Roman"/>
          <w:sz w:val="24"/>
          <w:szCs w:val="24"/>
          <w:lang w:val="sq-AL"/>
        </w:rPr>
        <w:t>202</w:t>
      </w:r>
      <w:r w:rsidR="003E283B"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13 orë/ditë në vitin </w:t>
      </w:r>
      <w:r w:rsidR="00ED3399" w:rsidRPr="00D7447D">
        <w:rPr>
          <w:rFonts w:ascii="Times New Roman" w:eastAsia="Calibri" w:hAnsi="Times New Roman" w:cs="Times New Roman"/>
          <w:sz w:val="24"/>
          <w:szCs w:val="24"/>
          <w:lang w:val="sq-AL"/>
        </w:rPr>
        <w:t>202</w:t>
      </w:r>
      <w:r w:rsidR="003E283B"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0A27AA3A" w14:textId="45EDBCDB"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Reduktimi i humbjeve në rrjet në nivel kombëtar synohet të arrihet në 50% në vitin </w:t>
      </w:r>
      <w:r w:rsidR="00ED3399" w:rsidRPr="00D7447D">
        <w:rPr>
          <w:rFonts w:ascii="Times New Roman" w:eastAsia="Calibri" w:hAnsi="Times New Roman" w:cs="Times New Roman"/>
          <w:sz w:val="24"/>
          <w:szCs w:val="24"/>
          <w:lang w:val="sq-AL"/>
        </w:rPr>
        <w:t>202</w:t>
      </w:r>
      <w:r w:rsidR="00AA1090"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62% në vitin </w:t>
      </w:r>
      <w:r w:rsidR="00ED3399" w:rsidRPr="00D7447D">
        <w:rPr>
          <w:rFonts w:ascii="Times New Roman" w:eastAsia="Calibri" w:hAnsi="Times New Roman" w:cs="Times New Roman"/>
          <w:sz w:val="24"/>
          <w:szCs w:val="24"/>
          <w:lang w:val="sq-AL"/>
        </w:rPr>
        <w:t>202</w:t>
      </w:r>
      <w:r w:rsidR="00AA1090"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2EBA2A72" w14:textId="218BBE1B"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Mbulimi me shërbimin e ITUN (kanalizime+gropa septike) synohet të arrihet në nivelin 17% në vitin </w:t>
      </w:r>
      <w:r w:rsidR="00ED3399" w:rsidRPr="00D7447D">
        <w:rPr>
          <w:rFonts w:ascii="Times New Roman" w:eastAsia="Calibri" w:hAnsi="Times New Roman" w:cs="Times New Roman"/>
          <w:sz w:val="24"/>
          <w:szCs w:val="24"/>
          <w:lang w:val="sq-AL"/>
        </w:rPr>
        <w:t>202</w:t>
      </w:r>
      <w:r w:rsidR="00AA1090"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12% në vitin </w:t>
      </w:r>
      <w:r w:rsidR="00ED3399" w:rsidRPr="00D7447D">
        <w:rPr>
          <w:rFonts w:ascii="Times New Roman" w:eastAsia="Calibri" w:hAnsi="Times New Roman" w:cs="Times New Roman"/>
          <w:sz w:val="24"/>
          <w:szCs w:val="24"/>
          <w:lang w:val="sq-AL"/>
        </w:rPr>
        <w:t>202</w:t>
      </w:r>
      <w:r w:rsidR="00AA1090"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36FB13CF" w14:textId="0D0CFD9C"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Perqindja e mbulimit te kostove të Ujësjellës-Kanalizimeve me të ardhurat synohet të arrihet në vlerën 90% në vitin </w:t>
      </w:r>
      <w:r w:rsidR="00ED3399" w:rsidRPr="00D7447D">
        <w:rPr>
          <w:rFonts w:ascii="Times New Roman" w:eastAsia="Calibri" w:hAnsi="Times New Roman" w:cs="Times New Roman"/>
          <w:sz w:val="24"/>
          <w:szCs w:val="24"/>
          <w:lang w:val="sq-AL"/>
        </w:rPr>
        <w:t>202</w:t>
      </w:r>
      <w:r w:rsidR="00147FC6"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75% në vitin </w:t>
      </w:r>
      <w:r w:rsidR="00ED3399" w:rsidRPr="00D7447D">
        <w:rPr>
          <w:rFonts w:ascii="Times New Roman" w:eastAsia="Calibri" w:hAnsi="Times New Roman" w:cs="Times New Roman"/>
          <w:sz w:val="24"/>
          <w:szCs w:val="24"/>
          <w:lang w:val="sq-AL"/>
        </w:rPr>
        <w:t>202</w:t>
      </w:r>
      <w:r w:rsidR="00147FC6"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5933AF1C" w14:textId="77777777"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p>
    <w:p w14:paraId="2ED1A6E1"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lastRenderedPageBreak/>
        <w:t>Programi “Mbështetje për Energjinë”</w:t>
      </w:r>
    </w:p>
    <w:p w14:paraId="3BFBDA2F"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Zhvillim i qëndrueshëm i ekonomisë nëpërmjet garantimit dhe furnizimit me burime të sigurta energjetike me kosto minimale;</w:t>
      </w:r>
    </w:p>
    <w:p w14:paraId="47EE0BC0"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Diversifikimi i furnizimit me burime energjetike dhe integrimi në rrjetet energjetike rajonale dhe Europiane, duke nxitur investimet dhe përmirësuar arkëtimet dhe likuiditetet; </w:t>
      </w:r>
    </w:p>
    <w:p w14:paraId="124593F4" w14:textId="48282B1F" w:rsidR="00740D1B" w:rsidRPr="00D7447D" w:rsidRDefault="00ED3399"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Në vitin 202</w:t>
      </w:r>
      <w:r w:rsidR="002C3547" w:rsidRPr="00D7447D">
        <w:rPr>
          <w:rFonts w:ascii="Times New Roman" w:eastAsia="Calibri" w:hAnsi="Times New Roman" w:cs="Times New Roman"/>
          <w:sz w:val="24"/>
          <w:szCs w:val="24"/>
          <w:lang w:val="sq-AL"/>
        </w:rPr>
        <w:t>5</w:t>
      </w:r>
      <w:r w:rsidR="00740D1B" w:rsidRPr="00D7447D">
        <w:rPr>
          <w:rFonts w:ascii="Times New Roman" w:eastAsia="Calibri" w:hAnsi="Times New Roman" w:cs="Times New Roman"/>
          <w:sz w:val="24"/>
          <w:szCs w:val="24"/>
          <w:lang w:val="sq-AL"/>
        </w:rPr>
        <w:t xml:space="preserve"> do të rritet përdorimi i energjisë së rinovueshme me </w:t>
      </w:r>
      <w:r w:rsidR="000B73CD" w:rsidRPr="00D7447D">
        <w:rPr>
          <w:rFonts w:ascii="Times New Roman" w:eastAsia="Calibri" w:hAnsi="Times New Roman" w:cs="Times New Roman"/>
          <w:sz w:val="24"/>
          <w:szCs w:val="24"/>
          <w:lang w:val="sq-AL"/>
        </w:rPr>
        <w:t>4</w:t>
      </w:r>
      <w:r w:rsidR="00740D1B" w:rsidRPr="00D7447D">
        <w:rPr>
          <w:rFonts w:ascii="Times New Roman" w:eastAsia="Calibri" w:hAnsi="Times New Roman" w:cs="Times New Roman"/>
          <w:sz w:val="24"/>
          <w:szCs w:val="24"/>
          <w:lang w:val="sq-AL"/>
        </w:rPr>
        <w:t xml:space="preserve">8% kundrejt vitit </w:t>
      </w:r>
      <w:r w:rsidRPr="00D7447D">
        <w:rPr>
          <w:rFonts w:ascii="Times New Roman" w:eastAsia="Calibri" w:hAnsi="Times New Roman" w:cs="Times New Roman"/>
          <w:sz w:val="24"/>
          <w:szCs w:val="24"/>
          <w:lang w:val="sq-AL"/>
        </w:rPr>
        <w:t>202</w:t>
      </w:r>
      <w:r w:rsidR="002C3547" w:rsidRPr="00D7447D">
        <w:rPr>
          <w:rFonts w:ascii="Times New Roman" w:eastAsia="Calibri" w:hAnsi="Times New Roman" w:cs="Times New Roman"/>
          <w:sz w:val="24"/>
          <w:szCs w:val="24"/>
          <w:lang w:val="sq-AL"/>
        </w:rPr>
        <w:t>2</w:t>
      </w:r>
      <w:r w:rsidR="00740D1B" w:rsidRPr="00D7447D">
        <w:rPr>
          <w:rFonts w:ascii="Times New Roman" w:eastAsia="Calibri" w:hAnsi="Times New Roman" w:cs="Times New Roman"/>
          <w:sz w:val="24"/>
          <w:szCs w:val="24"/>
          <w:lang w:val="sq-AL"/>
        </w:rPr>
        <w:t>;</w:t>
      </w:r>
    </w:p>
    <w:p w14:paraId="1249AAE5" w14:textId="5C52B442" w:rsidR="00740D1B" w:rsidRPr="00D7447D" w:rsidRDefault="00ED3399"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Në vitin 202</w:t>
      </w:r>
      <w:r w:rsidR="000B73CD" w:rsidRPr="00D7447D">
        <w:rPr>
          <w:rFonts w:ascii="Times New Roman" w:eastAsia="Calibri" w:hAnsi="Times New Roman" w:cs="Times New Roman"/>
          <w:sz w:val="24"/>
          <w:szCs w:val="24"/>
          <w:lang w:val="sq-AL"/>
        </w:rPr>
        <w:t>5</w:t>
      </w:r>
      <w:r w:rsidR="00740D1B" w:rsidRPr="00D7447D">
        <w:rPr>
          <w:rFonts w:ascii="Times New Roman" w:eastAsia="Calibri" w:hAnsi="Times New Roman" w:cs="Times New Roman"/>
          <w:sz w:val="24"/>
          <w:szCs w:val="24"/>
          <w:lang w:val="sq-AL"/>
        </w:rPr>
        <w:t xml:space="preserve"> do të rritet efiçenca e energjisë me </w:t>
      </w:r>
      <w:r w:rsidR="000B73CD" w:rsidRPr="00D7447D">
        <w:rPr>
          <w:rFonts w:ascii="Times New Roman" w:eastAsia="Calibri" w:hAnsi="Times New Roman" w:cs="Times New Roman"/>
          <w:sz w:val="24"/>
          <w:szCs w:val="24"/>
          <w:lang w:val="sq-AL"/>
        </w:rPr>
        <w:t>9</w:t>
      </w:r>
      <w:r w:rsidR="00740D1B" w:rsidRPr="00D7447D">
        <w:rPr>
          <w:rFonts w:ascii="Times New Roman" w:eastAsia="Calibri" w:hAnsi="Times New Roman" w:cs="Times New Roman"/>
          <w:sz w:val="24"/>
          <w:szCs w:val="24"/>
          <w:lang w:val="sq-AL"/>
        </w:rPr>
        <w:t xml:space="preserve">.5% referuar vitit </w:t>
      </w:r>
      <w:r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2</w:t>
      </w:r>
      <w:r w:rsidR="00740D1B" w:rsidRPr="00D7447D">
        <w:rPr>
          <w:rFonts w:ascii="Times New Roman" w:eastAsia="Calibri" w:hAnsi="Times New Roman" w:cs="Times New Roman"/>
          <w:sz w:val="24"/>
          <w:szCs w:val="24"/>
          <w:lang w:val="sq-AL"/>
        </w:rPr>
        <w:t>.</w:t>
      </w:r>
    </w:p>
    <w:p w14:paraId="2F2DCFF6"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p>
    <w:p w14:paraId="0B8FCFC3"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Programi “Menaxhimi i Mbetjeve Urbane”</w:t>
      </w:r>
    </w:p>
    <w:p w14:paraId="27221294" w14:textId="1615976D"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Në vitin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synohet që të trajtohen rreth 50% të mbetjeve me landfill-e sipas standardeve, nga 30% që parashikohet në fund të vitit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612F8E15" w14:textId="4F2FBBE1"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Norma e ndotjes së ajrit synohet të arrihet në 39 μg/m3 në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45 μg/m3 që pritet të arrihet në fund të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3</w:t>
      </w:r>
      <w:r w:rsidRPr="00D7447D">
        <w:rPr>
          <w:rFonts w:ascii="Times New Roman" w:eastAsia="Calibri" w:hAnsi="Times New Roman" w:cs="Times New Roman"/>
          <w:sz w:val="24"/>
          <w:szCs w:val="24"/>
          <w:lang w:val="sq-AL"/>
        </w:rPr>
        <w:t>;</w:t>
      </w:r>
    </w:p>
    <w:p w14:paraId="786A9F0E" w14:textId="474D6C05"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Norma  e mbetjeve të rikuperuara kundrejt sasisë totale të mbetjeve të prodhuara synohet të arrihet në 30% në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3% që synohet në fund të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2D64DDB7" w14:textId="77777777" w:rsidR="00740D1B" w:rsidRPr="00D7447D" w:rsidRDefault="00740D1B" w:rsidP="000B3CCC">
      <w:pPr>
        <w:spacing w:line="276" w:lineRule="auto"/>
        <w:rPr>
          <w:rFonts w:ascii="Times New Roman" w:eastAsia="Calibri" w:hAnsi="Times New Roman" w:cs="Times New Roman"/>
          <w:sz w:val="24"/>
          <w:szCs w:val="24"/>
          <w:lang w:val="sq-AL"/>
        </w:rPr>
      </w:pPr>
    </w:p>
    <w:p w14:paraId="119A7240" w14:textId="77777777" w:rsidR="00740D1B" w:rsidRPr="00D7447D" w:rsidRDefault="00740D1B" w:rsidP="000B3CCC">
      <w:pPr>
        <w:spacing w:line="276" w:lineRule="auto"/>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Programi “Planifikimi Urban”</w:t>
      </w:r>
    </w:p>
    <w:p w14:paraId="6D1DC0A3"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Do të mbështeten projektet me fokus lokal, rajonal dhe në rang vendi, si dhe hartimin e rregullave teknike në projektim duke i harmonizuar këto plane me PPK, PINS Durana dhe PINS Tiranë Durrës, për një zhvillimit të barabartë të  territorit.</w:t>
      </w:r>
    </w:p>
    <w:p w14:paraId="297420AE"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Projektet e Përmirësimit të Infrastrukturës Publike “100 Fshatrat”;</w:t>
      </w:r>
    </w:p>
    <w:p w14:paraId="6716899A" w14:textId="77777777" w:rsidR="00740D1B" w:rsidRPr="00D7447D" w:rsidRDefault="00740D1B" w:rsidP="000B3CCC">
      <w:pPr>
        <w:spacing w:line="276" w:lineRule="auto"/>
        <w:rPr>
          <w:rFonts w:ascii="Times New Roman" w:eastAsia="Calibri" w:hAnsi="Times New Roman" w:cs="Times New Roman"/>
          <w:sz w:val="24"/>
          <w:szCs w:val="24"/>
          <w:lang w:val="sq-AL"/>
        </w:rPr>
      </w:pPr>
    </w:p>
    <w:p w14:paraId="66A9C357" w14:textId="77777777" w:rsidR="00740D1B" w:rsidRPr="00D7447D" w:rsidRDefault="00740D1B" w:rsidP="000B3CCC">
      <w:p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Programi “Transporti Ajror”</w:t>
      </w:r>
    </w:p>
    <w:p w14:paraId="19B7DE1D" w14:textId="77777777" w:rsidR="00740D1B" w:rsidRPr="00D7447D" w:rsidRDefault="00740D1B" w:rsidP="000B3CCC">
      <w:pPr>
        <w:numPr>
          <w:ilvl w:val="0"/>
          <w:numId w:val="4"/>
        </w:numPr>
        <w:spacing w:after="0" w:line="276" w:lineRule="auto"/>
        <w:contextualSpacing/>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e standarteve dhe performancës së Organit Kombëtar të incidenteve/Aksidenteve ajrore nëpërmjet investimeve për forcimin e kapaciteteve, në kuadër edhe të ndërtimit të infrastrukturave të reja aeroportuale;</w:t>
      </w:r>
    </w:p>
    <w:p w14:paraId="3DD0BB87" w14:textId="0871E885" w:rsidR="00740D1B" w:rsidRPr="00D7447D" w:rsidRDefault="00740D1B" w:rsidP="000B3CCC">
      <w:pPr>
        <w:numPr>
          <w:ilvl w:val="0"/>
          <w:numId w:val="4"/>
        </w:numPr>
        <w:spacing w:after="0" w:line="276" w:lineRule="auto"/>
        <w:contextualSpacing/>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Numri i investigimeve të kryera në vitin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të arrijë në 5 nga 4 investigime që pritet në 202</w:t>
      </w:r>
      <w:r w:rsidR="000B73CD" w:rsidRPr="00D7447D">
        <w:rPr>
          <w:rFonts w:ascii="Times New Roman" w:eastAsia="Calibri" w:hAnsi="Times New Roman" w:cs="Times New Roman"/>
          <w:sz w:val="24"/>
          <w:szCs w:val="24"/>
          <w:lang w:val="sq-AL"/>
        </w:rPr>
        <w:t>2</w:t>
      </w:r>
      <w:r w:rsidRPr="00D7447D">
        <w:rPr>
          <w:rFonts w:ascii="Times New Roman" w:eastAsia="Calibri" w:hAnsi="Times New Roman" w:cs="Times New Roman"/>
          <w:sz w:val="24"/>
          <w:szCs w:val="24"/>
          <w:lang w:val="sq-AL"/>
        </w:rPr>
        <w:t>;</w:t>
      </w:r>
    </w:p>
    <w:p w14:paraId="0BB6FE57" w14:textId="77777777" w:rsidR="00740D1B" w:rsidRPr="00D7447D" w:rsidRDefault="00740D1B" w:rsidP="000B3CCC">
      <w:pPr>
        <w:numPr>
          <w:ilvl w:val="0"/>
          <w:numId w:val="4"/>
        </w:numPr>
        <w:spacing w:after="0" w:line="276" w:lineRule="auto"/>
        <w:contextualSpacing/>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Zbatimi i standarteve të njehësuara të sigurisë dhe parrezikshmërisë në transportin ajror.</w:t>
      </w:r>
    </w:p>
    <w:p w14:paraId="06481059" w14:textId="77777777" w:rsidR="00740D1B" w:rsidRPr="00D7447D" w:rsidRDefault="00740D1B" w:rsidP="000B3CCC">
      <w:pPr>
        <w:spacing w:line="276" w:lineRule="auto"/>
        <w:rPr>
          <w:rFonts w:ascii="Times New Roman" w:eastAsia="Calibri" w:hAnsi="Times New Roman" w:cs="Times New Roman"/>
          <w:sz w:val="24"/>
          <w:szCs w:val="24"/>
          <w:lang w:val="sq-AL"/>
        </w:rPr>
      </w:pPr>
    </w:p>
    <w:p w14:paraId="15A7D76A" w14:textId="77777777" w:rsidR="00740D1B" w:rsidRPr="00D7447D" w:rsidRDefault="00740D1B" w:rsidP="000B3CCC">
      <w:p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Programi “Transporti Detar”</w:t>
      </w:r>
    </w:p>
    <w:p w14:paraId="62FFB002"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Kryerja e investimeve prioritare për funksionimin me kapacitet të plotë të porteve dhe përmirësimin e infrastrukturës portuale në vend, me qëllim shndërrimin e Shqipërisë në një vend të zhvilluar detar që mbështet rritjen ekonomike dhe shpejton procesin e integrimit në BE;</w:t>
      </w:r>
    </w:p>
    <w:p w14:paraId="061026E7" w14:textId="136DDE1E"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lastRenderedPageBreak/>
        <w:t xml:space="preserve">Rritja e volumit të përpunimit të mallrave në porte në masën 40% në vitin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nga 25% që është aktualisht në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2</w:t>
      </w:r>
    </w:p>
    <w:p w14:paraId="34B12E28" w14:textId="77777777" w:rsidR="00740D1B" w:rsidRPr="00D7447D" w:rsidRDefault="00740D1B" w:rsidP="000B3CCC">
      <w:pPr>
        <w:spacing w:after="0" w:line="276" w:lineRule="auto"/>
        <w:ind w:left="414"/>
        <w:contextualSpacing/>
        <w:jc w:val="both"/>
        <w:rPr>
          <w:rFonts w:ascii="Times New Roman" w:eastAsia="Calibri" w:hAnsi="Times New Roman" w:cs="Times New Roman"/>
          <w:sz w:val="24"/>
          <w:szCs w:val="24"/>
          <w:lang w:val="sq-AL"/>
        </w:rPr>
      </w:pPr>
    </w:p>
    <w:p w14:paraId="0C447DE4"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p>
    <w:p w14:paraId="3A9E40A3"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Programi “Transporti Hekurudhor”</w:t>
      </w:r>
    </w:p>
    <w:p w14:paraId="64227884"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Rikonstruksioni i segmentit hekurudhor Tiranë – Durrës si dhe ndërtimi i linjës së re hekurudhore Tiranë-Rinas;</w:t>
      </w:r>
    </w:p>
    <w:p w14:paraId="19764EDA" w14:textId="77777777" w:rsidR="00740D1B" w:rsidRPr="00D7447D" w:rsidRDefault="00740D1B" w:rsidP="000B3CCC">
      <w:pPr>
        <w:pStyle w:val="ListParagraph"/>
        <w:numPr>
          <w:ilvl w:val="0"/>
          <w:numId w:val="4"/>
        </w:numPr>
        <w:spacing w:line="276" w:lineRule="auto"/>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Mirëmbajtja e infrastrukturës hekurudhore ekzistuese si dhe mirëmbajtja e mjeteve-hekurudhore; Studime fizibiliteti dhe projekte zbatimi për segmente të reja dhe ekzistuese hekurudhore.</w:t>
      </w:r>
    </w:p>
    <w:p w14:paraId="6ABBAE13" w14:textId="77777777" w:rsidR="00740D1B" w:rsidRPr="00D7447D" w:rsidRDefault="00740D1B" w:rsidP="000B3CCC">
      <w:pPr>
        <w:spacing w:line="276" w:lineRule="auto"/>
        <w:jc w:val="both"/>
        <w:rPr>
          <w:rFonts w:ascii="Times New Roman" w:eastAsia="Calibri" w:hAnsi="Times New Roman" w:cs="Times New Roman"/>
          <w:sz w:val="24"/>
          <w:szCs w:val="24"/>
          <w:lang w:val="sq-AL"/>
        </w:rPr>
      </w:pPr>
    </w:p>
    <w:p w14:paraId="3D12078A" w14:textId="77777777" w:rsidR="00740D1B" w:rsidRPr="00D7447D" w:rsidRDefault="00740D1B" w:rsidP="000B3CCC">
      <w:p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Programi “Mbështetje për Burimet Natyrore”</w:t>
      </w:r>
    </w:p>
    <w:p w14:paraId="77B7FD8A"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Nxitja dhe inkurajimi i ndërtimit të objekteve të përpunimit të mineraleve;</w:t>
      </w:r>
    </w:p>
    <w:p w14:paraId="6886911D"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Zhvillimi i qëndrueshëm i sektorit minerar  dhe rritja e transparencës në shfrytëzimin racional të burimeve natyrore;</w:t>
      </w:r>
    </w:p>
    <w:p w14:paraId="0D79FAA7"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e lejeve minerare aktive në të cilat zhvillohet aktivitet minerar konform standarteve;</w:t>
      </w:r>
    </w:p>
    <w:p w14:paraId="1B91887A"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Realizimi në vazhdimësi i funksioneve të mbikëqyrjes së shfrytëzimit racional e efektiv të pasurive minerale, monitorimit minerar dhe të fenomeneve të postshfrytëzimit, rritja e kontrollit për rehabilitimin minerar;  </w:t>
      </w:r>
    </w:p>
    <w:p w14:paraId="392D5F73"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Përmirësimi i transparencës së biznesit në industrinë nxjerrëse, në mënyrë që të ardhurat nga ky biznes të kontribuojnë më shumë në zhvillimin e vendit.</w:t>
      </w:r>
    </w:p>
    <w:p w14:paraId="1CB3A249" w14:textId="77777777" w:rsidR="005C439F" w:rsidRPr="00D7447D" w:rsidRDefault="005C439F" w:rsidP="000B3CCC">
      <w:pPr>
        <w:spacing w:line="276" w:lineRule="auto"/>
        <w:jc w:val="both"/>
        <w:rPr>
          <w:rFonts w:ascii="Times New Roman" w:eastAsia="Calibri" w:hAnsi="Times New Roman" w:cs="Times New Roman"/>
          <w:sz w:val="24"/>
          <w:szCs w:val="24"/>
          <w:lang w:val="sq-AL"/>
        </w:rPr>
      </w:pPr>
    </w:p>
    <w:p w14:paraId="32658663" w14:textId="77777777" w:rsidR="00740D1B" w:rsidRPr="00D7447D" w:rsidRDefault="00740D1B" w:rsidP="000B3CCC">
      <w:pPr>
        <w:spacing w:line="276" w:lineRule="auto"/>
        <w:jc w:val="both"/>
        <w:rPr>
          <w:rFonts w:ascii="Times New Roman" w:eastAsia="Calibri" w:hAnsi="Times New Roman" w:cs="Times New Roman"/>
          <w:b/>
          <w:sz w:val="24"/>
          <w:szCs w:val="24"/>
          <w:lang w:val="sq-AL"/>
        </w:rPr>
      </w:pPr>
      <w:r w:rsidRPr="00D7447D">
        <w:rPr>
          <w:rFonts w:ascii="Times New Roman" w:eastAsia="Calibri" w:hAnsi="Times New Roman" w:cs="Times New Roman"/>
          <w:b/>
          <w:sz w:val="24"/>
          <w:szCs w:val="24"/>
          <w:lang w:val="sq-AL"/>
        </w:rPr>
        <w:t>Programi “Mbështetje për Industrinë”</w:t>
      </w:r>
    </w:p>
    <w:p w14:paraId="7BE162D2"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Zhvillimi i strukturave dhe burimeve njerëzore dhe forcimi i kapaciteteve institucionale për inspekimin dhe mbikqyrjen, sigurinë në punë për monitorimin e inspektimit dhe mbikqyrjes së sigurisë teknike të produkteve / pajisjeve / instalimeve në fushat e veprimtarisë së MIE;</w:t>
      </w:r>
    </w:p>
    <w:p w14:paraId="109910D9" w14:textId="14156089"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Rritja e standardeve të produkteve dhe sigurisë se  pajisjeve / instalimeve me 7% deri në vitin </w:t>
      </w:r>
      <w:r w:rsidR="00ED3399" w:rsidRPr="00D7447D">
        <w:rPr>
          <w:rFonts w:ascii="Times New Roman" w:eastAsia="Calibri" w:hAnsi="Times New Roman" w:cs="Times New Roman"/>
          <w:sz w:val="24"/>
          <w:szCs w:val="24"/>
          <w:lang w:val="sq-AL"/>
        </w:rPr>
        <w:t>202</w:t>
      </w:r>
      <w:r w:rsidR="000B73CD" w:rsidRPr="00D7447D">
        <w:rPr>
          <w:rFonts w:ascii="Times New Roman" w:eastAsia="Calibri" w:hAnsi="Times New Roman" w:cs="Times New Roman"/>
          <w:sz w:val="24"/>
          <w:szCs w:val="24"/>
          <w:lang w:val="sq-AL"/>
        </w:rPr>
        <w:t>5;</w:t>
      </w:r>
    </w:p>
    <w:p w14:paraId="5B28005D"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Nxitja e interesit të biznesit vendas dhe të huaj për mundësi zhvillimi veprimtarish industrial;</w:t>
      </w:r>
    </w:p>
    <w:p w14:paraId="28A2DE15" w14:textId="11C10F7E"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Reduktimi i rrezikut nga kimikatet e rrezikshme me 13% deri në vitin </w:t>
      </w:r>
      <w:r w:rsidR="00ED3399" w:rsidRPr="00D7447D">
        <w:rPr>
          <w:rFonts w:ascii="Times New Roman" w:eastAsia="Calibri" w:hAnsi="Times New Roman" w:cs="Times New Roman"/>
          <w:sz w:val="24"/>
          <w:szCs w:val="24"/>
          <w:lang w:val="sq-AL"/>
        </w:rPr>
        <w:t>2023</w:t>
      </w:r>
      <w:r w:rsidR="000B73CD"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w:t>
      </w:r>
    </w:p>
    <w:p w14:paraId="0B2E8D7F"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Zhvillimi i strukturave dhe burimeve njerëzore dhe forcimi i kapaciteteve institucionale për sigurimin e kushteve të domosdoshme për  inspekimin dhe mbikqyrjen e shëndetit, sigurisë në punë, emergjencat dhe shpëtimin në veprimtarinë minerare dhe në punimet nëntokësore të veprave hidroenergjetike;</w:t>
      </w:r>
    </w:p>
    <w:p w14:paraId="13F6E7A7"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lastRenderedPageBreak/>
        <w:t>Rritja dhe përmirësimi i standarteve, kushteve të punës  dhe të sigurisë së depozitimit dhe ruajtjes së kimikateve të rrezikshme nën përgjegjësinë e MIE-s, në Qendrën e Grumbullimit dhe Trajtimit të Kimikateve të Rrezikshme;</w:t>
      </w:r>
    </w:p>
    <w:p w14:paraId="0221B316"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Përfundimi i procesit të likujdimit dhe mbylljes së  ish ndërmarrjeve industriale në varësi të MIE-s. Rehabilitimi i territoreve të ish ndërmarrjeve për nxitjen e investitorëve dhe promovimin e tyre për përdorim si parqe industriale;</w:t>
      </w:r>
    </w:p>
    <w:p w14:paraId="61DFF60F" w14:textId="3B427560"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Rritja e mumrit të mostrave të analizuara të naftës dhe nënprodukteve të saj, të prodhuara në vend dhe të importuara në masën deri në 9200 në vitin </w:t>
      </w:r>
      <w:r w:rsidR="00ED3399" w:rsidRPr="00D7447D">
        <w:rPr>
          <w:rFonts w:ascii="Times New Roman" w:eastAsia="Calibri" w:hAnsi="Times New Roman" w:cs="Times New Roman"/>
          <w:sz w:val="24"/>
          <w:szCs w:val="24"/>
          <w:lang w:val="sq-AL"/>
        </w:rPr>
        <w:t>202</w:t>
      </w:r>
      <w:r w:rsidR="009B6247"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w:t>
      </w:r>
    </w:p>
    <w:p w14:paraId="67EF7797" w14:textId="77777777" w:rsidR="00740D1B" w:rsidRPr="00D7447D" w:rsidRDefault="00740D1B" w:rsidP="000B3CCC">
      <w:pPr>
        <w:numPr>
          <w:ilvl w:val="0"/>
          <w:numId w:val="4"/>
        </w:numPr>
        <w:spacing w:after="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Promovimi tek biznesi i studimeve tekniko-ekonomike për industrinë e Lëkurë-Këpucës, industrisë së bakrit, nikel-silikateve dhe kuarciteve, zhvillimit të QGTK dhe hartimi i raporteve mjedisore si dhe zhvillimi i disa ish territoreve industriale për ushtrimin e veprimtarive ekonomike.</w:t>
      </w:r>
    </w:p>
    <w:p w14:paraId="68CBBA0A" w14:textId="77777777" w:rsidR="00B86AF9" w:rsidRPr="00D7447D" w:rsidRDefault="00B86AF9" w:rsidP="000B3CCC">
      <w:pPr>
        <w:spacing w:after="0" w:line="276" w:lineRule="auto"/>
        <w:ind w:left="414"/>
        <w:contextualSpacing/>
        <w:jc w:val="both"/>
        <w:rPr>
          <w:rFonts w:ascii="Times New Roman" w:eastAsia="Calibri" w:hAnsi="Times New Roman" w:cs="Times New Roman"/>
          <w:sz w:val="24"/>
          <w:szCs w:val="24"/>
          <w:lang w:val="sq-AL"/>
        </w:rPr>
      </w:pPr>
    </w:p>
    <w:p w14:paraId="6AACF7D5" w14:textId="77777777" w:rsidR="00D7139A" w:rsidRPr="00D7447D" w:rsidRDefault="00D7139A" w:rsidP="000B3CCC">
      <w:pPr>
        <w:pStyle w:val="ListParagraph"/>
        <w:keepNext/>
        <w:numPr>
          <w:ilvl w:val="1"/>
          <w:numId w:val="18"/>
        </w:numPr>
        <w:spacing w:before="240" w:after="60" w:line="276" w:lineRule="auto"/>
        <w:contextualSpacing w:val="0"/>
        <w:outlineLvl w:val="1"/>
        <w:rPr>
          <w:rFonts w:ascii="Times New Roman" w:eastAsia="Calibri" w:hAnsi="Times New Roman" w:cs="Times New Roman"/>
          <w:b/>
          <w:bCs/>
          <w:i/>
          <w:iCs/>
          <w:noProof/>
          <w:vanish/>
          <w:sz w:val="24"/>
          <w:szCs w:val="24"/>
          <w:lang w:eastAsia="sq-AL"/>
        </w:rPr>
      </w:pPr>
      <w:bookmarkStart w:id="27" w:name="_Toc518558893"/>
      <w:bookmarkStart w:id="28" w:name="_Toc518559015"/>
      <w:bookmarkStart w:id="29" w:name="_Toc518559242"/>
      <w:bookmarkStart w:id="30" w:name="_Toc518562257"/>
      <w:bookmarkStart w:id="31" w:name="_Toc527191564"/>
      <w:bookmarkStart w:id="32" w:name="_Toc527191596"/>
      <w:bookmarkStart w:id="33" w:name="_Toc527191722"/>
      <w:bookmarkStart w:id="34" w:name="_Toc527192126"/>
      <w:bookmarkStart w:id="35" w:name="_Toc527192176"/>
      <w:bookmarkStart w:id="36" w:name="_Toc527530921"/>
      <w:bookmarkStart w:id="37" w:name="_Toc354458"/>
      <w:bookmarkStart w:id="38" w:name="_Toc516539"/>
      <w:bookmarkStart w:id="39" w:name="_Toc12009295"/>
      <w:bookmarkStart w:id="40" w:name="_Toc12014083"/>
      <w:bookmarkStart w:id="41" w:name="_Toc12014154"/>
      <w:bookmarkStart w:id="42" w:name="_Toc12014387"/>
      <w:bookmarkStart w:id="43" w:name="_Toc12014417"/>
      <w:bookmarkStart w:id="44" w:name="_Toc12014537"/>
      <w:bookmarkStart w:id="45" w:name="_Toc12016554"/>
      <w:bookmarkStart w:id="46" w:name="_Toc12260716"/>
      <w:bookmarkStart w:id="47" w:name="_Toc12533833"/>
      <w:bookmarkStart w:id="48" w:name="_Toc12534346"/>
      <w:bookmarkStart w:id="49" w:name="_Toc12536771"/>
      <w:bookmarkStart w:id="50" w:name="_Toc12536802"/>
      <w:bookmarkStart w:id="51" w:name="_Toc12541859"/>
      <w:bookmarkStart w:id="52" w:name="_Toc12876748"/>
      <w:bookmarkStart w:id="53" w:name="_Toc12955088"/>
      <w:bookmarkStart w:id="54" w:name="_Toc12963506"/>
      <w:bookmarkStart w:id="55" w:name="_Toc12976982"/>
      <w:bookmarkStart w:id="56" w:name="_Toc13476481"/>
      <w:bookmarkStart w:id="57" w:name="_Toc13478525"/>
      <w:bookmarkStart w:id="58" w:name="_Toc13653937"/>
      <w:bookmarkStart w:id="59" w:name="_Toc13653981"/>
      <w:bookmarkStart w:id="60" w:name="_Toc20906548"/>
      <w:bookmarkStart w:id="61" w:name="_Toc20914557"/>
      <w:bookmarkStart w:id="62" w:name="_Toc20914755"/>
      <w:bookmarkStart w:id="63" w:name="_Toc20914874"/>
      <w:bookmarkStart w:id="64" w:name="_Toc20920371"/>
      <w:bookmarkStart w:id="65" w:name="_Toc21076167"/>
      <w:bookmarkStart w:id="66" w:name="_Toc21076196"/>
      <w:bookmarkStart w:id="67" w:name="_Toc21076406"/>
      <w:bookmarkStart w:id="68" w:name="_Toc21076643"/>
      <w:bookmarkStart w:id="69" w:name="_Toc21076680"/>
      <w:bookmarkStart w:id="70" w:name="_Toc21076845"/>
      <w:bookmarkStart w:id="71" w:name="_Toc21076875"/>
      <w:bookmarkStart w:id="72" w:name="_Toc31801840"/>
      <w:bookmarkStart w:id="73" w:name="_Toc32317788"/>
      <w:bookmarkStart w:id="74" w:name="_Toc32317972"/>
      <w:bookmarkStart w:id="75" w:name="_Toc32329848"/>
      <w:bookmarkStart w:id="76" w:name="_Toc32330007"/>
      <w:bookmarkStart w:id="77" w:name="_Toc32408365"/>
      <w:bookmarkStart w:id="78" w:name="_Toc32414951"/>
      <w:bookmarkStart w:id="79" w:name="_Toc33087733"/>
      <w:bookmarkStart w:id="80" w:name="_Toc33537242"/>
      <w:bookmarkStart w:id="81" w:name="_Toc33537273"/>
      <w:bookmarkStart w:id="82" w:name="_Toc33689409"/>
      <w:bookmarkStart w:id="83" w:name="_Toc33709882"/>
      <w:bookmarkStart w:id="84" w:name="_Toc51663654"/>
      <w:bookmarkStart w:id="85" w:name="_Toc51665212"/>
      <w:bookmarkStart w:id="86" w:name="_Toc51665730"/>
      <w:bookmarkStart w:id="87" w:name="_Toc51665837"/>
      <w:bookmarkStart w:id="88" w:name="_Toc51666032"/>
      <w:bookmarkStart w:id="89" w:name="_Toc51682360"/>
      <w:bookmarkStart w:id="90" w:name="_Toc51682501"/>
      <w:bookmarkStart w:id="91" w:name="_Toc52372748"/>
      <w:bookmarkStart w:id="92" w:name="_Toc52372875"/>
      <w:bookmarkStart w:id="93" w:name="_Toc53495376"/>
      <w:bookmarkStart w:id="94" w:name="_Toc56674436"/>
      <w:bookmarkStart w:id="95" w:name="_Toc56674469"/>
      <w:bookmarkStart w:id="96" w:name="_Toc63755892"/>
      <w:bookmarkStart w:id="97" w:name="_Toc63757086"/>
      <w:bookmarkStart w:id="98" w:name="_Toc65680637"/>
      <w:bookmarkStart w:id="99" w:name="_Toc76386752"/>
      <w:bookmarkStart w:id="100" w:name="_Toc76386801"/>
      <w:bookmarkStart w:id="101" w:name="_Toc76642304"/>
      <w:bookmarkStart w:id="102" w:name="_Toc76644136"/>
      <w:bookmarkStart w:id="103" w:name="_Toc84421979"/>
      <w:bookmarkStart w:id="104" w:name="_Toc84514356"/>
      <w:bookmarkStart w:id="105" w:name="_Toc84514848"/>
      <w:bookmarkStart w:id="106" w:name="_Toc84515081"/>
      <w:bookmarkStart w:id="107" w:name="_Toc84515306"/>
      <w:bookmarkStart w:id="108" w:name="_Toc84515339"/>
      <w:bookmarkStart w:id="109" w:name="_Toc86916456"/>
      <w:bookmarkStart w:id="110" w:name="_Toc115699016"/>
      <w:bookmarkStart w:id="111" w:name="_Toc11570104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8AC9D4B" w14:textId="77777777" w:rsidR="00D7139A" w:rsidRPr="00D7447D" w:rsidRDefault="00D7139A" w:rsidP="000B3CCC">
      <w:pPr>
        <w:pStyle w:val="ListParagraph"/>
        <w:keepNext/>
        <w:numPr>
          <w:ilvl w:val="1"/>
          <w:numId w:val="18"/>
        </w:numPr>
        <w:spacing w:before="240" w:after="60" w:line="276" w:lineRule="auto"/>
        <w:contextualSpacing w:val="0"/>
        <w:outlineLvl w:val="1"/>
        <w:rPr>
          <w:rFonts w:ascii="Times New Roman" w:eastAsia="Calibri" w:hAnsi="Times New Roman" w:cs="Times New Roman"/>
          <w:b/>
          <w:bCs/>
          <w:i/>
          <w:iCs/>
          <w:noProof/>
          <w:vanish/>
          <w:sz w:val="24"/>
          <w:szCs w:val="24"/>
          <w:lang w:eastAsia="sq-AL"/>
        </w:rPr>
      </w:pPr>
      <w:bookmarkStart w:id="112" w:name="_Toc518559016"/>
      <w:bookmarkStart w:id="113" w:name="_Toc518559243"/>
      <w:bookmarkStart w:id="114" w:name="_Toc518562258"/>
      <w:bookmarkStart w:id="115" w:name="_Toc527191565"/>
      <w:bookmarkStart w:id="116" w:name="_Toc527191597"/>
      <w:bookmarkStart w:id="117" w:name="_Toc527191723"/>
      <w:bookmarkStart w:id="118" w:name="_Toc527192127"/>
      <w:bookmarkStart w:id="119" w:name="_Toc527192177"/>
      <w:bookmarkStart w:id="120" w:name="_Toc527530922"/>
      <w:bookmarkStart w:id="121" w:name="_Toc354459"/>
      <w:bookmarkStart w:id="122" w:name="_Toc516540"/>
      <w:bookmarkStart w:id="123" w:name="_Toc12009296"/>
      <w:bookmarkStart w:id="124" w:name="_Toc12014084"/>
      <w:bookmarkStart w:id="125" w:name="_Toc12014155"/>
      <w:bookmarkStart w:id="126" w:name="_Toc12014388"/>
      <w:bookmarkStart w:id="127" w:name="_Toc12014418"/>
      <w:bookmarkStart w:id="128" w:name="_Toc12014538"/>
      <w:bookmarkStart w:id="129" w:name="_Toc12016555"/>
      <w:bookmarkStart w:id="130" w:name="_Toc12260717"/>
      <w:bookmarkStart w:id="131" w:name="_Toc12533834"/>
      <w:bookmarkStart w:id="132" w:name="_Toc12534347"/>
      <w:bookmarkStart w:id="133" w:name="_Toc12536772"/>
      <w:bookmarkStart w:id="134" w:name="_Toc12536803"/>
      <w:bookmarkStart w:id="135" w:name="_Toc12541860"/>
      <w:bookmarkStart w:id="136" w:name="_Toc12876749"/>
      <w:bookmarkStart w:id="137" w:name="_Toc12955089"/>
      <w:bookmarkStart w:id="138" w:name="_Toc12963507"/>
      <w:bookmarkStart w:id="139" w:name="_Toc12976983"/>
      <w:bookmarkStart w:id="140" w:name="_Toc13476482"/>
      <w:bookmarkStart w:id="141" w:name="_Toc13478526"/>
      <w:bookmarkStart w:id="142" w:name="_Toc13653938"/>
      <w:bookmarkStart w:id="143" w:name="_Toc13653982"/>
      <w:bookmarkStart w:id="144" w:name="_Toc20906549"/>
      <w:bookmarkStart w:id="145" w:name="_Toc20914558"/>
      <w:bookmarkStart w:id="146" w:name="_Toc20914756"/>
      <w:bookmarkStart w:id="147" w:name="_Toc20914875"/>
      <w:bookmarkStart w:id="148" w:name="_Toc20920372"/>
      <w:bookmarkStart w:id="149" w:name="_Toc21076168"/>
      <w:bookmarkStart w:id="150" w:name="_Toc21076197"/>
      <w:bookmarkStart w:id="151" w:name="_Toc21076407"/>
      <w:bookmarkStart w:id="152" w:name="_Toc21076644"/>
      <w:bookmarkStart w:id="153" w:name="_Toc21076681"/>
      <w:bookmarkStart w:id="154" w:name="_Toc21076846"/>
      <w:bookmarkStart w:id="155" w:name="_Toc21076876"/>
      <w:bookmarkStart w:id="156" w:name="_Toc31801841"/>
      <w:bookmarkStart w:id="157" w:name="_Toc32317789"/>
      <w:bookmarkStart w:id="158" w:name="_Toc32317973"/>
      <w:bookmarkStart w:id="159" w:name="_Toc32329849"/>
      <w:bookmarkStart w:id="160" w:name="_Toc32330008"/>
      <w:bookmarkStart w:id="161" w:name="_Toc32408366"/>
      <w:bookmarkStart w:id="162" w:name="_Toc32414952"/>
      <w:bookmarkStart w:id="163" w:name="_Toc33087734"/>
      <w:bookmarkStart w:id="164" w:name="_Toc33537243"/>
      <w:bookmarkStart w:id="165" w:name="_Toc33537274"/>
      <w:bookmarkStart w:id="166" w:name="_Toc33689410"/>
      <w:bookmarkStart w:id="167" w:name="_Toc33709883"/>
      <w:bookmarkStart w:id="168" w:name="_Toc51663655"/>
      <w:bookmarkStart w:id="169" w:name="_Toc51665213"/>
      <w:bookmarkStart w:id="170" w:name="_Toc51665731"/>
      <w:bookmarkStart w:id="171" w:name="_Toc51665838"/>
      <w:bookmarkStart w:id="172" w:name="_Toc51666033"/>
      <w:bookmarkStart w:id="173" w:name="_Toc51682361"/>
      <w:bookmarkStart w:id="174" w:name="_Toc51682502"/>
      <w:bookmarkStart w:id="175" w:name="_Toc52372749"/>
      <w:bookmarkStart w:id="176" w:name="_Toc52372876"/>
      <w:bookmarkStart w:id="177" w:name="_Toc53495377"/>
      <w:bookmarkStart w:id="178" w:name="_Toc56674437"/>
      <w:bookmarkStart w:id="179" w:name="_Toc56674470"/>
      <w:bookmarkStart w:id="180" w:name="_Toc63755893"/>
      <w:bookmarkStart w:id="181" w:name="_Toc63757087"/>
      <w:bookmarkStart w:id="182" w:name="_Toc65680638"/>
      <w:bookmarkStart w:id="183" w:name="_Toc76386753"/>
      <w:bookmarkStart w:id="184" w:name="_Toc76386802"/>
      <w:bookmarkStart w:id="185" w:name="_Toc76642305"/>
      <w:bookmarkStart w:id="186" w:name="_Toc76644137"/>
      <w:bookmarkStart w:id="187" w:name="_Toc84421980"/>
      <w:bookmarkStart w:id="188" w:name="_Toc84514357"/>
      <w:bookmarkStart w:id="189" w:name="_Toc84514849"/>
      <w:bookmarkStart w:id="190" w:name="_Toc84515082"/>
      <w:bookmarkStart w:id="191" w:name="_Toc84515307"/>
      <w:bookmarkStart w:id="192" w:name="_Toc84515340"/>
      <w:bookmarkStart w:id="193" w:name="_Toc86916457"/>
      <w:bookmarkStart w:id="194" w:name="_Toc115699017"/>
      <w:bookmarkStart w:id="195" w:name="_Toc11570104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11B03D6" w14:textId="77777777" w:rsidR="00D7139A" w:rsidRPr="00D7447D" w:rsidRDefault="00D7139A" w:rsidP="000B3CCC">
      <w:pPr>
        <w:pStyle w:val="ListParagraph"/>
        <w:keepNext/>
        <w:numPr>
          <w:ilvl w:val="1"/>
          <w:numId w:val="18"/>
        </w:numPr>
        <w:spacing w:before="240" w:after="60" w:line="276" w:lineRule="auto"/>
        <w:contextualSpacing w:val="0"/>
        <w:outlineLvl w:val="1"/>
        <w:rPr>
          <w:rFonts w:ascii="Times New Roman" w:eastAsia="Calibri" w:hAnsi="Times New Roman" w:cs="Times New Roman"/>
          <w:b/>
          <w:bCs/>
          <w:i/>
          <w:iCs/>
          <w:noProof/>
          <w:vanish/>
          <w:sz w:val="24"/>
          <w:szCs w:val="24"/>
          <w:lang w:eastAsia="sq-AL"/>
        </w:rPr>
      </w:pPr>
      <w:bookmarkStart w:id="196" w:name="_Toc518559017"/>
      <w:bookmarkStart w:id="197" w:name="_Toc518559244"/>
      <w:bookmarkStart w:id="198" w:name="_Toc518562259"/>
      <w:bookmarkStart w:id="199" w:name="_Toc527191566"/>
      <w:bookmarkStart w:id="200" w:name="_Toc527191598"/>
      <w:bookmarkStart w:id="201" w:name="_Toc527191724"/>
      <w:bookmarkStart w:id="202" w:name="_Toc527192128"/>
      <w:bookmarkStart w:id="203" w:name="_Toc527192178"/>
      <w:bookmarkStart w:id="204" w:name="_Toc527530923"/>
      <w:bookmarkStart w:id="205" w:name="_Toc354460"/>
      <w:bookmarkStart w:id="206" w:name="_Toc516541"/>
      <w:bookmarkStart w:id="207" w:name="_Toc12009297"/>
      <w:bookmarkStart w:id="208" w:name="_Toc12014085"/>
      <w:bookmarkStart w:id="209" w:name="_Toc12014156"/>
      <w:bookmarkStart w:id="210" w:name="_Toc12014389"/>
      <w:bookmarkStart w:id="211" w:name="_Toc12014419"/>
      <w:bookmarkStart w:id="212" w:name="_Toc12014539"/>
      <w:bookmarkStart w:id="213" w:name="_Toc12016556"/>
      <w:bookmarkStart w:id="214" w:name="_Toc12260718"/>
      <w:bookmarkStart w:id="215" w:name="_Toc12533835"/>
      <w:bookmarkStart w:id="216" w:name="_Toc12534348"/>
      <w:bookmarkStart w:id="217" w:name="_Toc12536773"/>
      <w:bookmarkStart w:id="218" w:name="_Toc12536804"/>
      <w:bookmarkStart w:id="219" w:name="_Toc12541861"/>
      <w:bookmarkStart w:id="220" w:name="_Toc12876750"/>
      <w:bookmarkStart w:id="221" w:name="_Toc12955090"/>
      <w:bookmarkStart w:id="222" w:name="_Toc12963508"/>
      <w:bookmarkStart w:id="223" w:name="_Toc12976984"/>
      <w:bookmarkStart w:id="224" w:name="_Toc13476483"/>
      <w:bookmarkStart w:id="225" w:name="_Toc13478527"/>
      <w:bookmarkStart w:id="226" w:name="_Toc13653939"/>
      <w:bookmarkStart w:id="227" w:name="_Toc13653983"/>
      <w:bookmarkStart w:id="228" w:name="_Toc20906550"/>
      <w:bookmarkStart w:id="229" w:name="_Toc20914559"/>
      <w:bookmarkStart w:id="230" w:name="_Toc20914757"/>
      <w:bookmarkStart w:id="231" w:name="_Toc20914876"/>
      <w:bookmarkStart w:id="232" w:name="_Toc20920373"/>
      <w:bookmarkStart w:id="233" w:name="_Toc21076169"/>
      <w:bookmarkStart w:id="234" w:name="_Toc21076198"/>
      <w:bookmarkStart w:id="235" w:name="_Toc21076408"/>
      <w:bookmarkStart w:id="236" w:name="_Toc21076645"/>
      <w:bookmarkStart w:id="237" w:name="_Toc21076682"/>
      <w:bookmarkStart w:id="238" w:name="_Toc21076847"/>
      <w:bookmarkStart w:id="239" w:name="_Toc21076877"/>
      <w:bookmarkStart w:id="240" w:name="_Toc31801842"/>
      <w:bookmarkStart w:id="241" w:name="_Toc32317790"/>
      <w:bookmarkStart w:id="242" w:name="_Toc32317974"/>
      <w:bookmarkStart w:id="243" w:name="_Toc32329850"/>
      <w:bookmarkStart w:id="244" w:name="_Toc32330009"/>
      <w:bookmarkStart w:id="245" w:name="_Toc32408367"/>
      <w:bookmarkStart w:id="246" w:name="_Toc32414953"/>
      <w:bookmarkStart w:id="247" w:name="_Toc33087735"/>
      <w:bookmarkStart w:id="248" w:name="_Toc33537244"/>
      <w:bookmarkStart w:id="249" w:name="_Toc33537275"/>
      <w:bookmarkStart w:id="250" w:name="_Toc33689411"/>
      <w:bookmarkStart w:id="251" w:name="_Toc33709884"/>
      <w:bookmarkStart w:id="252" w:name="_Toc51663656"/>
      <w:bookmarkStart w:id="253" w:name="_Toc51665214"/>
      <w:bookmarkStart w:id="254" w:name="_Toc51665732"/>
      <w:bookmarkStart w:id="255" w:name="_Toc51665839"/>
      <w:bookmarkStart w:id="256" w:name="_Toc51666034"/>
      <w:bookmarkStart w:id="257" w:name="_Toc51682362"/>
      <w:bookmarkStart w:id="258" w:name="_Toc51682503"/>
      <w:bookmarkStart w:id="259" w:name="_Toc52372750"/>
      <w:bookmarkStart w:id="260" w:name="_Toc52372877"/>
      <w:bookmarkStart w:id="261" w:name="_Toc53495378"/>
      <w:bookmarkStart w:id="262" w:name="_Toc56674438"/>
      <w:bookmarkStart w:id="263" w:name="_Toc56674471"/>
      <w:bookmarkStart w:id="264" w:name="_Toc63755894"/>
      <w:bookmarkStart w:id="265" w:name="_Toc63757088"/>
      <w:bookmarkStart w:id="266" w:name="_Toc65680639"/>
      <w:bookmarkStart w:id="267" w:name="_Toc76386754"/>
      <w:bookmarkStart w:id="268" w:name="_Toc76386803"/>
      <w:bookmarkStart w:id="269" w:name="_Toc76642306"/>
      <w:bookmarkStart w:id="270" w:name="_Toc76644138"/>
      <w:bookmarkStart w:id="271" w:name="_Toc84421981"/>
      <w:bookmarkStart w:id="272" w:name="_Toc84514358"/>
      <w:bookmarkStart w:id="273" w:name="_Toc84514850"/>
      <w:bookmarkStart w:id="274" w:name="_Toc84515083"/>
      <w:bookmarkStart w:id="275" w:name="_Toc84515308"/>
      <w:bookmarkStart w:id="276" w:name="_Toc84515341"/>
      <w:bookmarkStart w:id="277" w:name="_Toc86916458"/>
      <w:bookmarkStart w:id="278" w:name="_Toc115699018"/>
      <w:bookmarkStart w:id="279" w:name="_Toc115701049"/>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46F0E6B" w14:textId="77777777" w:rsidR="00D7139A" w:rsidRPr="00D7447D" w:rsidRDefault="00D7139A" w:rsidP="000B3CCC">
      <w:pPr>
        <w:pStyle w:val="ListParagraph"/>
        <w:keepNext/>
        <w:numPr>
          <w:ilvl w:val="1"/>
          <w:numId w:val="18"/>
        </w:numPr>
        <w:spacing w:before="240" w:after="60" w:line="276" w:lineRule="auto"/>
        <w:contextualSpacing w:val="0"/>
        <w:outlineLvl w:val="1"/>
        <w:rPr>
          <w:rFonts w:ascii="Times New Roman" w:eastAsia="Calibri" w:hAnsi="Times New Roman" w:cs="Times New Roman"/>
          <w:b/>
          <w:bCs/>
          <w:i/>
          <w:iCs/>
          <w:noProof/>
          <w:vanish/>
          <w:sz w:val="24"/>
          <w:szCs w:val="24"/>
          <w:lang w:eastAsia="sq-AL"/>
        </w:rPr>
      </w:pPr>
      <w:bookmarkStart w:id="280" w:name="_Toc518559018"/>
      <w:bookmarkStart w:id="281" w:name="_Toc518559245"/>
      <w:bookmarkStart w:id="282" w:name="_Toc518562260"/>
      <w:bookmarkStart w:id="283" w:name="_Toc527191567"/>
      <w:bookmarkStart w:id="284" w:name="_Toc527191599"/>
      <w:bookmarkStart w:id="285" w:name="_Toc527191725"/>
      <w:bookmarkStart w:id="286" w:name="_Toc527192129"/>
      <w:bookmarkStart w:id="287" w:name="_Toc527192179"/>
      <w:bookmarkStart w:id="288" w:name="_Toc527530924"/>
      <w:bookmarkStart w:id="289" w:name="_Toc354461"/>
      <w:bookmarkStart w:id="290" w:name="_Toc516542"/>
      <w:bookmarkStart w:id="291" w:name="_Toc12009298"/>
      <w:bookmarkStart w:id="292" w:name="_Toc12014086"/>
      <w:bookmarkStart w:id="293" w:name="_Toc12014157"/>
      <w:bookmarkStart w:id="294" w:name="_Toc12014390"/>
      <w:bookmarkStart w:id="295" w:name="_Toc12014420"/>
      <w:bookmarkStart w:id="296" w:name="_Toc12014540"/>
      <w:bookmarkStart w:id="297" w:name="_Toc12016557"/>
      <w:bookmarkStart w:id="298" w:name="_Toc12260719"/>
      <w:bookmarkStart w:id="299" w:name="_Toc12533836"/>
      <w:bookmarkStart w:id="300" w:name="_Toc12534349"/>
      <w:bookmarkStart w:id="301" w:name="_Toc12536774"/>
      <w:bookmarkStart w:id="302" w:name="_Toc12536805"/>
      <w:bookmarkStart w:id="303" w:name="_Toc12541862"/>
      <w:bookmarkStart w:id="304" w:name="_Toc12876751"/>
      <w:bookmarkStart w:id="305" w:name="_Toc12955091"/>
      <w:bookmarkStart w:id="306" w:name="_Toc12963509"/>
      <w:bookmarkStart w:id="307" w:name="_Toc12976985"/>
      <w:bookmarkStart w:id="308" w:name="_Toc13476484"/>
      <w:bookmarkStart w:id="309" w:name="_Toc13478528"/>
      <w:bookmarkStart w:id="310" w:name="_Toc13653940"/>
      <w:bookmarkStart w:id="311" w:name="_Toc13653984"/>
      <w:bookmarkStart w:id="312" w:name="_Toc20906551"/>
      <w:bookmarkStart w:id="313" w:name="_Toc20914560"/>
      <w:bookmarkStart w:id="314" w:name="_Toc20914758"/>
      <w:bookmarkStart w:id="315" w:name="_Toc20914877"/>
      <w:bookmarkStart w:id="316" w:name="_Toc20920374"/>
      <w:bookmarkStart w:id="317" w:name="_Toc21076170"/>
      <w:bookmarkStart w:id="318" w:name="_Toc21076199"/>
      <w:bookmarkStart w:id="319" w:name="_Toc21076409"/>
      <w:bookmarkStart w:id="320" w:name="_Toc21076646"/>
      <w:bookmarkStart w:id="321" w:name="_Toc21076683"/>
      <w:bookmarkStart w:id="322" w:name="_Toc21076848"/>
      <w:bookmarkStart w:id="323" w:name="_Toc21076878"/>
      <w:bookmarkStart w:id="324" w:name="_Toc31801843"/>
      <w:bookmarkStart w:id="325" w:name="_Toc32317791"/>
      <w:bookmarkStart w:id="326" w:name="_Toc32317975"/>
      <w:bookmarkStart w:id="327" w:name="_Toc32329851"/>
      <w:bookmarkStart w:id="328" w:name="_Toc32330010"/>
      <w:bookmarkStart w:id="329" w:name="_Toc32408368"/>
      <w:bookmarkStart w:id="330" w:name="_Toc32414954"/>
      <w:bookmarkStart w:id="331" w:name="_Toc33087736"/>
      <w:bookmarkStart w:id="332" w:name="_Toc33537245"/>
      <w:bookmarkStart w:id="333" w:name="_Toc33537276"/>
      <w:bookmarkStart w:id="334" w:name="_Toc33689412"/>
      <w:bookmarkStart w:id="335" w:name="_Toc33709885"/>
      <w:bookmarkStart w:id="336" w:name="_Toc51663657"/>
      <w:bookmarkStart w:id="337" w:name="_Toc51665215"/>
      <w:bookmarkStart w:id="338" w:name="_Toc51665733"/>
      <w:bookmarkStart w:id="339" w:name="_Toc51665840"/>
      <w:bookmarkStart w:id="340" w:name="_Toc51666035"/>
      <w:bookmarkStart w:id="341" w:name="_Toc51682363"/>
      <w:bookmarkStart w:id="342" w:name="_Toc51682504"/>
      <w:bookmarkStart w:id="343" w:name="_Toc52372751"/>
      <w:bookmarkStart w:id="344" w:name="_Toc52372878"/>
      <w:bookmarkStart w:id="345" w:name="_Toc53495379"/>
      <w:bookmarkStart w:id="346" w:name="_Toc56674439"/>
      <w:bookmarkStart w:id="347" w:name="_Toc56674472"/>
      <w:bookmarkStart w:id="348" w:name="_Toc63755895"/>
      <w:bookmarkStart w:id="349" w:name="_Toc63757089"/>
      <w:bookmarkStart w:id="350" w:name="_Toc65680640"/>
      <w:bookmarkStart w:id="351" w:name="_Toc76386755"/>
      <w:bookmarkStart w:id="352" w:name="_Toc76386804"/>
      <w:bookmarkStart w:id="353" w:name="_Toc76642307"/>
      <w:bookmarkStart w:id="354" w:name="_Toc76644139"/>
      <w:bookmarkStart w:id="355" w:name="_Toc84421982"/>
      <w:bookmarkStart w:id="356" w:name="_Toc84514359"/>
      <w:bookmarkStart w:id="357" w:name="_Toc84514851"/>
      <w:bookmarkStart w:id="358" w:name="_Toc84515084"/>
      <w:bookmarkStart w:id="359" w:name="_Toc84515309"/>
      <w:bookmarkStart w:id="360" w:name="_Toc84515342"/>
      <w:bookmarkStart w:id="361" w:name="_Toc86916459"/>
      <w:bookmarkStart w:id="362" w:name="_Toc115699019"/>
      <w:bookmarkStart w:id="363" w:name="_Toc115701050"/>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13890B5F" w14:textId="77777777" w:rsidR="005C439F" w:rsidRPr="00D7447D" w:rsidRDefault="00C04AB3" w:rsidP="000B3CCC">
      <w:pPr>
        <w:pStyle w:val="Heading2"/>
        <w:numPr>
          <w:ilvl w:val="1"/>
          <w:numId w:val="20"/>
        </w:numPr>
        <w:spacing w:line="276" w:lineRule="auto"/>
        <w:rPr>
          <w:rFonts w:ascii="Times New Roman" w:eastAsia="Calibri" w:hAnsi="Times New Roman" w:cs="Times New Roman"/>
          <w:i w:val="0"/>
          <w:sz w:val="24"/>
          <w:szCs w:val="24"/>
        </w:rPr>
      </w:pPr>
      <w:bookmarkStart w:id="364" w:name="_Toc115701051"/>
      <w:r w:rsidRPr="00D7447D">
        <w:rPr>
          <w:rFonts w:ascii="Times New Roman" w:eastAsia="Calibri" w:hAnsi="Times New Roman" w:cs="Times New Roman"/>
          <w:i w:val="0"/>
          <w:sz w:val="24"/>
          <w:szCs w:val="24"/>
        </w:rPr>
        <w:t>MINISTRIA E BRENDSHME</w:t>
      </w:r>
      <w:bookmarkEnd w:id="364"/>
    </w:p>
    <w:p w14:paraId="0F5121FF" w14:textId="77777777" w:rsidR="00C9048C" w:rsidRPr="00D7447D" w:rsidRDefault="00C9048C"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 një kontribut në krijimin e një shteti më të sigurt, në të cilin mbizotëron respektimi i të drejtave të individëve të garantuara nga Kushtetuta dhe ligjet, në krijimin e institucioneve ligj-zbatuese të forta dhe të qëndrueshme, sipas standardeve Evropiane. </w:t>
      </w:r>
    </w:p>
    <w:p w14:paraId="3691F8A6" w14:textId="77777777" w:rsidR="00C9048C" w:rsidRPr="00D7447D" w:rsidRDefault="00C9048C"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Shpenzimet për Ministrinë e Brendshme në vlerë nominale, në përqindje ndaj PBB dhe në përqindje ndaj shpenzimeve të përgjithshme të qeverisë për periudhën 2023-2025, paraqiten në tabelën e mëposhtme</w:t>
      </w:r>
    </w:p>
    <w:p w14:paraId="18FCB6F3" w14:textId="77777777" w:rsidR="00C9048C" w:rsidRPr="00D7447D" w:rsidRDefault="00C9048C" w:rsidP="000B3CCC">
      <w:pPr>
        <w:spacing w:after="200" w:line="276" w:lineRule="auto"/>
        <w:contextualSpacing/>
        <w:jc w:val="both"/>
        <w:rPr>
          <w:rFonts w:ascii="Times New Roman" w:eastAsia="Times New Roman" w:hAnsi="Times New Roman" w:cs="Times New Roman"/>
          <w:sz w:val="24"/>
          <w:szCs w:val="24"/>
          <w:lang w:val="sq-AL"/>
        </w:rPr>
      </w:pPr>
      <w:r w:rsidRPr="00D7447D">
        <w:rPr>
          <w:rFonts w:ascii="Times New Roman" w:eastAsia="Calibri" w:hAnsi="Times New Roman" w:cs="Times New Roman"/>
          <w:b/>
          <w:sz w:val="24"/>
          <w:szCs w:val="24"/>
          <w:lang w:val="sq-AL"/>
        </w:rPr>
        <w:t>Tabela 17</w:t>
      </w:r>
      <w:r w:rsidRPr="00D7447D">
        <w:rPr>
          <w:rFonts w:ascii="Times New Roman" w:eastAsia="Calibri" w:hAnsi="Times New Roman" w:cs="Times New Roman"/>
          <w:sz w:val="24"/>
          <w:szCs w:val="24"/>
          <w:lang w:val="sq-AL"/>
        </w:rPr>
        <w:t>:</w:t>
      </w:r>
      <w:r w:rsidRPr="00D7447D">
        <w:rPr>
          <w:rFonts w:ascii="Times New Roman" w:eastAsia="Times New Roman" w:hAnsi="Times New Roman" w:cs="Times New Roman"/>
          <w:sz w:val="24"/>
          <w:szCs w:val="24"/>
          <w:lang w:val="sq-AL"/>
        </w:rPr>
        <w:t xml:space="preserve"> Shpenzimet për Ministrinë e Brendshme për vitet 2023-2025</w:t>
      </w:r>
    </w:p>
    <w:p w14:paraId="3203360F" w14:textId="77777777" w:rsidR="00C9048C" w:rsidRPr="00D7447D" w:rsidRDefault="00C9048C" w:rsidP="000B3CCC">
      <w:pPr>
        <w:spacing w:after="200" w:line="276" w:lineRule="auto"/>
        <w:ind w:hanging="450"/>
        <w:contextualSpacing/>
        <w:jc w:val="both"/>
        <w:rPr>
          <w:rFonts w:ascii="Times New Roman" w:eastAsia="Times New Roman"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23D8845E" wp14:editId="445ACDCF">
            <wp:extent cx="6372225" cy="1520825"/>
            <wp:effectExtent l="0" t="0" r="952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372225" cy="1520825"/>
                    </a:xfrm>
                    <a:prstGeom prst="rect">
                      <a:avLst/>
                    </a:prstGeom>
                  </pic:spPr>
                </pic:pic>
              </a:graphicData>
            </a:graphic>
          </wp:inline>
        </w:drawing>
      </w:r>
    </w:p>
    <w:p w14:paraId="403DB69D" w14:textId="77777777" w:rsidR="00C9048C" w:rsidRPr="00D7447D" w:rsidRDefault="00C9048C" w:rsidP="000B3CCC">
      <w:pPr>
        <w:spacing w:after="200" w:line="276" w:lineRule="auto"/>
        <w:jc w:val="both"/>
        <w:rPr>
          <w:rFonts w:ascii="Times New Roman" w:eastAsia="Calibri" w:hAnsi="Times New Roman" w:cs="Times New Roman"/>
          <w:sz w:val="24"/>
          <w:szCs w:val="24"/>
          <w:lang w:val="sq-AL"/>
        </w:rPr>
      </w:pPr>
    </w:p>
    <w:p w14:paraId="1A9384B9" w14:textId="77777777" w:rsidR="00C9048C" w:rsidRPr="00D7447D" w:rsidRDefault="00C9048C" w:rsidP="000B3CCC">
      <w:pPr>
        <w:pStyle w:val="Heading3"/>
        <w:spacing w:line="276" w:lineRule="auto"/>
        <w:rPr>
          <w:rFonts w:ascii="Times New Roman" w:hAnsi="Times New Roman" w:cs="Times New Roman"/>
          <w:b/>
          <w:color w:val="auto"/>
          <w:lang w:val="sq-AL"/>
        </w:rPr>
      </w:pPr>
      <w:r w:rsidRPr="00D7447D">
        <w:rPr>
          <w:rFonts w:ascii="Times New Roman" w:hAnsi="Times New Roman" w:cs="Times New Roman"/>
          <w:b/>
          <w:color w:val="auto"/>
          <w:lang w:val="sq-AL"/>
        </w:rPr>
        <w:t>Prioritetet për periudhën 2023-2025</w:t>
      </w:r>
    </w:p>
    <w:p w14:paraId="28575EF6" w14:textId="77777777" w:rsidR="00C9048C" w:rsidRPr="00D7447D" w:rsidRDefault="00C9048C" w:rsidP="000B3CCC">
      <w:pPr>
        <w:spacing w:line="276" w:lineRule="auto"/>
        <w:rPr>
          <w:rFonts w:ascii="Times New Roman" w:hAnsi="Times New Roman" w:cs="Times New Roman"/>
          <w:sz w:val="24"/>
          <w:szCs w:val="24"/>
          <w:lang w:val="sq-AL"/>
        </w:rPr>
      </w:pPr>
    </w:p>
    <w:p w14:paraId="3AE2CE39" w14:textId="77777777" w:rsidR="00C9048C" w:rsidRPr="00D7447D" w:rsidRDefault="00C9048C"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w:t>
      </w:r>
      <w:r w:rsidRPr="00D7447D">
        <w:rPr>
          <w:rFonts w:ascii="Times New Roman" w:eastAsia="Calibri" w:hAnsi="Times New Roman" w:cs="Times New Roman"/>
          <w:sz w:val="24"/>
          <w:szCs w:val="24"/>
          <w:lang w:val="sq-AL"/>
        </w:rPr>
        <w:lastRenderedPageBreak/>
        <w:t>dhe ‘policimin në komunitet’, të realizuara në praktikë përmes riorganizimit të sistemit të prezencës së policisë në territor, në funksion të një kontrolli më efektiv të tij dhe transformimin rrënjësor të marrëdhënieve dhe shërbimit ndaj komunitetit.</w:t>
      </w:r>
      <w:r w:rsidRPr="00D7447D">
        <w:rPr>
          <w:rFonts w:ascii="Times New Roman" w:eastAsia="Calibri" w:hAnsi="Times New Roman" w:cs="Times New Roman"/>
          <w:sz w:val="24"/>
          <w:szCs w:val="24"/>
        </w:rPr>
        <w:t xml:space="preserve"> </w:t>
      </w:r>
      <w:r w:rsidRPr="00D7447D">
        <w:rPr>
          <w:rFonts w:ascii="Times New Roman" w:eastAsia="Calibri" w:hAnsi="Times New Roman" w:cs="Times New Roman"/>
          <w:sz w:val="24"/>
          <w:szCs w:val="24"/>
          <w:lang w:val="sq-AL"/>
        </w:rPr>
        <w:t xml:space="preserve">Gjithashtu, synon sigurimin e rendit publik, pronës publike e private, rritjen e parametrave të sigurisë rrugore, krijimin e një mjedisi të sigurt për komunitetin, nëpërmjet shërbimeve profesionale, në kohë dhe me cilësi dhe policimit me standardet me të larta të përformancës.                                                                                                                                                                            </w:t>
      </w:r>
    </w:p>
    <w:p w14:paraId="2A0E25CB" w14:textId="77777777" w:rsidR="00C9048C" w:rsidRPr="00D7447D" w:rsidRDefault="00C9048C"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14:paraId="7BCCA25A" w14:textId="77777777" w:rsidR="00C9048C" w:rsidRPr="00D7447D" w:rsidRDefault="00C9048C" w:rsidP="000B3CCC">
      <w:pPr>
        <w:spacing w:after="200" w:line="276" w:lineRule="auto"/>
        <w:contextualSpacing/>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Tabela 18</w:t>
      </w:r>
      <w:r w:rsidRPr="00D7447D">
        <w:rPr>
          <w:rFonts w:ascii="Times New Roman" w:eastAsia="Calibri" w:hAnsi="Times New Roman" w:cs="Times New Roman"/>
          <w:sz w:val="24"/>
          <w:szCs w:val="24"/>
          <w:lang w:val="sq-AL"/>
        </w:rPr>
        <w:t>:</w:t>
      </w:r>
      <w:r w:rsidRPr="00D7447D">
        <w:rPr>
          <w:rFonts w:ascii="Times New Roman" w:eastAsia="Times New Roman" w:hAnsi="Times New Roman" w:cs="Times New Roman"/>
          <w:sz w:val="24"/>
          <w:szCs w:val="24"/>
          <w:lang w:val="sq-AL"/>
        </w:rPr>
        <w:t xml:space="preserve"> Shpenzimet për Ministrinë e Brendshme sipas programeve buxhetore dhe sipas artikujve ekonomikë</w:t>
      </w:r>
    </w:p>
    <w:p w14:paraId="0602F82C" w14:textId="1B0ACB77" w:rsidR="00C9048C" w:rsidRPr="00750902" w:rsidRDefault="00C9048C" w:rsidP="00750902">
      <w:pPr>
        <w:spacing w:after="200" w:line="276" w:lineRule="auto"/>
        <w:ind w:left="-567"/>
        <w:jc w:val="both"/>
        <w:rPr>
          <w:rFonts w:ascii="Times New Roman" w:eastAsia="Calibri"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6A9658DC" wp14:editId="01893C01">
            <wp:extent cx="6867378" cy="495366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871626" cy="4956727"/>
                    </a:xfrm>
                    <a:prstGeom prst="rect">
                      <a:avLst/>
                    </a:prstGeom>
                  </pic:spPr>
                </pic:pic>
              </a:graphicData>
            </a:graphic>
          </wp:inline>
        </w:drawing>
      </w:r>
    </w:p>
    <w:p w14:paraId="1ACF7041" w14:textId="2AA3E09F" w:rsidR="00750902" w:rsidRDefault="00C9048C" w:rsidP="00750902">
      <w:pPr>
        <w:pStyle w:val="Heading3"/>
        <w:spacing w:line="240" w:lineRule="auto"/>
        <w:rPr>
          <w:rFonts w:ascii="Times New Roman" w:eastAsia="Calibri" w:hAnsi="Times New Roman" w:cs="Times New Roman"/>
          <w:b/>
          <w:color w:val="auto"/>
          <w:lang w:val="sq-AL"/>
        </w:rPr>
      </w:pPr>
      <w:r w:rsidRPr="00D7447D">
        <w:rPr>
          <w:rFonts w:ascii="Times New Roman" w:eastAsia="Calibri" w:hAnsi="Times New Roman" w:cs="Times New Roman"/>
          <w:b/>
          <w:color w:val="auto"/>
          <w:lang w:val="sq-AL"/>
        </w:rPr>
        <w:lastRenderedPageBreak/>
        <w:t>Përmbledhje e Treguesve Kyç të Performancës</w:t>
      </w:r>
    </w:p>
    <w:p w14:paraId="6BED0BBA" w14:textId="77777777" w:rsidR="00750902" w:rsidRPr="00750902" w:rsidRDefault="00750902" w:rsidP="00750902">
      <w:pPr>
        <w:spacing w:line="240" w:lineRule="auto"/>
        <w:rPr>
          <w:lang w:val="sq-AL"/>
        </w:rPr>
      </w:pPr>
    </w:p>
    <w:p w14:paraId="1256FF07" w14:textId="77777777" w:rsidR="00C9048C" w:rsidRPr="00D7447D" w:rsidRDefault="00C9048C" w:rsidP="00750902">
      <w:pPr>
        <w:spacing w:after="200" w:line="240"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Përgjatë 3 viteve të PBA 2023-2025, Ministria e Brendshme do të përmbushë objektivat e saj përmes:</w:t>
      </w:r>
    </w:p>
    <w:p w14:paraId="2E826365"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Rritjes së numrit të hetimeve proaktive në luftën kundër krimit të organizuar, trafiqeve, korrupsionit dhe terrorizmit; Konretisht synon rritjen e Hetimeve të kurorzuara me ndëshkim nga organet e drejtesisë mesatarisht me 3 % më shumë krahasuar me vitin 2022;</w:t>
      </w:r>
    </w:p>
    <w:p w14:paraId="5B2BE7D7"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Përmirësimit rrënjësisht të sistemit të kontrollit rrugor, duke synuar krijimin e një kulture të re në qarkullimin e mjeteve dhe të qytetarëve dhe sidomos në menaxhimin e sigurisë rrugore. Synohet ulja e numrit të aksidenteve në rrugë në masën 1% çdo vit;</w:t>
      </w:r>
    </w:p>
    <w:p w14:paraId="3E6A0E41"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Rritjes së nivelit të sigurisë publike duke forcuar kontrollin e territorit dhe policimin në komunitet p</w:t>
      </w:r>
      <w:r w:rsidRPr="00D7447D">
        <w:rPr>
          <w:rFonts w:ascii="Times New Roman" w:eastAsia="Calibri" w:hAnsi="Times New Roman" w:cs="Times New Roman"/>
          <w:sz w:val="24"/>
          <w:szCs w:val="24"/>
          <w:lang w:eastAsia="ja-JP"/>
        </w:rPr>
        <w:t xml:space="preserve">ërmes </w:t>
      </w:r>
      <w:r w:rsidRPr="00D7447D">
        <w:rPr>
          <w:rFonts w:ascii="Times New Roman" w:eastAsia="Calibri" w:hAnsi="Times New Roman" w:cs="Times New Roman"/>
          <w:sz w:val="24"/>
          <w:szCs w:val="24"/>
          <w:lang w:val="sq-AL"/>
        </w:rPr>
        <w:t xml:space="preserve">rritjes së numrit të shërbimeve të patrullimit si dhe reduktimit të kohës së reagimit të shërbimeve policore në 13 minuta në vitin 2025;  </w:t>
      </w:r>
    </w:p>
    <w:p w14:paraId="05B1A3B7"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Reduktimit të trafiqeve, krimit ndërkufitar dhe rasteve të imigrimit të paligjshëm kryesisht nëpërmjet reduktimit të kohës së procedimit në 15 minuta në vitin 2025;</w:t>
      </w:r>
    </w:p>
    <w:p w14:paraId="0AE25DA1"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Reduktimit të kohës së reagimit ndaj krimeve të dhunës në familje 13 minuta në vitin 2025;</w:t>
      </w:r>
    </w:p>
    <w:p w14:paraId="292E9B2B"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e hetimeve proaktive në fushën kundër korrupsionit dhe pastrimit të parave ndaj totalit të hetimeve nga 392 hetime në vitin 2022;</w:t>
      </w:r>
    </w:p>
    <w:p w14:paraId="7C038481"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Rritja e operacione policore mbi hetimet proaktive të realizuara nga strukturat policore, në 38 656 hetime në vitin 2025;</w:t>
      </w:r>
    </w:p>
    <w:p w14:paraId="2DFF386F"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Të kontribuojë në përmirësimin e vazhdueshëm të Sigurise së Personaliteteve Vendas dhe të Huaj në përputhje me standardet europiane, konkretisht në zbatimin e standartin Gjerman.</w:t>
      </w:r>
    </w:p>
    <w:p w14:paraId="3324BFA2" w14:textId="77777777" w:rsidR="00C9048C" w:rsidRPr="00D7447D" w:rsidRDefault="00C9048C" w:rsidP="000B3CCC">
      <w:pPr>
        <w:numPr>
          <w:ilvl w:val="0"/>
          <w:numId w:val="12"/>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Përdorimit në mënyrë efektive të përditësimit të ngjarjeve në regjistrin civil, në autorizimin dhe çertifikimin e aplikimeve për lëshimin e dokumenteve të identitetit. Synohet reduktimi i kohës për trajtimin e kërkesës nga sistemi i RKGJ-së (nga 1 orë në vitin 2022 në jo më shumë se 0.4 orë në vitin 2025).</w:t>
      </w:r>
    </w:p>
    <w:p w14:paraId="6915F9FA" w14:textId="77777777" w:rsidR="00F414A1" w:rsidRPr="00D7447D" w:rsidRDefault="00F414A1" w:rsidP="000B3CCC">
      <w:pPr>
        <w:spacing w:after="0" w:line="276" w:lineRule="auto"/>
        <w:ind w:left="720"/>
        <w:jc w:val="both"/>
        <w:rPr>
          <w:rFonts w:ascii="Times New Roman" w:eastAsia="Calibri" w:hAnsi="Times New Roman" w:cs="Times New Roman"/>
          <w:sz w:val="24"/>
          <w:szCs w:val="24"/>
          <w:lang w:val="sq-AL"/>
        </w:rPr>
      </w:pPr>
    </w:p>
    <w:p w14:paraId="0B23C8E3" w14:textId="77777777" w:rsidR="005C439F" w:rsidRPr="00D7447D" w:rsidRDefault="00D156ED" w:rsidP="000B3CCC">
      <w:pPr>
        <w:pStyle w:val="Heading2"/>
        <w:numPr>
          <w:ilvl w:val="1"/>
          <w:numId w:val="20"/>
        </w:numPr>
        <w:spacing w:line="276" w:lineRule="auto"/>
        <w:rPr>
          <w:rFonts w:ascii="Times New Roman" w:eastAsia="Calibri" w:hAnsi="Times New Roman" w:cs="Times New Roman"/>
          <w:i w:val="0"/>
          <w:sz w:val="24"/>
          <w:szCs w:val="24"/>
        </w:rPr>
      </w:pPr>
      <w:bookmarkStart w:id="365" w:name="_Toc518562262"/>
      <w:bookmarkStart w:id="366" w:name="_Toc115701052"/>
      <w:r w:rsidRPr="00D7447D">
        <w:rPr>
          <w:rFonts w:ascii="Times New Roman" w:eastAsia="Calibri" w:hAnsi="Times New Roman" w:cs="Times New Roman"/>
          <w:i w:val="0"/>
          <w:sz w:val="24"/>
          <w:szCs w:val="24"/>
        </w:rPr>
        <w:t>MINISTRIA E MBROJTJES</w:t>
      </w:r>
      <w:bookmarkEnd w:id="365"/>
      <w:bookmarkEnd w:id="366"/>
    </w:p>
    <w:p w14:paraId="76DE5081" w14:textId="060A033A" w:rsidR="00CD1F19" w:rsidRPr="00D7447D" w:rsidRDefault="00CD1F19"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Tavanet e paraqitura për PBA 202</w:t>
      </w:r>
      <w:r w:rsidR="00C338BB" w:rsidRPr="00D7447D">
        <w:rPr>
          <w:rFonts w:ascii="Times New Roman" w:eastAsia="Calibri" w:hAnsi="Times New Roman" w:cs="Times New Roman"/>
          <w:sz w:val="24"/>
          <w:szCs w:val="24"/>
          <w:lang w:val="sq-AL"/>
        </w:rPr>
        <w:t>3</w:t>
      </w:r>
      <w:r w:rsidRPr="00D7447D">
        <w:rPr>
          <w:rFonts w:ascii="Times New Roman" w:eastAsia="Calibri" w:hAnsi="Times New Roman" w:cs="Times New Roman"/>
          <w:sz w:val="24"/>
          <w:szCs w:val="24"/>
          <w:lang w:val="sq-AL"/>
        </w:rPr>
        <w:t>-202</w:t>
      </w:r>
      <w:r w:rsidR="00C338BB"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xml:space="preserve"> paraqesin një nivel të përmirësuar mbështetjeje me burime financiare duke garantuar arritjen e kapaciteteve operacionale të deklaruara në kuadër të Aleancës së NATO-s në tre vitet e ardhshme. </w:t>
      </w:r>
    </w:p>
    <w:p w14:paraId="5424B56B" w14:textId="45C18947" w:rsidR="00441EF6" w:rsidRPr="00D7447D" w:rsidRDefault="00441EF6"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Në këtë kuadër, nisur nga këto prioritete, janë përpiluar kërkesat buxhetore në përmbushje të treguesve të përformancës si më poshtë specifikuar:</w:t>
      </w:r>
    </w:p>
    <w:p w14:paraId="77D57E8C" w14:textId="1F561DCA" w:rsidR="00441EF6" w:rsidRPr="00D7447D" w:rsidRDefault="00441EF6" w:rsidP="000B3CCC">
      <w:pPr>
        <w:pStyle w:val="ListParagraph"/>
        <w:numPr>
          <w:ilvl w:val="0"/>
          <w:numId w:val="43"/>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Lartësimi i figurës dhe integritetit të ushtarakut</w:t>
      </w:r>
      <w:r w:rsidR="0044198B" w:rsidRPr="00D7447D">
        <w:rPr>
          <w:rFonts w:ascii="Times New Roman" w:eastAsia="Calibri" w:hAnsi="Times New Roman" w:cs="Times New Roman"/>
          <w:sz w:val="24"/>
          <w:szCs w:val="24"/>
          <w:lang w:val="sq-AL"/>
        </w:rPr>
        <w:t>;</w:t>
      </w:r>
    </w:p>
    <w:p w14:paraId="37D979F0" w14:textId="47546CFC" w:rsidR="00441EF6" w:rsidRPr="00D7447D" w:rsidRDefault="00441EF6" w:rsidP="000B3CCC">
      <w:pPr>
        <w:pStyle w:val="ListParagraph"/>
        <w:numPr>
          <w:ilvl w:val="0"/>
          <w:numId w:val="43"/>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lastRenderedPageBreak/>
        <w:t>Implementimi në mënyrë cilësore i detyrimeve që rrjedhin nga pjesëmarrja dhe anëtarësia në organizma të niveleve të larta ndërkombëtare si: NATO, EAPC, RACVIAC, etj; i realizuar nëpërmjet nënshkrimit të marrëveshjeve ndërkombëtare në kuadër të partneritetit mes vendeve, rritjes së sigurisë në rajon e më gjerë.</w:t>
      </w:r>
    </w:p>
    <w:p w14:paraId="492A7ED8" w14:textId="421C3B9F" w:rsidR="00441EF6" w:rsidRPr="00D7447D" w:rsidRDefault="00441EF6" w:rsidP="000B3CCC">
      <w:pPr>
        <w:pStyle w:val="ListParagraph"/>
        <w:numPr>
          <w:ilvl w:val="0"/>
          <w:numId w:val="43"/>
        </w:num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Modernizimi me armatim të lehtë dhe municione për Forcat e Armatosura.</w:t>
      </w:r>
    </w:p>
    <w:p w14:paraId="49C34CDD" w14:textId="4FCDFEA8" w:rsidR="00CD1F19" w:rsidRPr="00D7447D" w:rsidRDefault="00CD1F19"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Shpenzimet për Ministrinë e Mbrojtjes në vlerë nominale, në përqindje ndaj PBB dhe në përqindje ndaj shpenzimeve të përgjithshme të qeverisë për periudhën 202</w:t>
      </w:r>
      <w:r w:rsidR="00C60685" w:rsidRPr="00D7447D">
        <w:rPr>
          <w:rFonts w:ascii="Times New Roman" w:eastAsia="Calibri" w:hAnsi="Times New Roman" w:cs="Times New Roman"/>
          <w:sz w:val="24"/>
          <w:szCs w:val="24"/>
          <w:lang w:val="sq-AL"/>
        </w:rPr>
        <w:t>3</w:t>
      </w:r>
      <w:r w:rsidRPr="00D7447D">
        <w:rPr>
          <w:rFonts w:ascii="Times New Roman" w:eastAsia="Calibri" w:hAnsi="Times New Roman" w:cs="Times New Roman"/>
          <w:sz w:val="24"/>
          <w:szCs w:val="24"/>
          <w:lang w:val="sq-AL"/>
        </w:rPr>
        <w:t>-202</w:t>
      </w:r>
      <w:r w:rsidR="00C60685" w:rsidRPr="00D7447D">
        <w:rPr>
          <w:rFonts w:ascii="Times New Roman" w:eastAsia="Calibri" w:hAnsi="Times New Roman" w:cs="Times New Roman"/>
          <w:sz w:val="24"/>
          <w:szCs w:val="24"/>
          <w:lang w:val="sq-AL"/>
        </w:rPr>
        <w:t>5</w:t>
      </w:r>
      <w:r w:rsidRPr="00D7447D">
        <w:rPr>
          <w:rFonts w:ascii="Times New Roman" w:eastAsia="Calibri" w:hAnsi="Times New Roman" w:cs="Times New Roman"/>
          <w:sz w:val="24"/>
          <w:szCs w:val="24"/>
          <w:lang w:val="sq-AL"/>
        </w:rPr>
        <w:t>, paraqiten në tabelën e mëposhtme:</w:t>
      </w:r>
    </w:p>
    <w:p w14:paraId="6468989E" w14:textId="4A08214D" w:rsidR="00CD1F19" w:rsidRPr="00D7447D" w:rsidRDefault="00CD1F19" w:rsidP="000B3CCC">
      <w:pPr>
        <w:spacing w:after="200" w:line="276" w:lineRule="auto"/>
        <w:contextualSpacing/>
        <w:jc w:val="both"/>
        <w:rPr>
          <w:rFonts w:ascii="Times New Roman" w:eastAsia="Times New Roman" w:hAnsi="Times New Roman" w:cs="Times New Roman"/>
          <w:sz w:val="24"/>
          <w:szCs w:val="24"/>
          <w:lang w:val="sq-AL"/>
        </w:rPr>
      </w:pPr>
      <w:r w:rsidRPr="00D7447D">
        <w:rPr>
          <w:rFonts w:ascii="Times New Roman" w:eastAsia="Calibri" w:hAnsi="Times New Roman" w:cs="Times New Roman"/>
          <w:b/>
          <w:sz w:val="24"/>
          <w:szCs w:val="24"/>
          <w:lang w:val="sq-AL"/>
        </w:rPr>
        <w:t>Tabela 15</w:t>
      </w:r>
      <w:r w:rsidRPr="00D7447D">
        <w:rPr>
          <w:rFonts w:ascii="Times New Roman" w:eastAsia="Calibri" w:hAnsi="Times New Roman" w:cs="Times New Roman"/>
          <w:sz w:val="24"/>
          <w:szCs w:val="24"/>
          <w:lang w:val="sq-AL"/>
        </w:rPr>
        <w:t xml:space="preserve">: </w:t>
      </w:r>
      <w:r w:rsidRPr="00D7447D">
        <w:rPr>
          <w:rFonts w:ascii="Times New Roman" w:eastAsia="Times New Roman" w:hAnsi="Times New Roman" w:cs="Times New Roman"/>
          <w:sz w:val="24"/>
          <w:szCs w:val="24"/>
          <w:lang w:val="sq-AL"/>
        </w:rPr>
        <w:t>Shpenzimet për Ministrinë e Mbrojtjes në vlerë nominale (në mln lekë) dhe në % ndaj PBB 202</w:t>
      </w:r>
      <w:r w:rsidR="00C60685" w:rsidRPr="00D7447D">
        <w:rPr>
          <w:rFonts w:ascii="Times New Roman" w:eastAsia="Times New Roman" w:hAnsi="Times New Roman" w:cs="Times New Roman"/>
          <w:sz w:val="24"/>
          <w:szCs w:val="24"/>
          <w:lang w:val="sq-AL"/>
        </w:rPr>
        <w:t>2</w:t>
      </w:r>
      <w:r w:rsidRPr="00D7447D">
        <w:rPr>
          <w:rFonts w:ascii="Times New Roman" w:eastAsia="Times New Roman" w:hAnsi="Times New Roman" w:cs="Times New Roman"/>
          <w:sz w:val="24"/>
          <w:szCs w:val="24"/>
          <w:lang w:val="sq-AL"/>
        </w:rPr>
        <w:t>-202</w:t>
      </w:r>
      <w:r w:rsidR="00C60685" w:rsidRPr="00D7447D">
        <w:rPr>
          <w:rFonts w:ascii="Times New Roman" w:eastAsia="Times New Roman" w:hAnsi="Times New Roman" w:cs="Times New Roman"/>
          <w:sz w:val="24"/>
          <w:szCs w:val="24"/>
          <w:lang w:val="sq-AL"/>
        </w:rPr>
        <w:t>5</w:t>
      </w:r>
    </w:p>
    <w:tbl>
      <w:tblPr>
        <w:tblStyle w:val="GridTable5Dark-Accent151"/>
        <w:tblW w:w="8217" w:type="dxa"/>
        <w:jc w:val="center"/>
        <w:tblLook w:val="04A0" w:firstRow="1" w:lastRow="0" w:firstColumn="1" w:lastColumn="0" w:noHBand="0" w:noVBand="1"/>
      </w:tblPr>
      <w:tblGrid>
        <w:gridCol w:w="1081"/>
        <w:gridCol w:w="2794"/>
        <w:gridCol w:w="1223"/>
        <w:gridCol w:w="926"/>
        <w:gridCol w:w="1080"/>
        <w:gridCol w:w="1113"/>
      </w:tblGrid>
      <w:tr w:rsidR="00A871B8" w:rsidRPr="00D7447D" w14:paraId="5569C9AF" w14:textId="77777777" w:rsidTr="00750902">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1081" w:type="dxa"/>
          </w:tcPr>
          <w:p w14:paraId="6FAC7440" w14:textId="77777777" w:rsidR="00A871B8" w:rsidRPr="00D7447D" w:rsidRDefault="00A871B8" w:rsidP="000B3CCC">
            <w:pPr>
              <w:spacing w:line="276" w:lineRule="auto"/>
              <w:jc w:val="center"/>
              <w:rPr>
                <w:rFonts w:ascii="Times New Roman" w:hAnsi="Times New Roman" w:cs="Times New Roman"/>
                <w:sz w:val="24"/>
                <w:szCs w:val="24"/>
              </w:rPr>
            </w:pPr>
          </w:p>
        </w:tc>
        <w:tc>
          <w:tcPr>
            <w:tcW w:w="7136" w:type="dxa"/>
            <w:gridSpan w:val="5"/>
            <w:hideMark/>
          </w:tcPr>
          <w:p w14:paraId="45F4A4F9" w14:textId="304FE3F3" w:rsidR="00A871B8" w:rsidRPr="00D7447D" w:rsidRDefault="00A871B8" w:rsidP="000B3CC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Shpenzimet për Ministrinë e Mbrojtjespër PBA 2023-2025</w:t>
            </w:r>
          </w:p>
        </w:tc>
      </w:tr>
      <w:tr w:rsidR="00A871B8" w:rsidRPr="00D7447D" w14:paraId="7BDCF1E7" w14:textId="77777777" w:rsidTr="00750902">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vMerge w:val="restart"/>
            <w:hideMark/>
          </w:tcPr>
          <w:p w14:paraId="566B279F" w14:textId="77777777" w:rsidR="00A871B8" w:rsidRPr="00D7447D" w:rsidRDefault="00A871B8" w:rsidP="000B3CCC">
            <w:pPr>
              <w:spacing w:line="276" w:lineRule="auto"/>
              <w:jc w:val="center"/>
              <w:rPr>
                <w:rFonts w:ascii="Times New Roman" w:hAnsi="Times New Roman" w:cs="Times New Roman"/>
                <w:color w:val="2E74B5" w:themeColor="accent1" w:themeShade="BF"/>
                <w:sz w:val="24"/>
                <w:szCs w:val="24"/>
              </w:rPr>
            </w:pPr>
          </w:p>
        </w:tc>
        <w:tc>
          <w:tcPr>
            <w:tcW w:w="4342" w:type="dxa"/>
            <w:gridSpan w:val="4"/>
          </w:tcPr>
          <w:p w14:paraId="67DBF1ED" w14:textId="77777777" w:rsidR="00A871B8" w:rsidRPr="00D7447D" w:rsidRDefault="00A871B8"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 xml:space="preserve">Shpenzimet totale </w:t>
            </w:r>
          </w:p>
        </w:tc>
      </w:tr>
      <w:tr w:rsidR="00A871B8" w:rsidRPr="00D7447D" w14:paraId="4F267F49" w14:textId="77777777" w:rsidTr="00750902">
        <w:trPr>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vMerge/>
            <w:hideMark/>
          </w:tcPr>
          <w:p w14:paraId="66391ED4" w14:textId="77777777" w:rsidR="00A871B8" w:rsidRPr="00D7447D" w:rsidRDefault="00A871B8" w:rsidP="000B3CCC">
            <w:pPr>
              <w:spacing w:line="276" w:lineRule="auto"/>
              <w:rPr>
                <w:rFonts w:ascii="Times New Roman" w:hAnsi="Times New Roman" w:cs="Times New Roman"/>
                <w:color w:val="000080"/>
                <w:sz w:val="24"/>
                <w:szCs w:val="24"/>
              </w:rPr>
            </w:pPr>
          </w:p>
        </w:tc>
        <w:tc>
          <w:tcPr>
            <w:tcW w:w="1223" w:type="dxa"/>
            <w:noWrap/>
            <w:hideMark/>
          </w:tcPr>
          <w:p w14:paraId="3860AB38" w14:textId="77777777" w:rsidR="00A871B8" w:rsidRPr="00D7447D" w:rsidRDefault="00A871B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Buxheti 2022</w:t>
            </w:r>
          </w:p>
        </w:tc>
        <w:tc>
          <w:tcPr>
            <w:tcW w:w="926" w:type="dxa"/>
            <w:noWrap/>
            <w:hideMark/>
          </w:tcPr>
          <w:p w14:paraId="6F955503" w14:textId="77777777" w:rsidR="00A871B8" w:rsidRPr="00D7447D" w:rsidRDefault="00A871B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PBA 2023</w:t>
            </w:r>
          </w:p>
        </w:tc>
        <w:tc>
          <w:tcPr>
            <w:tcW w:w="1080" w:type="dxa"/>
            <w:noWrap/>
            <w:hideMark/>
          </w:tcPr>
          <w:p w14:paraId="4EEB53D8" w14:textId="77777777" w:rsidR="00A871B8" w:rsidRPr="00D7447D" w:rsidRDefault="00A871B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PBA 2024</w:t>
            </w:r>
          </w:p>
        </w:tc>
        <w:tc>
          <w:tcPr>
            <w:tcW w:w="1113" w:type="dxa"/>
            <w:noWrap/>
            <w:hideMark/>
          </w:tcPr>
          <w:p w14:paraId="34FC53C5" w14:textId="77777777" w:rsidR="00A871B8" w:rsidRPr="00D7447D" w:rsidRDefault="00A871B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PBA 2025</w:t>
            </w:r>
          </w:p>
        </w:tc>
      </w:tr>
      <w:tr w:rsidR="00AB782C" w:rsidRPr="00D7447D" w14:paraId="3B1F59BB" w14:textId="77777777" w:rsidTr="00750902">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12EE01BE" w14:textId="77777777" w:rsidR="00AB782C" w:rsidRPr="00D7447D" w:rsidRDefault="00AB782C" w:rsidP="000B3CCC">
            <w:pPr>
              <w:spacing w:line="276" w:lineRule="auto"/>
              <w:rPr>
                <w:rFonts w:ascii="Times New Roman" w:hAnsi="Times New Roman" w:cs="Times New Roman"/>
                <w:sz w:val="24"/>
                <w:szCs w:val="24"/>
              </w:rPr>
            </w:pPr>
            <w:r w:rsidRPr="00D7447D">
              <w:rPr>
                <w:rFonts w:ascii="Times New Roman" w:hAnsi="Times New Roman" w:cs="Times New Roman"/>
                <w:sz w:val="24"/>
                <w:szCs w:val="24"/>
              </w:rPr>
              <w:t>në milion lek</w:t>
            </w:r>
          </w:p>
        </w:tc>
        <w:tc>
          <w:tcPr>
            <w:tcW w:w="1223" w:type="dxa"/>
            <w:noWrap/>
          </w:tcPr>
          <w:p w14:paraId="4FC590EB" w14:textId="6C9A9612"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 xml:space="preserve"> 30,937 </w:t>
            </w:r>
          </w:p>
        </w:tc>
        <w:tc>
          <w:tcPr>
            <w:tcW w:w="926" w:type="dxa"/>
            <w:noWrap/>
          </w:tcPr>
          <w:p w14:paraId="6955585E" w14:textId="13A34391"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 xml:space="preserve"> 36,456 </w:t>
            </w:r>
          </w:p>
        </w:tc>
        <w:tc>
          <w:tcPr>
            <w:tcW w:w="1080" w:type="dxa"/>
            <w:noWrap/>
          </w:tcPr>
          <w:p w14:paraId="0A2BF58E" w14:textId="0649C6EB"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 xml:space="preserve"> 41,323 </w:t>
            </w:r>
          </w:p>
        </w:tc>
        <w:tc>
          <w:tcPr>
            <w:tcW w:w="1113" w:type="dxa"/>
            <w:noWrap/>
          </w:tcPr>
          <w:p w14:paraId="5377EF2C" w14:textId="3AF87CA8"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 xml:space="preserve"> 44,177 </w:t>
            </w:r>
          </w:p>
        </w:tc>
      </w:tr>
      <w:tr w:rsidR="00AB782C" w:rsidRPr="00D7447D" w14:paraId="514F05FC" w14:textId="77777777" w:rsidTr="00750902">
        <w:trPr>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noWrap/>
            <w:hideMark/>
          </w:tcPr>
          <w:p w14:paraId="3CC2203E" w14:textId="77777777" w:rsidR="00AB782C" w:rsidRPr="00D7447D" w:rsidRDefault="00AB782C" w:rsidP="000B3CCC">
            <w:pPr>
              <w:spacing w:line="276" w:lineRule="auto"/>
              <w:rPr>
                <w:rFonts w:ascii="Times New Roman" w:hAnsi="Times New Roman" w:cs="Times New Roman"/>
                <w:sz w:val="24"/>
                <w:szCs w:val="24"/>
              </w:rPr>
            </w:pPr>
            <w:r w:rsidRPr="00D7447D">
              <w:rPr>
                <w:rFonts w:ascii="Times New Roman" w:hAnsi="Times New Roman" w:cs="Times New Roman"/>
                <w:sz w:val="24"/>
                <w:szCs w:val="24"/>
              </w:rPr>
              <w:t>% ndaj PBB</w:t>
            </w:r>
          </w:p>
        </w:tc>
        <w:tc>
          <w:tcPr>
            <w:tcW w:w="1223" w:type="dxa"/>
            <w:noWrap/>
            <w:hideMark/>
          </w:tcPr>
          <w:p w14:paraId="7E5BC509" w14:textId="77729825" w:rsidR="00AB782C" w:rsidRPr="00A84552" w:rsidRDefault="00AB782C"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84552">
              <w:rPr>
                <w:rFonts w:ascii="Times New Roman" w:hAnsi="Times New Roman" w:cs="Times New Roman"/>
                <w:b/>
                <w:sz w:val="24"/>
                <w:szCs w:val="24"/>
              </w:rPr>
              <w:t>1.66%</w:t>
            </w:r>
          </w:p>
        </w:tc>
        <w:tc>
          <w:tcPr>
            <w:tcW w:w="926" w:type="dxa"/>
            <w:noWrap/>
            <w:hideMark/>
          </w:tcPr>
          <w:p w14:paraId="21A2D44C" w14:textId="7DA6D7D2" w:rsidR="00AB782C" w:rsidRPr="00A84552" w:rsidRDefault="00AB782C"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84552">
              <w:rPr>
                <w:rFonts w:ascii="Times New Roman" w:hAnsi="Times New Roman" w:cs="Times New Roman"/>
                <w:b/>
                <w:sz w:val="24"/>
                <w:szCs w:val="24"/>
              </w:rPr>
              <w:t>1.86%</w:t>
            </w:r>
          </w:p>
        </w:tc>
        <w:tc>
          <w:tcPr>
            <w:tcW w:w="1080" w:type="dxa"/>
            <w:noWrap/>
            <w:hideMark/>
          </w:tcPr>
          <w:p w14:paraId="7EB71BFB" w14:textId="52A8C7D3" w:rsidR="00AB782C" w:rsidRPr="00A84552" w:rsidRDefault="00AB782C"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84552">
              <w:rPr>
                <w:rFonts w:ascii="Times New Roman" w:hAnsi="Times New Roman" w:cs="Times New Roman"/>
                <w:b/>
                <w:sz w:val="24"/>
                <w:szCs w:val="24"/>
              </w:rPr>
              <w:t>2.00%</w:t>
            </w:r>
          </w:p>
        </w:tc>
        <w:tc>
          <w:tcPr>
            <w:tcW w:w="1113" w:type="dxa"/>
            <w:noWrap/>
            <w:hideMark/>
          </w:tcPr>
          <w:p w14:paraId="51B96B1D" w14:textId="0DD17299" w:rsidR="00AB782C" w:rsidRPr="00A84552" w:rsidRDefault="00AB782C"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A84552">
              <w:rPr>
                <w:rFonts w:ascii="Times New Roman" w:hAnsi="Times New Roman" w:cs="Times New Roman"/>
                <w:b/>
                <w:sz w:val="24"/>
                <w:szCs w:val="24"/>
              </w:rPr>
              <w:t>2.02%</w:t>
            </w:r>
          </w:p>
        </w:tc>
      </w:tr>
      <w:tr w:rsidR="00AB782C" w:rsidRPr="00D7447D" w14:paraId="4D37A325" w14:textId="77777777" w:rsidTr="00750902">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5FA57534" w14:textId="77777777" w:rsidR="00AB782C" w:rsidRPr="00D7447D" w:rsidRDefault="00AB782C" w:rsidP="000B3CCC">
            <w:pPr>
              <w:spacing w:line="276" w:lineRule="auto"/>
              <w:rPr>
                <w:rFonts w:ascii="Times New Roman" w:hAnsi="Times New Roman" w:cs="Times New Roman"/>
                <w:sz w:val="24"/>
                <w:szCs w:val="24"/>
              </w:rPr>
            </w:pPr>
            <w:r w:rsidRPr="00D7447D">
              <w:rPr>
                <w:rFonts w:ascii="Times New Roman" w:hAnsi="Times New Roman" w:cs="Times New Roman"/>
                <w:sz w:val="24"/>
                <w:szCs w:val="24"/>
              </w:rPr>
              <w:t>% ndaj totalit të Shpenzimeve Buxhetore</w:t>
            </w:r>
          </w:p>
        </w:tc>
        <w:tc>
          <w:tcPr>
            <w:tcW w:w="1223" w:type="dxa"/>
            <w:noWrap/>
          </w:tcPr>
          <w:p w14:paraId="698E31DE" w14:textId="00E5264F"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4.85%</w:t>
            </w:r>
          </w:p>
        </w:tc>
        <w:tc>
          <w:tcPr>
            <w:tcW w:w="926" w:type="dxa"/>
            <w:noWrap/>
          </w:tcPr>
          <w:p w14:paraId="0F1BF3A8" w14:textId="53F0D6D2"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5.81%</w:t>
            </w:r>
          </w:p>
        </w:tc>
        <w:tc>
          <w:tcPr>
            <w:tcW w:w="1080" w:type="dxa"/>
            <w:noWrap/>
          </w:tcPr>
          <w:p w14:paraId="3E5F3DFC" w14:textId="6E735366"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6.26%</w:t>
            </w:r>
          </w:p>
        </w:tc>
        <w:tc>
          <w:tcPr>
            <w:tcW w:w="1113" w:type="dxa"/>
            <w:noWrap/>
          </w:tcPr>
          <w:p w14:paraId="66D9D119" w14:textId="6FB8F4B9" w:rsidR="00AB782C" w:rsidRPr="00D7447D" w:rsidRDefault="00AB782C"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6.33%</w:t>
            </w:r>
          </w:p>
        </w:tc>
      </w:tr>
    </w:tbl>
    <w:p w14:paraId="1BB3D98A" w14:textId="7AC19635" w:rsidR="00CD1F19" w:rsidRPr="00D7447D" w:rsidRDefault="00CD1F19" w:rsidP="000B3CCC">
      <w:pPr>
        <w:spacing w:after="200" w:line="276" w:lineRule="auto"/>
        <w:contextualSpacing/>
        <w:jc w:val="both"/>
        <w:rPr>
          <w:rFonts w:ascii="Times New Roman" w:eastAsia="Times New Roman" w:hAnsi="Times New Roman" w:cs="Times New Roman"/>
          <w:sz w:val="24"/>
          <w:szCs w:val="24"/>
          <w:lang w:val="sq-AL"/>
        </w:rPr>
      </w:pPr>
    </w:p>
    <w:p w14:paraId="5DAD4B70" w14:textId="77777777" w:rsidR="00CD1F19" w:rsidRPr="00D7447D" w:rsidRDefault="00CD1F19" w:rsidP="000B3CCC">
      <w:pPr>
        <w:spacing w:after="200" w:line="276" w:lineRule="auto"/>
        <w:contextualSpacing/>
        <w:jc w:val="both"/>
        <w:rPr>
          <w:rFonts w:ascii="Times New Roman" w:eastAsia="Times New Roman" w:hAnsi="Times New Roman" w:cs="Times New Roman"/>
          <w:sz w:val="24"/>
          <w:szCs w:val="24"/>
          <w:lang w:val="sq-AL"/>
        </w:rPr>
      </w:pPr>
    </w:p>
    <w:p w14:paraId="5C33EC64" w14:textId="49E827C6" w:rsidR="00CD1F19" w:rsidRPr="00D7447D" w:rsidRDefault="00CD1F19" w:rsidP="000B3CCC">
      <w:pPr>
        <w:pStyle w:val="Heading3"/>
        <w:spacing w:line="276" w:lineRule="auto"/>
        <w:rPr>
          <w:rFonts w:ascii="Times New Roman" w:hAnsi="Times New Roman" w:cs="Times New Roman"/>
          <w:b/>
          <w:color w:val="auto"/>
          <w:lang w:val="sq-AL"/>
        </w:rPr>
      </w:pPr>
      <w:r w:rsidRPr="00D7447D">
        <w:rPr>
          <w:rFonts w:ascii="Times New Roman" w:hAnsi="Times New Roman" w:cs="Times New Roman"/>
          <w:b/>
          <w:color w:val="auto"/>
          <w:lang w:val="sq-AL"/>
        </w:rPr>
        <w:t>Prioritetet dhe treguesit e performancës për periudhën 202</w:t>
      </w:r>
      <w:r w:rsidR="00C60685" w:rsidRPr="00D7447D">
        <w:rPr>
          <w:rFonts w:ascii="Times New Roman" w:hAnsi="Times New Roman" w:cs="Times New Roman"/>
          <w:b/>
          <w:color w:val="auto"/>
          <w:lang w:val="sq-AL"/>
        </w:rPr>
        <w:t>3</w:t>
      </w:r>
      <w:r w:rsidRPr="00D7447D">
        <w:rPr>
          <w:rFonts w:ascii="Times New Roman" w:hAnsi="Times New Roman" w:cs="Times New Roman"/>
          <w:b/>
          <w:color w:val="auto"/>
          <w:lang w:val="sq-AL"/>
        </w:rPr>
        <w:t>-202</w:t>
      </w:r>
      <w:r w:rsidR="00C60685" w:rsidRPr="00D7447D">
        <w:rPr>
          <w:rFonts w:ascii="Times New Roman" w:hAnsi="Times New Roman" w:cs="Times New Roman"/>
          <w:b/>
          <w:color w:val="auto"/>
          <w:lang w:val="sq-AL"/>
        </w:rPr>
        <w:t>5</w:t>
      </w:r>
    </w:p>
    <w:p w14:paraId="4F0096F6" w14:textId="77777777" w:rsidR="00CD1F19" w:rsidRPr="00D7447D" w:rsidRDefault="00CD1F19"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14:paraId="64AC4504" w14:textId="77777777" w:rsidR="00CD1F19" w:rsidRPr="00D7447D" w:rsidRDefault="00CD1F19" w:rsidP="000B3CCC">
      <w:pPr>
        <w:spacing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Me këtë buxhet, Ministria e Mbrojtjes synon:</w:t>
      </w:r>
    </w:p>
    <w:p w14:paraId="3FE088A3" w14:textId="77777777" w:rsidR="00CD1F19" w:rsidRPr="00D7447D" w:rsidRDefault="00CD1F19" w:rsidP="000B3CCC">
      <w:pPr>
        <w:numPr>
          <w:ilvl w:val="0"/>
          <w:numId w:val="14"/>
        </w:numPr>
        <w:spacing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Modernizimin e kapaciteteve dhe infrastrukturës së FA duke:</w:t>
      </w:r>
    </w:p>
    <w:p w14:paraId="23E6BB6B" w14:textId="77777777" w:rsidR="00CD1F19" w:rsidRPr="00D7447D" w:rsidRDefault="00CD1F19" w:rsidP="000B3CCC">
      <w:pPr>
        <w:numPr>
          <w:ilvl w:val="1"/>
          <w:numId w:val="15"/>
        </w:numPr>
        <w:spacing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zhvilluar kapacitetet e FA në përputhje me Planin Afatgjatë të Zhvillimit;</w:t>
      </w:r>
    </w:p>
    <w:p w14:paraId="65B0C86B" w14:textId="77777777" w:rsidR="00CD1F19" w:rsidRPr="00D7447D" w:rsidRDefault="00CD1F19" w:rsidP="000B3CCC">
      <w:pPr>
        <w:numPr>
          <w:ilvl w:val="1"/>
          <w:numId w:val="15"/>
        </w:numPr>
        <w:spacing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vijuar pajisjen e Forcave Tokësore me armatim të ri të ndërveprueshëm me aleatët në NATO; </w:t>
      </w:r>
    </w:p>
    <w:p w14:paraId="4A0594D3" w14:textId="77777777" w:rsidR="00CD1F19" w:rsidRPr="00D7447D" w:rsidRDefault="00CD1F19" w:rsidP="000B3CCC">
      <w:pPr>
        <w:numPr>
          <w:ilvl w:val="1"/>
          <w:numId w:val="15"/>
        </w:numPr>
        <w:spacing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zgjeruar investimet në infrastrukturë për përmirësimin e mjediseve të punës dhe ushtarake;</w:t>
      </w:r>
    </w:p>
    <w:p w14:paraId="532B4854" w14:textId="77777777" w:rsidR="00CD1F19" w:rsidRPr="00D7447D" w:rsidRDefault="00CD1F19" w:rsidP="000B3CCC">
      <w:pPr>
        <w:numPr>
          <w:ilvl w:val="1"/>
          <w:numId w:val="15"/>
        </w:numPr>
        <w:spacing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modernizuar pajisjet dhe sistemet kompjuterike. </w:t>
      </w:r>
    </w:p>
    <w:p w14:paraId="3E82AB03" w14:textId="77777777" w:rsidR="00CD1F19" w:rsidRPr="00D7447D" w:rsidRDefault="00CD1F19" w:rsidP="000B3CCC">
      <w:pPr>
        <w:numPr>
          <w:ilvl w:val="0"/>
          <w:numId w:val="13"/>
        </w:numPr>
        <w:spacing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lastRenderedPageBreak/>
        <w:t>Vijimin e pjesëmarrjes në operacionet e NATO-s duke rritur nivelin e angazhimit të FA, në operacionet e Aleancës  dhe pjesëmarrjen në misionet e iniciativat e reja që NATO mund të ndërmarrë.</w:t>
      </w:r>
    </w:p>
    <w:p w14:paraId="35E76C87" w14:textId="77777777" w:rsidR="00CD1F19" w:rsidRPr="00D7447D" w:rsidRDefault="00CD1F19" w:rsidP="000B3CCC">
      <w:pPr>
        <w:numPr>
          <w:ilvl w:val="0"/>
          <w:numId w:val="15"/>
        </w:numPr>
        <w:spacing w:after="12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14:paraId="0A3B5A1A" w14:textId="77777777" w:rsidR="00CD1F19" w:rsidRPr="00D7447D" w:rsidRDefault="00CD1F19" w:rsidP="000B3CCC">
      <w:pPr>
        <w:numPr>
          <w:ilvl w:val="0"/>
          <w:numId w:val="13"/>
        </w:numPr>
        <w:spacing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14:paraId="21FC4FDE" w14:textId="77777777" w:rsidR="00CD1F19" w:rsidRPr="00D7447D" w:rsidRDefault="00CD1F19" w:rsidP="000B3CCC">
      <w:pPr>
        <w:spacing w:after="120" w:line="276" w:lineRule="auto"/>
        <w:ind w:left="720"/>
        <w:jc w:val="both"/>
        <w:rPr>
          <w:rFonts w:ascii="Times New Roman" w:eastAsiaTheme="minorHAnsi" w:hAnsi="Times New Roman" w:cs="Times New Roman"/>
          <w:sz w:val="24"/>
          <w:szCs w:val="24"/>
          <w:lang w:val="sq-AL"/>
        </w:rPr>
      </w:pPr>
    </w:p>
    <w:p w14:paraId="6790C8DE" w14:textId="70255364" w:rsidR="00CD1F19" w:rsidRPr="00D7447D" w:rsidRDefault="00CD1F19" w:rsidP="000B3CCC">
      <w:pPr>
        <w:spacing w:after="120" w:line="276" w:lineRule="auto"/>
        <w:jc w:val="both"/>
        <w:rPr>
          <w:rFonts w:ascii="Times New Roman" w:eastAsia="Times New Roman" w:hAnsi="Times New Roman" w:cs="Times New Roman"/>
          <w:sz w:val="24"/>
          <w:szCs w:val="24"/>
          <w:lang w:val="sq-AL"/>
        </w:rPr>
      </w:pPr>
      <w:r w:rsidRPr="00D7447D">
        <w:rPr>
          <w:rFonts w:ascii="Times New Roman" w:eastAsiaTheme="minorHAnsi" w:hAnsi="Times New Roman" w:cs="Times New Roman"/>
          <w:b/>
          <w:sz w:val="24"/>
          <w:szCs w:val="24"/>
          <w:lang w:val="sq-AL"/>
        </w:rPr>
        <w:t xml:space="preserve">       Tabela 16</w:t>
      </w:r>
      <w:r w:rsidRPr="00D7447D">
        <w:rPr>
          <w:rFonts w:ascii="Times New Roman" w:eastAsiaTheme="minorHAnsi" w:hAnsi="Times New Roman" w:cs="Times New Roman"/>
          <w:sz w:val="24"/>
          <w:szCs w:val="24"/>
          <w:lang w:val="sq-AL"/>
        </w:rPr>
        <w:t xml:space="preserve">: </w:t>
      </w:r>
      <w:r w:rsidRPr="00D7447D">
        <w:rPr>
          <w:rFonts w:ascii="Times New Roman" w:eastAsia="Times New Roman" w:hAnsi="Times New Roman" w:cs="Times New Roman"/>
          <w:sz w:val="24"/>
          <w:szCs w:val="24"/>
          <w:lang w:val="sq-AL"/>
        </w:rPr>
        <w:t>Shpenzimet për Ministrinë e Mbrojtjes për PBA 202</w:t>
      </w:r>
      <w:r w:rsidR="00C60685" w:rsidRPr="00D7447D">
        <w:rPr>
          <w:rFonts w:ascii="Times New Roman" w:eastAsia="Times New Roman" w:hAnsi="Times New Roman" w:cs="Times New Roman"/>
          <w:sz w:val="24"/>
          <w:szCs w:val="24"/>
          <w:lang w:val="sq-AL"/>
        </w:rPr>
        <w:t>3</w:t>
      </w:r>
      <w:r w:rsidRPr="00D7447D">
        <w:rPr>
          <w:rFonts w:ascii="Times New Roman" w:eastAsia="Times New Roman" w:hAnsi="Times New Roman" w:cs="Times New Roman"/>
          <w:sz w:val="24"/>
          <w:szCs w:val="24"/>
          <w:lang w:val="sq-AL"/>
        </w:rPr>
        <w:t>-202</w:t>
      </w:r>
      <w:r w:rsidR="00C60685" w:rsidRPr="00D7447D">
        <w:rPr>
          <w:rFonts w:ascii="Times New Roman" w:eastAsia="Times New Roman" w:hAnsi="Times New Roman" w:cs="Times New Roman"/>
          <w:sz w:val="24"/>
          <w:szCs w:val="24"/>
          <w:lang w:val="sq-AL"/>
        </w:rPr>
        <w:t>5</w:t>
      </w:r>
    </w:p>
    <w:p w14:paraId="3876E8F5" w14:textId="13497A06" w:rsidR="00CD1F19" w:rsidRPr="00D7447D" w:rsidRDefault="001C0012" w:rsidP="000B3CCC">
      <w:pPr>
        <w:spacing w:after="120" w:line="276" w:lineRule="auto"/>
        <w:jc w:val="both"/>
        <w:rPr>
          <w:rFonts w:ascii="Times New Roman" w:eastAsiaTheme="minorHAnsi" w:hAnsi="Times New Roman" w:cs="Times New Roman"/>
          <w:sz w:val="24"/>
          <w:szCs w:val="24"/>
          <w:lang w:val="sq-AL"/>
        </w:rPr>
      </w:pPr>
      <w:r w:rsidRPr="00D7447D">
        <w:rPr>
          <w:rFonts w:ascii="Times New Roman" w:hAnsi="Times New Roman" w:cs="Times New Roman"/>
          <w:noProof/>
          <w:sz w:val="24"/>
          <w:szCs w:val="24"/>
        </w:rPr>
        <w:drawing>
          <wp:inline distT="0" distB="0" distL="0" distR="0" wp14:anchorId="04DAFD91" wp14:editId="65085C0B">
            <wp:extent cx="5943600" cy="33274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3327400"/>
                    </a:xfrm>
                    <a:prstGeom prst="rect">
                      <a:avLst/>
                    </a:prstGeom>
                  </pic:spPr>
                </pic:pic>
              </a:graphicData>
            </a:graphic>
          </wp:inline>
        </w:drawing>
      </w:r>
    </w:p>
    <w:p w14:paraId="44D3BF98" w14:textId="77777777" w:rsidR="00E219DE" w:rsidRPr="00D7447D" w:rsidRDefault="00E219DE" w:rsidP="000B3CCC">
      <w:pPr>
        <w:spacing w:after="120" w:line="276" w:lineRule="auto"/>
        <w:jc w:val="both"/>
        <w:rPr>
          <w:rFonts w:ascii="Times New Roman" w:eastAsia="Calibri" w:hAnsi="Times New Roman" w:cs="Times New Roman"/>
          <w:sz w:val="24"/>
          <w:szCs w:val="24"/>
          <w:lang w:val="sq-AL"/>
        </w:rPr>
      </w:pPr>
    </w:p>
    <w:p w14:paraId="0A69F3BA" w14:textId="77777777" w:rsidR="00E07F38" w:rsidRPr="00D7447D" w:rsidRDefault="00E07F38" w:rsidP="000B3CCC">
      <w:pPr>
        <w:pStyle w:val="Heading2"/>
        <w:numPr>
          <w:ilvl w:val="1"/>
          <w:numId w:val="20"/>
        </w:numPr>
        <w:spacing w:line="276" w:lineRule="auto"/>
        <w:rPr>
          <w:rFonts w:ascii="Times New Roman" w:eastAsia="Calibri" w:hAnsi="Times New Roman" w:cs="Times New Roman"/>
          <w:i w:val="0"/>
          <w:sz w:val="24"/>
          <w:szCs w:val="24"/>
        </w:rPr>
      </w:pPr>
      <w:bookmarkStart w:id="367" w:name="_Toc516545"/>
      <w:bookmarkStart w:id="368" w:name="_Toc115701053"/>
      <w:r w:rsidRPr="00D7447D">
        <w:rPr>
          <w:rFonts w:ascii="Times New Roman" w:eastAsia="Calibri" w:hAnsi="Times New Roman" w:cs="Times New Roman"/>
          <w:i w:val="0"/>
          <w:sz w:val="24"/>
          <w:szCs w:val="24"/>
        </w:rPr>
        <w:t>MINISTRIA E TURIZMIT DHE MJEDISIT</w:t>
      </w:r>
      <w:bookmarkEnd w:id="367"/>
      <w:bookmarkEnd w:id="368"/>
    </w:p>
    <w:p w14:paraId="4AA2AA43" w14:textId="77777777" w:rsidR="00D378D6" w:rsidRPr="00D7447D" w:rsidRDefault="00D378D6" w:rsidP="000B3CCC">
      <w:pPr>
        <w:spacing w:after="20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14:paraId="5D6AB025" w14:textId="77777777" w:rsidR="00D378D6" w:rsidRPr="00D7447D" w:rsidRDefault="00D378D6" w:rsidP="000B3CCC">
      <w:pPr>
        <w:spacing w:after="20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Për periudhën 2023-2025, Ministria e Turizmit dhe Mjedisit do të përmbushë objektivat e synuar përmes fondeve buxhetore të alokuara sipas tabelës së mëposhtme. </w:t>
      </w:r>
    </w:p>
    <w:p w14:paraId="60F4532E" w14:textId="77777777" w:rsidR="00D378D6" w:rsidRPr="00D7447D" w:rsidRDefault="00D378D6" w:rsidP="000B3CCC">
      <w:pPr>
        <w:spacing w:after="0" w:line="276" w:lineRule="auto"/>
        <w:jc w:val="both"/>
        <w:rPr>
          <w:rFonts w:ascii="Times New Roman" w:eastAsia="Calibri" w:hAnsi="Times New Roman" w:cs="Times New Roman"/>
          <w:sz w:val="24"/>
          <w:szCs w:val="24"/>
          <w:lang w:val="sq-AL"/>
        </w:rPr>
      </w:pPr>
      <w:r w:rsidRPr="00D7447D">
        <w:rPr>
          <w:rFonts w:ascii="Times New Roman" w:eastAsia="Arial" w:hAnsi="Times New Roman" w:cs="Times New Roman"/>
          <w:b/>
          <w:sz w:val="24"/>
          <w:szCs w:val="24"/>
          <w:lang w:val="sq-AL" w:eastAsia="en-GB"/>
        </w:rPr>
        <w:lastRenderedPageBreak/>
        <w:t>Tabela 21</w:t>
      </w:r>
      <w:r w:rsidRPr="00D7447D">
        <w:rPr>
          <w:rFonts w:ascii="Times New Roman" w:eastAsia="Arial" w:hAnsi="Times New Roman" w:cs="Times New Roman"/>
          <w:sz w:val="24"/>
          <w:szCs w:val="24"/>
          <w:lang w:val="sq-AL" w:eastAsia="en-GB"/>
        </w:rPr>
        <w:t xml:space="preserve">: </w:t>
      </w:r>
      <w:r w:rsidRPr="00D7447D">
        <w:rPr>
          <w:rFonts w:ascii="Times New Roman" w:eastAsia="Calibri" w:hAnsi="Times New Roman" w:cs="Times New Roman"/>
          <w:sz w:val="24"/>
          <w:szCs w:val="24"/>
          <w:lang w:val="sq-AL"/>
        </w:rPr>
        <w:t>Shpenzimet për Ministrinë e Turizmit dhe Mjedisit për PBA 2023-2025</w:t>
      </w:r>
    </w:p>
    <w:p w14:paraId="18280074" w14:textId="77777777" w:rsidR="00D378D6" w:rsidRPr="00D7447D" w:rsidRDefault="00D378D6" w:rsidP="000B3CCC">
      <w:pPr>
        <w:spacing w:after="0" w:line="276" w:lineRule="auto"/>
        <w:jc w:val="both"/>
        <w:rPr>
          <w:rFonts w:ascii="Times New Roman" w:eastAsia="Calibri" w:hAnsi="Times New Roman" w:cs="Times New Roman"/>
          <w:sz w:val="24"/>
          <w:szCs w:val="24"/>
          <w:lang w:val="sq-AL"/>
        </w:rPr>
      </w:pPr>
    </w:p>
    <w:p w14:paraId="51A61577" w14:textId="77777777" w:rsidR="00D378D6" w:rsidRPr="00D7447D" w:rsidRDefault="00D378D6" w:rsidP="000B3CCC">
      <w:pPr>
        <w:spacing w:after="0" w:line="276" w:lineRule="auto"/>
        <w:ind w:hanging="540"/>
        <w:jc w:val="both"/>
        <w:rPr>
          <w:rFonts w:ascii="Times New Roman" w:eastAsia="Arial" w:hAnsi="Times New Roman" w:cs="Times New Roman"/>
          <w:sz w:val="24"/>
          <w:szCs w:val="24"/>
          <w:lang w:val="sq-AL" w:eastAsia="en-GB"/>
        </w:rPr>
      </w:pPr>
      <w:r w:rsidRPr="00D7447D">
        <w:rPr>
          <w:rFonts w:ascii="Times New Roman" w:hAnsi="Times New Roman" w:cs="Times New Roman"/>
          <w:noProof/>
          <w:sz w:val="24"/>
          <w:szCs w:val="24"/>
        </w:rPr>
        <w:drawing>
          <wp:inline distT="0" distB="0" distL="0" distR="0" wp14:anchorId="61784FC8" wp14:editId="5F999395">
            <wp:extent cx="6715125" cy="1657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715125" cy="1657350"/>
                    </a:xfrm>
                    <a:prstGeom prst="rect">
                      <a:avLst/>
                    </a:prstGeom>
                  </pic:spPr>
                </pic:pic>
              </a:graphicData>
            </a:graphic>
          </wp:inline>
        </w:drawing>
      </w:r>
    </w:p>
    <w:p w14:paraId="6B926054" w14:textId="77777777" w:rsidR="00D378D6" w:rsidRPr="00D7447D" w:rsidRDefault="00D378D6" w:rsidP="000B3CCC">
      <w:pPr>
        <w:spacing w:before="120" w:after="120" w:line="276" w:lineRule="auto"/>
        <w:jc w:val="both"/>
        <w:rPr>
          <w:rFonts w:ascii="Times New Roman" w:eastAsia="Arial" w:hAnsi="Times New Roman" w:cs="Times New Roman"/>
          <w:sz w:val="24"/>
          <w:szCs w:val="24"/>
          <w:lang w:val="sq-AL" w:eastAsia="en-GB"/>
        </w:rPr>
      </w:pPr>
    </w:p>
    <w:p w14:paraId="69865825" w14:textId="77777777" w:rsidR="00D378D6" w:rsidRPr="00D7447D" w:rsidRDefault="00D378D6" w:rsidP="000B3CCC">
      <w:pPr>
        <w:pStyle w:val="Heading3"/>
        <w:spacing w:line="276" w:lineRule="auto"/>
        <w:rPr>
          <w:rFonts w:ascii="Times New Roman" w:hAnsi="Times New Roman" w:cs="Times New Roman"/>
          <w:b/>
          <w:color w:val="auto"/>
          <w:lang w:val="sq-AL"/>
        </w:rPr>
      </w:pPr>
      <w:bookmarkStart w:id="369" w:name="_Toc527191571"/>
      <w:bookmarkStart w:id="370" w:name="_Toc527191603"/>
      <w:bookmarkStart w:id="371" w:name="_Toc527191729"/>
      <w:bookmarkEnd w:id="369"/>
      <w:bookmarkEnd w:id="370"/>
      <w:bookmarkEnd w:id="371"/>
      <w:r w:rsidRPr="00D7447D">
        <w:rPr>
          <w:rFonts w:ascii="Times New Roman" w:hAnsi="Times New Roman" w:cs="Times New Roman"/>
          <w:b/>
          <w:color w:val="auto"/>
          <w:lang w:val="sq-AL"/>
        </w:rPr>
        <w:t>Prioritetet e Ministrisë së Turizmit dhe Mjedisit për periudhën 2023-2025</w:t>
      </w:r>
    </w:p>
    <w:p w14:paraId="61F0775B" w14:textId="77777777" w:rsidR="00D378D6" w:rsidRPr="00D7447D" w:rsidRDefault="00D378D6" w:rsidP="000B3CCC">
      <w:p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 </w:t>
      </w:r>
    </w:p>
    <w:p w14:paraId="611FB7D2" w14:textId="77777777" w:rsidR="00D378D6" w:rsidRPr="00D7447D" w:rsidRDefault="00D378D6" w:rsidP="000B3CCC">
      <w:pPr>
        <w:spacing w:before="120" w:after="120" w:line="276" w:lineRule="auto"/>
        <w:jc w:val="both"/>
        <w:rPr>
          <w:rFonts w:ascii="Times New Roman" w:eastAsia="Arial" w:hAnsi="Times New Roman" w:cs="Times New Roman"/>
          <w:sz w:val="24"/>
          <w:szCs w:val="24"/>
          <w:lang w:val="sq-AL" w:eastAsia="en-GB"/>
        </w:rPr>
      </w:pPr>
      <w:r w:rsidRPr="00D7447D">
        <w:rPr>
          <w:rFonts w:ascii="Times New Roman" w:eastAsia="Arial" w:hAnsi="Times New Roman" w:cs="Times New Roman"/>
          <w:sz w:val="24"/>
          <w:szCs w:val="24"/>
          <w:lang w:val="sq-AL" w:eastAsia="en-GB"/>
        </w:rPr>
        <w:t xml:space="preserve">Prioritetet </w:t>
      </w:r>
      <w:r w:rsidRPr="00D7447D">
        <w:rPr>
          <w:rFonts w:ascii="Times New Roman" w:hAnsi="Times New Roman" w:cs="Times New Roman"/>
          <w:color w:val="000000" w:themeColor="text1"/>
          <w:sz w:val="24"/>
          <w:szCs w:val="24"/>
          <w:lang w:val="sq-AL"/>
        </w:rPr>
        <w:t>për periudhën 2023-2025:</w:t>
      </w:r>
    </w:p>
    <w:p w14:paraId="18DBE45C" w14:textId="77777777" w:rsidR="00D378D6" w:rsidRPr="00D7447D" w:rsidRDefault="00D378D6"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Diversifikimi i produktit turistik për të arritur një turizëm gjithëvjetor;</w:t>
      </w:r>
    </w:p>
    <w:p w14:paraId="46D45492" w14:textId="77777777" w:rsidR="00D378D6" w:rsidRPr="00D7447D" w:rsidRDefault="00D378D6"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rPr>
        <w:t>Sigurimi e zhvillimi i qëndrueshëm i zonës bregdetare, nëpërmjet ofrimit të shërbimit të pastrimit gjatë sezonit turistik, me qëllim rritjen e turistëve të huaj;</w:t>
      </w:r>
    </w:p>
    <w:p w14:paraId="5ABD32E3" w14:textId="77777777" w:rsidR="00D378D6" w:rsidRPr="00D7447D" w:rsidRDefault="00D378D6"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Arritja e përmirësimeve të matshme të cilësisë së ajrit sipas përcaktimeve në strategjinë kombëtare të ajrit;</w:t>
      </w:r>
    </w:p>
    <w:p w14:paraId="2756241B" w14:textId="77777777" w:rsidR="00D378D6" w:rsidRPr="00D7447D" w:rsidRDefault="00D378D6"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Përmirësimi i performancës së menaxhimit të integruar të mbetjeve;</w:t>
      </w:r>
    </w:p>
    <w:p w14:paraId="2EB3DA07" w14:textId="77777777" w:rsidR="00D378D6" w:rsidRPr="00D7447D" w:rsidRDefault="00D378D6" w:rsidP="000B3CCC">
      <w:pPr>
        <w:numPr>
          <w:ilvl w:val="0"/>
          <w:numId w:val="16"/>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Rritja e sipërfaqes se zonave të mbrojtura;</w:t>
      </w:r>
    </w:p>
    <w:p w14:paraId="44C01D8D" w14:textId="77777777" w:rsidR="00D378D6" w:rsidRPr="00D7447D" w:rsidRDefault="00D378D6" w:rsidP="000B3CCC">
      <w:pPr>
        <w:spacing w:after="0" w:line="276" w:lineRule="auto"/>
        <w:ind w:left="360"/>
        <w:contextualSpacing/>
        <w:jc w:val="both"/>
        <w:rPr>
          <w:rFonts w:ascii="Times New Roman" w:eastAsia="SimSun" w:hAnsi="Times New Roman" w:cs="Times New Roman"/>
          <w:sz w:val="24"/>
          <w:szCs w:val="24"/>
          <w:lang w:val="sq-AL"/>
        </w:rPr>
      </w:pPr>
    </w:p>
    <w:p w14:paraId="193A905A" w14:textId="77777777" w:rsidR="00D378D6" w:rsidRPr="00D7447D" w:rsidRDefault="00D378D6" w:rsidP="000B3CCC">
      <w:pPr>
        <w:spacing w:after="0" w:line="276" w:lineRule="auto"/>
        <w:contextualSpacing/>
        <w:jc w:val="both"/>
        <w:rPr>
          <w:rFonts w:ascii="Times New Roman" w:eastAsia="SimSun" w:hAnsi="Times New Roman" w:cs="Times New Roman"/>
          <w:sz w:val="24"/>
          <w:szCs w:val="24"/>
          <w:lang w:val="sq-AL"/>
        </w:rPr>
      </w:pPr>
    </w:p>
    <w:p w14:paraId="76C09646" w14:textId="77777777" w:rsidR="00D378D6" w:rsidRPr="00D7447D" w:rsidRDefault="00D378D6" w:rsidP="000B3CCC">
      <w:pPr>
        <w:spacing w:after="0" w:line="276" w:lineRule="auto"/>
        <w:jc w:val="both"/>
        <w:rPr>
          <w:rFonts w:ascii="Times New Roman" w:eastAsia="Calibri" w:hAnsi="Times New Roman" w:cs="Times New Roman"/>
          <w:sz w:val="24"/>
          <w:szCs w:val="24"/>
          <w:lang w:val="sq-AL"/>
        </w:rPr>
      </w:pPr>
      <w:r w:rsidRPr="00D7447D">
        <w:rPr>
          <w:rFonts w:ascii="Times New Roman" w:eastAsia="SimSun" w:hAnsi="Times New Roman" w:cs="Times New Roman"/>
          <w:b/>
          <w:sz w:val="24"/>
          <w:szCs w:val="24"/>
          <w:lang w:val="sq-AL"/>
        </w:rPr>
        <w:t>Tabela 22</w:t>
      </w:r>
      <w:r w:rsidRPr="00D7447D">
        <w:rPr>
          <w:rFonts w:ascii="Times New Roman" w:eastAsia="SimSun" w:hAnsi="Times New Roman" w:cs="Times New Roman"/>
          <w:sz w:val="24"/>
          <w:szCs w:val="24"/>
          <w:lang w:val="sq-AL"/>
        </w:rPr>
        <w:t xml:space="preserve">: Shpenzimet për Ministrinë e </w:t>
      </w:r>
      <w:r w:rsidRPr="00D7447D">
        <w:rPr>
          <w:rFonts w:ascii="Times New Roman" w:eastAsia="Calibri" w:hAnsi="Times New Roman" w:cs="Times New Roman"/>
          <w:sz w:val="24"/>
          <w:szCs w:val="24"/>
          <w:lang w:val="sq-AL"/>
        </w:rPr>
        <w:t>Turizmit dhe Mjedisit sipas programeve buxhetore dhe sipas artikujve ekonomikë</w:t>
      </w:r>
    </w:p>
    <w:p w14:paraId="5551E381" w14:textId="77777777" w:rsidR="00D378D6" w:rsidRPr="00D7447D" w:rsidRDefault="00D378D6" w:rsidP="000B3CCC">
      <w:pPr>
        <w:spacing w:after="0" w:line="276" w:lineRule="auto"/>
        <w:jc w:val="both"/>
        <w:rPr>
          <w:rFonts w:ascii="Times New Roman" w:eastAsia="Arial" w:hAnsi="Times New Roman" w:cs="Times New Roman"/>
          <w:sz w:val="24"/>
          <w:szCs w:val="24"/>
          <w:lang w:val="sq-AL" w:eastAsia="en-GB"/>
        </w:rPr>
      </w:pPr>
    </w:p>
    <w:p w14:paraId="4191B13E" w14:textId="77777777" w:rsidR="00D378D6" w:rsidRPr="00D7447D" w:rsidRDefault="00D378D6" w:rsidP="000B3CCC">
      <w:pPr>
        <w:spacing w:after="0" w:line="276" w:lineRule="auto"/>
        <w:ind w:left="-90" w:hanging="630"/>
        <w:contextualSpacing/>
        <w:jc w:val="both"/>
        <w:rPr>
          <w:rFonts w:ascii="Times New Roman" w:eastAsia="Calibri" w:hAnsi="Times New Roman" w:cs="Times New Roman"/>
          <w:b/>
          <w:noProof/>
          <w:sz w:val="24"/>
          <w:szCs w:val="24"/>
        </w:rPr>
      </w:pPr>
      <w:r w:rsidRPr="00D7447D">
        <w:rPr>
          <w:rFonts w:ascii="Times New Roman" w:hAnsi="Times New Roman" w:cs="Times New Roman"/>
          <w:noProof/>
          <w:sz w:val="24"/>
          <w:szCs w:val="24"/>
        </w:rPr>
        <w:lastRenderedPageBreak/>
        <w:drawing>
          <wp:inline distT="0" distB="0" distL="0" distR="0" wp14:anchorId="21BF927F" wp14:editId="4D63E408">
            <wp:extent cx="6896100" cy="48863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896100" cy="4886325"/>
                    </a:xfrm>
                    <a:prstGeom prst="rect">
                      <a:avLst/>
                    </a:prstGeom>
                  </pic:spPr>
                </pic:pic>
              </a:graphicData>
            </a:graphic>
          </wp:inline>
        </w:drawing>
      </w:r>
    </w:p>
    <w:p w14:paraId="0D496826" w14:textId="77777777" w:rsidR="00D378D6" w:rsidRPr="00D7447D" w:rsidRDefault="00D378D6" w:rsidP="000B3CCC">
      <w:pPr>
        <w:spacing w:after="0" w:line="276" w:lineRule="auto"/>
        <w:ind w:left="-180"/>
        <w:contextualSpacing/>
        <w:jc w:val="both"/>
        <w:rPr>
          <w:rFonts w:ascii="Times New Roman" w:eastAsia="Calibri" w:hAnsi="Times New Roman" w:cs="Times New Roman"/>
          <w:noProof/>
          <w:sz w:val="24"/>
          <w:szCs w:val="24"/>
        </w:rPr>
      </w:pPr>
      <w:r w:rsidRPr="00D7447D">
        <w:rPr>
          <w:rFonts w:ascii="Times New Roman" w:eastAsia="Calibri" w:hAnsi="Times New Roman" w:cs="Times New Roman"/>
          <w:noProof/>
          <w:sz w:val="24"/>
          <w:szCs w:val="24"/>
        </w:rPr>
        <w:t xml:space="preserve"> </w:t>
      </w:r>
    </w:p>
    <w:p w14:paraId="542D3E5D" w14:textId="77777777" w:rsidR="00D378D6" w:rsidRPr="00D7447D" w:rsidRDefault="00D378D6" w:rsidP="000B3CCC">
      <w:pPr>
        <w:pStyle w:val="Heading3"/>
        <w:spacing w:line="276" w:lineRule="auto"/>
        <w:rPr>
          <w:rFonts w:ascii="Times New Roman" w:eastAsia="Calibri" w:hAnsi="Times New Roman" w:cs="Times New Roman"/>
          <w:b/>
          <w:color w:val="auto"/>
          <w:lang w:val="sq-AL"/>
        </w:rPr>
      </w:pPr>
      <w:r w:rsidRPr="00D7447D">
        <w:rPr>
          <w:rFonts w:ascii="Times New Roman" w:eastAsia="Calibri" w:hAnsi="Times New Roman" w:cs="Times New Roman"/>
          <w:b/>
          <w:color w:val="auto"/>
          <w:lang w:val="sq-AL"/>
        </w:rPr>
        <w:t>Përmbledhje e Treguesve Kyç të Performancës</w:t>
      </w:r>
    </w:p>
    <w:p w14:paraId="66BE5757" w14:textId="77777777" w:rsidR="00D378D6" w:rsidRPr="00D7447D" w:rsidRDefault="00D378D6" w:rsidP="000B3CCC">
      <w:pPr>
        <w:spacing w:after="120" w:line="276" w:lineRule="auto"/>
        <w:jc w:val="both"/>
        <w:rPr>
          <w:rFonts w:ascii="Times New Roman" w:eastAsia="Times New Roman" w:hAnsi="Times New Roman" w:cs="Times New Roman"/>
          <w:sz w:val="24"/>
          <w:szCs w:val="24"/>
          <w:lang w:val="sq-AL"/>
        </w:rPr>
      </w:pPr>
    </w:p>
    <w:p w14:paraId="2F29917A" w14:textId="77777777" w:rsidR="00D378D6" w:rsidRPr="00D7447D" w:rsidRDefault="00D378D6" w:rsidP="000B3CCC">
      <w:pPr>
        <w:spacing w:after="120" w:line="276" w:lineRule="auto"/>
        <w:jc w:val="both"/>
        <w:rPr>
          <w:rFonts w:ascii="Times New Roman" w:eastAsia="Arial" w:hAnsi="Times New Roman" w:cs="Times New Roman"/>
          <w:sz w:val="24"/>
          <w:szCs w:val="24"/>
          <w:lang w:val="sq-AL" w:eastAsia="en-GB"/>
        </w:rPr>
      </w:pPr>
      <w:r w:rsidRPr="00D7447D">
        <w:rPr>
          <w:rFonts w:ascii="Times New Roman" w:eastAsia="Times New Roman" w:hAnsi="Times New Roman" w:cs="Times New Roman"/>
          <w:sz w:val="24"/>
          <w:szCs w:val="24"/>
          <w:lang w:val="sq-AL"/>
        </w:rPr>
        <w:t xml:space="preserve">Treguesit e performancës që synohen të arrihen </w:t>
      </w:r>
      <w:r w:rsidRPr="00D7447D">
        <w:rPr>
          <w:rFonts w:ascii="Times New Roman" w:eastAsia="Arial" w:hAnsi="Times New Roman" w:cs="Times New Roman"/>
          <w:sz w:val="24"/>
          <w:szCs w:val="24"/>
          <w:lang w:val="sq-AL" w:eastAsia="en-GB"/>
        </w:rPr>
        <w:t>gjatë periudhës 2023-2025:</w:t>
      </w:r>
    </w:p>
    <w:p w14:paraId="68BECC3C"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Rritja e kontributit direkt që ka Turizmi në Produktin e Brendshëm Bruto;</w:t>
      </w:r>
    </w:p>
    <w:p w14:paraId="7AAE0E9B"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Rritja e përpjesës së punësimit në sektorin e Turizmit ndaj totalit të të punësuarve në vend;</w:t>
      </w:r>
    </w:p>
    <w:p w14:paraId="02735755"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Ofrimi i incentivave për rritjen e numrit të bizneseve në sektorin e agriturizmit.</w:t>
      </w:r>
    </w:p>
    <w:p w14:paraId="1DEA17A5"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Diversifikimi i produktit turistik për të arritur një turizëm gjithëvjetor;</w:t>
      </w:r>
    </w:p>
    <w:p w14:paraId="3899DE86"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Arritja e përmirësimeve të matshme të cilësisë së ajrit sipas përcaktimeve në strategjinë kombëtare të ajrit;</w:t>
      </w:r>
    </w:p>
    <w:p w14:paraId="01FA9366"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Përmirësimi i performancës së menaxhimit të integruar të mbetjeve;</w:t>
      </w:r>
    </w:p>
    <w:p w14:paraId="04F565EF"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Rritja e sipërfaqes se zonave të mbrojtura në 20%;</w:t>
      </w:r>
    </w:p>
    <w:p w14:paraId="555425F1"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Rritja e përqindjes së mbetjeve që shkojnë në landfille sanitare kundrejt mbetjeve të hedhura në venddepozitime të hapura në 60%,</w:t>
      </w:r>
    </w:p>
    <w:p w14:paraId="18406E27"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t>Rritja në përqindje e mbetjeve të ricikluara në 59%,</w:t>
      </w:r>
    </w:p>
    <w:p w14:paraId="7ACE9007" w14:textId="77777777" w:rsidR="00D378D6" w:rsidRPr="00D7447D" w:rsidRDefault="00D378D6" w:rsidP="000B3CCC">
      <w:pPr>
        <w:numPr>
          <w:ilvl w:val="0"/>
          <w:numId w:val="4"/>
        </w:numPr>
        <w:spacing w:after="0" w:line="276" w:lineRule="auto"/>
        <w:contextualSpacing/>
        <w:jc w:val="both"/>
        <w:rPr>
          <w:rFonts w:ascii="Times New Roman" w:eastAsia="SimSun" w:hAnsi="Times New Roman" w:cs="Times New Roman"/>
          <w:sz w:val="24"/>
          <w:szCs w:val="24"/>
          <w:lang w:val="sq-AL"/>
        </w:rPr>
      </w:pPr>
      <w:r w:rsidRPr="00D7447D">
        <w:rPr>
          <w:rFonts w:ascii="Times New Roman" w:eastAsia="SimSun" w:hAnsi="Times New Roman" w:cs="Times New Roman"/>
          <w:sz w:val="24"/>
          <w:szCs w:val="24"/>
          <w:lang w:val="sq-AL"/>
        </w:rPr>
        <w:lastRenderedPageBreak/>
        <w:t>Rritja e të punësuarve në sektorin e turizmit në 29%.</w:t>
      </w:r>
    </w:p>
    <w:p w14:paraId="7073A50D" w14:textId="77777777" w:rsidR="00A01F1E" w:rsidRPr="00D7447D" w:rsidRDefault="00A01F1E" w:rsidP="000B3CCC">
      <w:pPr>
        <w:spacing w:after="0" w:line="276" w:lineRule="auto"/>
        <w:ind w:left="774"/>
        <w:contextualSpacing/>
        <w:jc w:val="both"/>
        <w:rPr>
          <w:rFonts w:ascii="Times New Roman" w:eastAsia="SimSun" w:hAnsi="Times New Roman" w:cs="Times New Roman"/>
          <w:sz w:val="24"/>
          <w:szCs w:val="24"/>
          <w:lang w:val="sq-AL"/>
        </w:rPr>
      </w:pPr>
    </w:p>
    <w:p w14:paraId="1F8FCE93" w14:textId="77777777" w:rsidR="00AF2757" w:rsidRPr="00D7447D" w:rsidRDefault="00AF2757" w:rsidP="000B3CCC">
      <w:pPr>
        <w:spacing w:line="276" w:lineRule="auto"/>
        <w:rPr>
          <w:rFonts w:ascii="Times New Roman" w:hAnsi="Times New Roman" w:cs="Times New Roman"/>
          <w:sz w:val="24"/>
          <w:szCs w:val="24"/>
          <w:lang w:val="sq-AL" w:eastAsia="sq-AL"/>
        </w:rPr>
      </w:pPr>
    </w:p>
    <w:p w14:paraId="6AF491C6" w14:textId="77777777" w:rsidR="00B260BA" w:rsidRPr="00D7447D" w:rsidRDefault="00B260BA" w:rsidP="000B3CCC">
      <w:pPr>
        <w:pStyle w:val="ListParagraph"/>
        <w:keepNext/>
        <w:numPr>
          <w:ilvl w:val="1"/>
          <w:numId w:val="17"/>
        </w:numPr>
        <w:spacing w:before="240" w:after="60" w:line="276" w:lineRule="auto"/>
        <w:contextualSpacing w:val="0"/>
        <w:outlineLvl w:val="1"/>
        <w:rPr>
          <w:rFonts w:ascii="Times New Roman" w:eastAsia="Times New Roman" w:hAnsi="Times New Roman" w:cs="Times New Roman"/>
          <w:b/>
          <w:bCs/>
          <w:i/>
          <w:iCs/>
          <w:noProof/>
          <w:vanish/>
          <w:sz w:val="24"/>
          <w:szCs w:val="24"/>
          <w:lang w:val="sq-AL" w:eastAsia="sq-AL"/>
        </w:rPr>
      </w:pPr>
      <w:bookmarkStart w:id="372" w:name="_Toc518557935"/>
      <w:bookmarkStart w:id="373" w:name="_Toc518558009"/>
      <w:bookmarkStart w:id="374" w:name="_Toc518558034"/>
      <w:bookmarkStart w:id="375" w:name="_Toc518558065"/>
      <w:bookmarkStart w:id="376" w:name="_Toc518558096"/>
      <w:bookmarkStart w:id="377" w:name="_Toc518558354"/>
      <w:bookmarkStart w:id="378" w:name="_Toc518558376"/>
      <w:bookmarkStart w:id="379" w:name="_Toc518558897"/>
      <w:bookmarkStart w:id="380" w:name="_Toc518559020"/>
      <w:bookmarkStart w:id="381" w:name="_Toc518559250"/>
      <w:bookmarkStart w:id="382" w:name="_Toc518562265"/>
      <w:bookmarkStart w:id="383" w:name="_Toc527191572"/>
      <w:bookmarkStart w:id="384" w:name="_Toc527191604"/>
      <w:bookmarkStart w:id="385" w:name="_Toc527191730"/>
      <w:bookmarkStart w:id="386" w:name="_Toc527192133"/>
      <w:bookmarkStart w:id="387" w:name="_Toc527192183"/>
      <w:bookmarkStart w:id="388" w:name="_Toc527530928"/>
      <w:bookmarkStart w:id="389" w:name="_Toc354465"/>
      <w:bookmarkStart w:id="390" w:name="_Toc516546"/>
      <w:bookmarkStart w:id="391" w:name="_Toc12009302"/>
      <w:bookmarkStart w:id="392" w:name="_Toc12014090"/>
      <w:bookmarkStart w:id="393" w:name="_Toc12014161"/>
      <w:bookmarkStart w:id="394" w:name="_Toc12014394"/>
      <w:bookmarkStart w:id="395" w:name="_Toc12014424"/>
      <w:bookmarkStart w:id="396" w:name="_Toc12014544"/>
      <w:bookmarkStart w:id="397" w:name="_Toc12016561"/>
      <w:bookmarkStart w:id="398" w:name="_Toc12260723"/>
      <w:bookmarkStart w:id="399" w:name="_Toc12533840"/>
      <w:bookmarkStart w:id="400" w:name="_Toc12534353"/>
      <w:bookmarkStart w:id="401" w:name="_Toc12536778"/>
      <w:bookmarkStart w:id="402" w:name="_Toc12536809"/>
      <w:bookmarkStart w:id="403" w:name="_Toc12541866"/>
      <w:bookmarkStart w:id="404" w:name="_Toc12876755"/>
      <w:bookmarkStart w:id="405" w:name="_Toc12955095"/>
      <w:bookmarkStart w:id="406" w:name="_Toc12963513"/>
      <w:bookmarkStart w:id="407" w:name="_Toc12976989"/>
      <w:bookmarkStart w:id="408" w:name="_Toc13476488"/>
      <w:bookmarkStart w:id="409" w:name="_Toc13478532"/>
      <w:bookmarkStart w:id="410" w:name="_Toc13653944"/>
      <w:bookmarkStart w:id="411" w:name="_Toc13653988"/>
      <w:bookmarkStart w:id="412" w:name="_Toc20906555"/>
      <w:bookmarkStart w:id="413" w:name="_Toc20914564"/>
      <w:bookmarkStart w:id="414" w:name="_Toc20914762"/>
      <w:bookmarkStart w:id="415" w:name="_Toc20914881"/>
      <w:bookmarkStart w:id="416" w:name="_Toc20920378"/>
      <w:bookmarkStart w:id="417" w:name="_Toc21076174"/>
      <w:bookmarkStart w:id="418" w:name="_Toc21076203"/>
      <w:bookmarkStart w:id="419" w:name="_Toc21076413"/>
      <w:bookmarkStart w:id="420" w:name="_Toc21076650"/>
      <w:bookmarkStart w:id="421" w:name="_Toc21076687"/>
      <w:bookmarkStart w:id="422" w:name="_Toc21076852"/>
      <w:bookmarkStart w:id="423" w:name="_Toc21076882"/>
      <w:bookmarkStart w:id="424" w:name="_Toc31801847"/>
      <w:bookmarkStart w:id="425" w:name="_Toc32317795"/>
      <w:bookmarkStart w:id="426" w:name="_Toc32317979"/>
      <w:bookmarkStart w:id="427" w:name="_Toc32329855"/>
      <w:bookmarkStart w:id="428" w:name="_Toc32330014"/>
      <w:bookmarkStart w:id="429" w:name="_Toc32408372"/>
      <w:bookmarkStart w:id="430" w:name="_Toc32414958"/>
      <w:bookmarkStart w:id="431" w:name="_Toc33087740"/>
      <w:bookmarkStart w:id="432" w:name="_Toc33537249"/>
      <w:bookmarkStart w:id="433" w:name="_Toc33537280"/>
      <w:bookmarkStart w:id="434" w:name="_Toc33689416"/>
      <w:bookmarkStart w:id="435" w:name="_Toc33709889"/>
      <w:bookmarkStart w:id="436" w:name="_Toc51663661"/>
      <w:bookmarkStart w:id="437" w:name="_Toc51665219"/>
      <w:bookmarkStart w:id="438" w:name="_Toc51665737"/>
      <w:bookmarkStart w:id="439" w:name="_Toc51665844"/>
      <w:bookmarkStart w:id="440" w:name="_Toc51666039"/>
      <w:bookmarkStart w:id="441" w:name="_Toc51682367"/>
      <w:bookmarkStart w:id="442" w:name="_Toc51682508"/>
      <w:bookmarkStart w:id="443" w:name="_Toc52372755"/>
      <w:bookmarkStart w:id="444" w:name="_Toc52372882"/>
      <w:bookmarkStart w:id="445" w:name="_Toc53495383"/>
      <w:bookmarkStart w:id="446" w:name="_Toc56674443"/>
      <w:bookmarkStart w:id="447" w:name="_Toc56674476"/>
      <w:bookmarkStart w:id="448" w:name="_Toc63755899"/>
      <w:bookmarkStart w:id="449" w:name="_Toc63757093"/>
      <w:bookmarkStart w:id="450" w:name="_Toc65680644"/>
      <w:bookmarkStart w:id="451" w:name="_Toc76386759"/>
      <w:bookmarkStart w:id="452" w:name="_Toc76386808"/>
      <w:bookmarkStart w:id="453" w:name="_Toc76642311"/>
      <w:bookmarkStart w:id="454" w:name="_Toc76644143"/>
      <w:bookmarkStart w:id="455" w:name="_Toc84421986"/>
      <w:bookmarkStart w:id="456" w:name="_Toc84514363"/>
      <w:bookmarkStart w:id="457" w:name="_Toc84514855"/>
      <w:bookmarkStart w:id="458" w:name="_Toc84515088"/>
      <w:bookmarkStart w:id="459" w:name="_Toc84515313"/>
      <w:bookmarkStart w:id="460" w:name="_Toc84515346"/>
      <w:bookmarkStart w:id="461" w:name="_Toc86916463"/>
      <w:bookmarkStart w:id="462" w:name="_Toc115699023"/>
      <w:bookmarkStart w:id="463" w:name="_Toc115701054"/>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38957DC" w14:textId="77777777" w:rsidR="00B260BA" w:rsidRPr="00D7447D" w:rsidRDefault="00B260BA" w:rsidP="000B3CCC">
      <w:pPr>
        <w:pStyle w:val="ListParagraph"/>
        <w:keepNext/>
        <w:numPr>
          <w:ilvl w:val="1"/>
          <w:numId w:val="17"/>
        </w:numPr>
        <w:spacing w:before="240" w:after="60" w:line="276" w:lineRule="auto"/>
        <w:contextualSpacing w:val="0"/>
        <w:outlineLvl w:val="1"/>
        <w:rPr>
          <w:rFonts w:ascii="Times New Roman" w:eastAsia="Times New Roman" w:hAnsi="Times New Roman" w:cs="Times New Roman"/>
          <w:b/>
          <w:bCs/>
          <w:i/>
          <w:iCs/>
          <w:noProof/>
          <w:vanish/>
          <w:sz w:val="24"/>
          <w:szCs w:val="24"/>
          <w:lang w:val="sq-AL" w:eastAsia="sq-AL"/>
        </w:rPr>
      </w:pPr>
      <w:bookmarkStart w:id="464" w:name="_Toc518557936"/>
      <w:bookmarkStart w:id="465" w:name="_Toc518558010"/>
      <w:bookmarkStart w:id="466" w:name="_Toc518558035"/>
      <w:bookmarkStart w:id="467" w:name="_Toc518558066"/>
      <w:bookmarkStart w:id="468" w:name="_Toc518558097"/>
      <w:bookmarkStart w:id="469" w:name="_Toc518558355"/>
      <w:bookmarkStart w:id="470" w:name="_Toc518558377"/>
      <w:bookmarkStart w:id="471" w:name="_Toc518558898"/>
      <w:bookmarkStart w:id="472" w:name="_Toc518559021"/>
      <w:bookmarkStart w:id="473" w:name="_Toc518559251"/>
      <w:bookmarkStart w:id="474" w:name="_Toc518562266"/>
      <w:bookmarkStart w:id="475" w:name="_Toc527191573"/>
      <w:bookmarkStart w:id="476" w:name="_Toc527191605"/>
      <w:bookmarkStart w:id="477" w:name="_Toc527191731"/>
      <w:bookmarkStart w:id="478" w:name="_Toc527192134"/>
      <w:bookmarkStart w:id="479" w:name="_Toc527192184"/>
      <w:bookmarkStart w:id="480" w:name="_Toc527530929"/>
      <w:bookmarkStart w:id="481" w:name="_Toc354466"/>
      <w:bookmarkStart w:id="482" w:name="_Toc516547"/>
      <w:bookmarkStart w:id="483" w:name="_Toc12009303"/>
      <w:bookmarkStart w:id="484" w:name="_Toc12014091"/>
      <w:bookmarkStart w:id="485" w:name="_Toc12014162"/>
      <w:bookmarkStart w:id="486" w:name="_Toc12014395"/>
      <w:bookmarkStart w:id="487" w:name="_Toc12014425"/>
      <w:bookmarkStart w:id="488" w:name="_Toc12014545"/>
      <w:bookmarkStart w:id="489" w:name="_Toc12016562"/>
      <w:bookmarkStart w:id="490" w:name="_Toc12260724"/>
      <w:bookmarkStart w:id="491" w:name="_Toc12533841"/>
      <w:bookmarkStart w:id="492" w:name="_Toc12534354"/>
      <w:bookmarkStart w:id="493" w:name="_Toc12536779"/>
      <w:bookmarkStart w:id="494" w:name="_Toc12536810"/>
      <w:bookmarkStart w:id="495" w:name="_Toc12541867"/>
      <w:bookmarkStart w:id="496" w:name="_Toc12876756"/>
      <w:bookmarkStart w:id="497" w:name="_Toc12955096"/>
      <w:bookmarkStart w:id="498" w:name="_Toc12963514"/>
      <w:bookmarkStart w:id="499" w:name="_Toc12976990"/>
      <w:bookmarkStart w:id="500" w:name="_Toc13476489"/>
      <w:bookmarkStart w:id="501" w:name="_Toc13478533"/>
      <w:bookmarkStart w:id="502" w:name="_Toc13653945"/>
      <w:bookmarkStart w:id="503" w:name="_Toc13653989"/>
      <w:bookmarkStart w:id="504" w:name="_Toc20906556"/>
      <w:bookmarkStart w:id="505" w:name="_Toc20914565"/>
      <w:bookmarkStart w:id="506" w:name="_Toc20914763"/>
      <w:bookmarkStart w:id="507" w:name="_Toc20914882"/>
      <w:bookmarkStart w:id="508" w:name="_Toc20920379"/>
      <w:bookmarkStart w:id="509" w:name="_Toc21076175"/>
      <w:bookmarkStart w:id="510" w:name="_Toc21076204"/>
      <w:bookmarkStart w:id="511" w:name="_Toc21076414"/>
      <w:bookmarkStart w:id="512" w:name="_Toc21076651"/>
      <w:bookmarkStart w:id="513" w:name="_Toc21076688"/>
      <w:bookmarkStart w:id="514" w:name="_Toc21076853"/>
      <w:bookmarkStart w:id="515" w:name="_Toc21076883"/>
      <w:bookmarkStart w:id="516" w:name="_Toc31801848"/>
      <w:bookmarkStart w:id="517" w:name="_Toc32317796"/>
      <w:bookmarkStart w:id="518" w:name="_Toc32317980"/>
      <w:bookmarkStart w:id="519" w:name="_Toc32329856"/>
      <w:bookmarkStart w:id="520" w:name="_Toc32330015"/>
      <w:bookmarkStart w:id="521" w:name="_Toc32408373"/>
      <w:bookmarkStart w:id="522" w:name="_Toc32414959"/>
      <w:bookmarkStart w:id="523" w:name="_Toc33087741"/>
      <w:bookmarkStart w:id="524" w:name="_Toc33537250"/>
      <w:bookmarkStart w:id="525" w:name="_Toc33537281"/>
      <w:bookmarkStart w:id="526" w:name="_Toc33689417"/>
      <w:bookmarkStart w:id="527" w:name="_Toc33709890"/>
      <w:bookmarkStart w:id="528" w:name="_Toc51663662"/>
      <w:bookmarkStart w:id="529" w:name="_Toc51665220"/>
      <w:bookmarkStart w:id="530" w:name="_Toc51665738"/>
      <w:bookmarkStart w:id="531" w:name="_Toc51665845"/>
      <w:bookmarkStart w:id="532" w:name="_Toc51666040"/>
      <w:bookmarkStart w:id="533" w:name="_Toc51682368"/>
      <w:bookmarkStart w:id="534" w:name="_Toc51682509"/>
      <w:bookmarkStart w:id="535" w:name="_Toc52372756"/>
      <w:bookmarkStart w:id="536" w:name="_Toc52372883"/>
      <w:bookmarkStart w:id="537" w:name="_Toc53495384"/>
      <w:bookmarkStart w:id="538" w:name="_Toc56674444"/>
      <w:bookmarkStart w:id="539" w:name="_Toc56674477"/>
      <w:bookmarkStart w:id="540" w:name="_Toc63755900"/>
      <w:bookmarkStart w:id="541" w:name="_Toc63757094"/>
      <w:bookmarkStart w:id="542" w:name="_Toc65680645"/>
      <w:bookmarkStart w:id="543" w:name="_Toc76386760"/>
      <w:bookmarkStart w:id="544" w:name="_Toc76386809"/>
      <w:bookmarkStart w:id="545" w:name="_Toc76642312"/>
      <w:bookmarkStart w:id="546" w:name="_Toc76644144"/>
      <w:bookmarkStart w:id="547" w:name="_Toc84421987"/>
      <w:bookmarkStart w:id="548" w:name="_Toc84514364"/>
      <w:bookmarkStart w:id="549" w:name="_Toc84514856"/>
      <w:bookmarkStart w:id="550" w:name="_Toc84515089"/>
      <w:bookmarkStart w:id="551" w:name="_Toc84515314"/>
      <w:bookmarkStart w:id="552" w:name="_Toc84515347"/>
      <w:bookmarkStart w:id="553" w:name="_Toc86916464"/>
      <w:bookmarkStart w:id="554" w:name="_Toc115699024"/>
      <w:bookmarkStart w:id="555" w:name="_Toc115701055"/>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6FC6160" w14:textId="77777777" w:rsidR="00B260BA" w:rsidRPr="00D7447D" w:rsidRDefault="00B260BA" w:rsidP="000B3CCC">
      <w:pPr>
        <w:pStyle w:val="ListParagraph"/>
        <w:keepNext/>
        <w:numPr>
          <w:ilvl w:val="1"/>
          <w:numId w:val="17"/>
        </w:numPr>
        <w:spacing w:before="240" w:after="60" w:line="276" w:lineRule="auto"/>
        <w:contextualSpacing w:val="0"/>
        <w:outlineLvl w:val="1"/>
        <w:rPr>
          <w:rFonts w:ascii="Times New Roman" w:eastAsia="Times New Roman" w:hAnsi="Times New Roman" w:cs="Times New Roman"/>
          <w:b/>
          <w:bCs/>
          <w:i/>
          <w:iCs/>
          <w:noProof/>
          <w:vanish/>
          <w:sz w:val="24"/>
          <w:szCs w:val="24"/>
          <w:lang w:val="sq-AL" w:eastAsia="sq-AL"/>
        </w:rPr>
      </w:pPr>
      <w:bookmarkStart w:id="556" w:name="_Toc518557937"/>
      <w:bookmarkStart w:id="557" w:name="_Toc518558011"/>
      <w:bookmarkStart w:id="558" w:name="_Toc518558036"/>
      <w:bookmarkStart w:id="559" w:name="_Toc518558067"/>
      <w:bookmarkStart w:id="560" w:name="_Toc518558098"/>
      <w:bookmarkStart w:id="561" w:name="_Toc518558356"/>
      <w:bookmarkStart w:id="562" w:name="_Toc518558378"/>
      <w:bookmarkStart w:id="563" w:name="_Toc518558899"/>
      <w:bookmarkStart w:id="564" w:name="_Toc518559022"/>
      <w:bookmarkStart w:id="565" w:name="_Toc518559252"/>
      <w:bookmarkStart w:id="566" w:name="_Toc518562267"/>
      <w:bookmarkStart w:id="567" w:name="_Toc527191574"/>
      <w:bookmarkStart w:id="568" w:name="_Toc527191606"/>
      <w:bookmarkStart w:id="569" w:name="_Toc527191732"/>
      <w:bookmarkStart w:id="570" w:name="_Toc527192135"/>
      <w:bookmarkStart w:id="571" w:name="_Toc527192185"/>
      <w:bookmarkStart w:id="572" w:name="_Toc527530930"/>
      <w:bookmarkStart w:id="573" w:name="_Toc354467"/>
      <w:bookmarkStart w:id="574" w:name="_Toc516548"/>
      <w:bookmarkStart w:id="575" w:name="_Toc12009304"/>
      <w:bookmarkStart w:id="576" w:name="_Toc12014092"/>
      <w:bookmarkStart w:id="577" w:name="_Toc12014163"/>
      <w:bookmarkStart w:id="578" w:name="_Toc12014396"/>
      <w:bookmarkStart w:id="579" w:name="_Toc12014426"/>
      <w:bookmarkStart w:id="580" w:name="_Toc12014546"/>
      <w:bookmarkStart w:id="581" w:name="_Toc12016563"/>
      <w:bookmarkStart w:id="582" w:name="_Toc12260725"/>
      <w:bookmarkStart w:id="583" w:name="_Toc12533842"/>
      <w:bookmarkStart w:id="584" w:name="_Toc12534355"/>
      <w:bookmarkStart w:id="585" w:name="_Toc12536780"/>
      <w:bookmarkStart w:id="586" w:name="_Toc12536811"/>
      <w:bookmarkStart w:id="587" w:name="_Toc12541868"/>
      <w:bookmarkStart w:id="588" w:name="_Toc12876757"/>
      <w:bookmarkStart w:id="589" w:name="_Toc12955097"/>
      <w:bookmarkStart w:id="590" w:name="_Toc12963515"/>
      <w:bookmarkStart w:id="591" w:name="_Toc12976991"/>
      <w:bookmarkStart w:id="592" w:name="_Toc13476490"/>
      <w:bookmarkStart w:id="593" w:name="_Toc13478534"/>
      <w:bookmarkStart w:id="594" w:name="_Toc13653946"/>
      <w:bookmarkStart w:id="595" w:name="_Toc13653990"/>
      <w:bookmarkStart w:id="596" w:name="_Toc20906557"/>
      <w:bookmarkStart w:id="597" w:name="_Toc20914566"/>
      <w:bookmarkStart w:id="598" w:name="_Toc20914764"/>
      <w:bookmarkStart w:id="599" w:name="_Toc20914883"/>
      <w:bookmarkStart w:id="600" w:name="_Toc20920380"/>
      <w:bookmarkStart w:id="601" w:name="_Toc21076176"/>
      <w:bookmarkStart w:id="602" w:name="_Toc21076205"/>
      <w:bookmarkStart w:id="603" w:name="_Toc21076415"/>
      <w:bookmarkStart w:id="604" w:name="_Toc21076652"/>
      <w:bookmarkStart w:id="605" w:name="_Toc21076689"/>
      <w:bookmarkStart w:id="606" w:name="_Toc21076854"/>
      <w:bookmarkStart w:id="607" w:name="_Toc21076884"/>
      <w:bookmarkStart w:id="608" w:name="_Toc31801849"/>
      <w:bookmarkStart w:id="609" w:name="_Toc32317797"/>
      <w:bookmarkStart w:id="610" w:name="_Toc32317981"/>
      <w:bookmarkStart w:id="611" w:name="_Toc32329857"/>
      <w:bookmarkStart w:id="612" w:name="_Toc32330016"/>
      <w:bookmarkStart w:id="613" w:name="_Toc32408374"/>
      <w:bookmarkStart w:id="614" w:name="_Toc32414960"/>
      <w:bookmarkStart w:id="615" w:name="_Toc33087742"/>
      <w:bookmarkStart w:id="616" w:name="_Toc33537251"/>
      <w:bookmarkStart w:id="617" w:name="_Toc33537282"/>
      <w:bookmarkStart w:id="618" w:name="_Toc33689418"/>
      <w:bookmarkStart w:id="619" w:name="_Toc33709891"/>
      <w:bookmarkStart w:id="620" w:name="_Toc51663663"/>
      <w:bookmarkStart w:id="621" w:name="_Toc51665221"/>
      <w:bookmarkStart w:id="622" w:name="_Toc51665739"/>
      <w:bookmarkStart w:id="623" w:name="_Toc51665846"/>
      <w:bookmarkStart w:id="624" w:name="_Toc51666041"/>
      <w:bookmarkStart w:id="625" w:name="_Toc51682369"/>
      <w:bookmarkStart w:id="626" w:name="_Toc51682510"/>
      <w:bookmarkStart w:id="627" w:name="_Toc52372757"/>
      <w:bookmarkStart w:id="628" w:name="_Toc52372884"/>
      <w:bookmarkStart w:id="629" w:name="_Toc53495385"/>
      <w:bookmarkStart w:id="630" w:name="_Toc56674445"/>
      <w:bookmarkStart w:id="631" w:name="_Toc56674478"/>
      <w:bookmarkStart w:id="632" w:name="_Toc63755901"/>
      <w:bookmarkStart w:id="633" w:name="_Toc63757095"/>
      <w:bookmarkStart w:id="634" w:name="_Toc65680646"/>
      <w:bookmarkStart w:id="635" w:name="_Toc76386761"/>
      <w:bookmarkStart w:id="636" w:name="_Toc76386810"/>
      <w:bookmarkStart w:id="637" w:name="_Toc76642313"/>
      <w:bookmarkStart w:id="638" w:name="_Toc76644145"/>
      <w:bookmarkStart w:id="639" w:name="_Toc84421988"/>
      <w:bookmarkStart w:id="640" w:name="_Toc84514365"/>
      <w:bookmarkStart w:id="641" w:name="_Toc84514857"/>
      <w:bookmarkStart w:id="642" w:name="_Toc84515090"/>
      <w:bookmarkStart w:id="643" w:name="_Toc84515315"/>
      <w:bookmarkStart w:id="644" w:name="_Toc84515348"/>
      <w:bookmarkStart w:id="645" w:name="_Toc86916465"/>
      <w:bookmarkStart w:id="646" w:name="_Toc115699025"/>
      <w:bookmarkStart w:id="647" w:name="_Toc115701056"/>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1B305A2C" w14:textId="77777777" w:rsidR="00B260BA" w:rsidRPr="00D7447D" w:rsidRDefault="00B260BA" w:rsidP="000B3CCC">
      <w:pPr>
        <w:pStyle w:val="ListParagraph"/>
        <w:keepNext/>
        <w:numPr>
          <w:ilvl w:val="1"/>
          <w:numId w:val="17"/>
        </w:numPr>
        <w:spacing w:before="240" w:after="60" w:line="276" w:lineRule="auto"/>
        <w:contextualSpacing w:val="0"/>
        <w:outlineLvl w:val="1"/>
        <w:rPr>
          <w:rFonts w:ascii="Times New Roman" w:eastAsia="Times New Roman" w:hAnsi="Times New Roman" w:cs="Times New Roman"/>
          <w:b/>
          <w:bCs/>
          <w:i/>
          <w:iCs/>
          <w:noProof/>
          <w:vanish/>
          <w:sz w:val="24"/>
          <w:szCs w:val="24"/>
          <w:lang w:val="sq-AL" w:eastAsia="sq-AL"/>
        </w:rPr>
      </w:pPr>
      <w:bookmarkStart w:id="648" w:name="_Toc518557938"/>
      <w:bookmarkStart w:id="649" w:name="_Toc518558012"/>
      <w:bookmarkStart w:id="650" w:name="_Toc518558037"/>
      <w:bookmarkStart w:id="651" w:name="_Toc518558068"/>
      <w:bookmarkStart w:id="652" w:name="_Toc518558099"/>
      <w:bookmarkStart w:id="653" w:name="_Toc518558357"/>
      <w:bookmarkStart w:id="654" w:name="_Toc518558379"/>
      <w:bookmarkStart w:id="655" w:name="_Toc518558900"/>
      <w:bookmarkStart w:id="656" w:name="_Toc518559023"/>
      <w:bookmarkStart w:id="657" w:name="_Toc518559253"/>
      <w:bookmarkStart w:id="658" w:name="_Toc518562268"/>
      <w:bookmarkStart w:id="659" w:name="_Toc527191575"/>
      <w:bookmarkStart w:id="660" w:name="_Toc527191607"/>
      <w:bookmarkStart w:id="661" w:name="_Toc527191733"/>
      <w:bookmarkStart w:id="662" w:name="_Toc527192136"/>
      <w:bookmarkStart w:id="663" w:name="_Toc527192186"/>
      <w:bookmarkStart w:id="664" w:name="_Toc527530931"/>
      <w:bookmarkStart w:id="665" w:name="_Toc354468"/>
      <w:bookmarkStart w:id="666" w:name="_Toc516549"/>
      <w:bookmarkStart w:id="667" w:name="_Toc12009305"/>
      <w:bookmarkStart w:id="668" w:name="_Toc12014093"/>
      <w:bookmarkStart w:id="669" w:name="_Toc12014164"/>
      <w:bookmarkStart w:id="670" w:name="_Toc12014397"/>
      <w:bookmarkStart w:id="671" w:name="_Toc12014427"/>
      <w:bookmarkStart w:id="672" w:name="_Toc12014547"/>
      <w:bookmarkStart w:id="673" w:name="_Toc12016564"/>
      <w:bookmarkStart w:id="674" w:name="_Toc12260726"/>
      <w:bookmarkStart w:id="675" w:name="_Toc12533843"/>
      <w:bookmarkStart w:id="676" w:name="_Toc12534356"/>
      <w:bookmarkStart w:id="677" w:name="_Toc12536781"/>
      <w:bookmarkStart w:id="678" w:name="_Toc12536812"/>
      <w:bookmarkStart w:id="679" w:name="_Toc12541869"/>
      <w:bookmarkStart w:id="680" w:name="_Toc12876758"/>
      <w:bookmarkStart w:id="681" w:name="_Toc12955098"/>
      <w:bookmarkStart w:id="682" w:name="_Toc12963516"/>
      <w:bookmarkStart w:id="683" w:name="_Toc12976992"/>
      <w:bookmarkStart w:id="684" w:name="_Toc13476491"/>
      <w:bookmarkStart w:id="685" w:name="_Toc13478535"/>
      <w:bookmarkStart w:id="686" w:name="_Toc13653947"/>
      <w:bookmarkStart w:id="687" w:name="_Toc13653991"/>
      <w:bookmarkStart w:id="688" w:name="_Toc20906558"/>
      <w:bookmarkStart w:id="689" w:name="_Toc20914567"/>
      <w:bookmarkStart w:id="690" w:name="_Toc20914765"/>
      <w:bookmarkStart w:id="691" w:name="_Toc20914884"/>
      <w:bookmarkStart w:id="692" w:name="_Toc20920381"/>
      <w:bookmarkStart w:id="693" w:name="_Toc21076177"/>
      <w:bookmarkStart w:id="694" w:name="_Toc21076206"/>
      <w:bookmarkStart w:id="695" w:name="_Toc21076416"/>
      <w:bookmarkStart w:id="696" w:name="_Toc21076653"/>
      <w:bookmarkStart w:id="697" w:name="_Toc21076690"/>
      <w:bookmarkStart w:id="698" w:name="_Toc21076855"/>
      <w:bookmarkStart w:id="699" w:name="_Toc21076885"/>
      <w:bookmarkStart w:id="700" w:name="_Toc31801850"/>
      <w:bookmarkStart w:id="701" w:name="_Toc32317798"/>
      <w:bookmarkStart w:id="702" w:name="_Toc32317982"/>
      <w:bookmarkStart w:id="703" w:name="_Toc32329858"/>
      <w:bookmarkStart w:id="704" w:name="_Toc32330017"/>
      <w:bookmarkStart w:id="705" w:name="_Toc32408375"/>
      <w:bookmarkStart w:id="706" w:name="_Toc32414961"/>
      <w:bookmarkStart w:id="707" w:name="_Toc33087743"/>
      <w:bookmarkStart w:id="708" w:name="_Toc33537252"/>
      <w:bookmarkStart w:id="709" w:name="_Toc33537283"/>
      <w:bookmarkStart w:id="710" w:name="_Toc33689419"/>
      <w:bookmarkStart w:id="711" w:name="_Toc33709892"/>
      <w:bookmarkStart w:id="712" w:name="_Toc51663664"/>
      <w:bookmarkStart w:id="713" w:name="_Toc51665222"/>
      <w:bookmarkStart w:id="714" w:name="_Toc51665740"/>
      <w:bookmarkStart w:id="715" w:name="_Toc51665847"/>
      <w:bookmarkStart w:id="716" w:name="_Toc51666042"/>
      <w:bookmarkStart w:id="717" w:name="_Toc51682370"/>
      <w:bookmarkStart w:id="718" w:name="_Toc51682511"/>
      <w:bookmarkStart w:id="719" w:name="_Toc52372758"/>
      <w:bookmarkStart w:id="720" w:name="_Toc52372885"/>
      <w:bookmarkStart w:id="721" w:name="_Toc53495386"/>
      <w:bookmarkStart w:id="722" w:name="_Toc56674446"/>
      <w:bookmarkStart w:id="723" w:name="_Toc56674479"/>
      <w:bookmarkStart w:id="724" w:name="_Toc63755902"/>
      <w:bookmarkStart w:id="725" w:name="_Toc63757096"/>
      <w:bookmarkStart w:id="726" w:name="_Toc65680647"/>
      <w:bookmarkStart w:id="727" w:name="_Toc76386762"/>
      <w:bookmarkStart w:id="728" w:name="_Toc76386811"/>
      <w:bookmarkStart w:id="729" w:name="_Toc76642314"/>
      <w:bookmarkStart w:id="730" w:name="_Toc76644146"/>
      <w:bookmarkStart w:id="731" w:name="_Toc84421989"/>
      <w:bookmarkStart w:id="732" w:name="_Toc84514366"/>
      <w:bookmarkStart w:id="733" w:name="_Toc84514858"/>
      <w:bookmarkStart w:id="734" w:name="_Toc84515091"/>
      <w:bookmarkStart w:id="735" w:name="_Toc84515316"/>
      <w:bookmarkStart w:id="736" w:name="_Toc84515349"/>
      <w:bookmarkStart w:id="737" w:name="_Toc86916466"/>
      <w:bookmarkStart w:id="738" w:name="_Toc115699026"/>
      <w:bookmarkStart w:id="739" w:name="_Toc11570105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2900099A" w14:textId="77777777" w:rsidR="00B260BA" w:rsidRPr="00D7447D" w:rsidRDefault="00B260BA" w:rsidP="000B3CCC">
      <w:pPr>
        <w:pStyle w:val="ListParagraph"/>
        <w:keepNext/>
        <w:numPr>
          <w:ilvl w:val="1"/>
          <w:numId w:val="17"/>
        </w:numPr>
        <w:spacing w:before="240" w:after="60" w:line="276" w:lineRule="auto"/>
        <w:contextualSpacing w:val="0"/>
        <w:outlineLvl w:val="1"/>
        <w:rPr>
          <w:rFonts w:ascii="Times New Roman" w:eastAsia="Times New Roman" w:hAnsi="Times New Roman" w:cs="Times New Roman"/>
          <w:b/>
          <w:bCs/>
          <w:i/>
          <w:iCs/>
          <w:noProof/>
          <w:vanish/>
          <w:sz w:val="24"/>
          <w:szCs w:val="24"/>
          <w:lang w:val="sq-AL" w:eastAsia="sq-AL"/>
        </w:rPr>
      </w:pPr>
      <w:bookmarkStart w:id="740" w:name="_Toc518557939"/>
      <w:bookmarkStart w:id="741" w:name="_Toc518558013"/>
      <w:bookmarkStart w:id="742" w:name="_Toc518558038"/>
      <w:bookmarkStart w:id="743" w:name="_Toc518558069"/>
      <w:bookmarkStart w:id="744" w:name="_Toc518558100"/>
      <w:bookmarkStart w:id="745" w:name="_Toc518558358"/>
      <w:bookmarkStart w:id="746" w:name="_Toc518558380"/>
      <w:bookmarkStart w:id="747" w:name="_Toc518558901"/>
      <w:bookmarkStart w:id="748" w:name="_Toc518559024"/>
      <w:bookmarkStart w:id="749" w:name="_Toc518559254"/>
      <w:bookmarkStart w:id="750" w:name="_Toc518562269"/>
      <w:bookmarkStart w:id="751" w:name="_Toc527191576"/>
      <w:bookmarkStart w:id="752" w:name="_Toc527191608"/>
      <w:bookmarkStart w:id="753" w:name="_Toc527191734"/>
      <w:bookmarkStart w:id="754" w:name="_Toc527192137"/>
      <w:bookmarkStart w:id="755" w:name="_Toc527192187"/>
      <w:bookmarkStart w:id="756" w:name="_Toc527530932"/>
      <w:bookmarkStart w:id="757" w:name="_Toc354469"/>
      <w:bookmarkStart w:id="758" w:name="_Toc516550"/>
      <w:bookmarkStart w:id="759" w:name="_Toc12009306"/>
      <w:bookmarkStart w:id="760" w:name="_Toc12014094"/>
      <w:bookmarkStart w:id="761" w:name="_Toc12014165"/>
      <w:bookmarkStart w:id="762" w:name="_Toc12014398"/>
      <w:bookmarkStart w:id="763" w:name="_Toc12014428"/>
      <w:bookmarkStart w:id="764" w:name="_Toc12014548"/>
      <w:bookmarkStart w:id="765" w:name="_Toc12016565"/>
      <w:bookmarkStart w:id="766" w:name="_Toc12260727"/>
      <w:bookmarkStart w:id="767" w:name="_Toc12533844"/>
      <w:bookmarkStart w:id="768" w:name="_Toc12534357"/>
      <w:bookmarkStart w:id="769" w:name="_Toc12536782"/>
      <w:bookmarkStart w:id="770" w:name="_Toc12536813"/>
      <w:bookmarkStart w:id="771" w:name="_Toc12541870"/>
      <w:bookmarkStart w:id="772" w:name="_Toc12876759"/>
      <w:bookmarkStart w:id="773" w:name="_Toc12955099"/>
      <w:bookmarkStart w:id="774" w:name="_Toc12963517"/>
      <w:bookmarkStart w:id="775" w:name="_Toc12976993"/>
      <w:bookmarkStart w:id="776" w:name="_Toc13476492"/>
      <w:bookmarkStart w:id="777" w:name="_Toc13478536"/>
      <w:bookmarkStart w:id="778" w:name="_Toc13653948"/>
      <w:bookmarkStart w:id="779" w:name="_Toc13653992"/>
      <w:bookmarkStart w:id="780" w:name="_Toc20906559"/>
      <w:bookmarkStart w:id="781" w:name="_Toc20914568"/>
      <w:bookmarkStart w:id="782" w:name="_Toc20914766"/>
      <w:bookmarkStart w:id="783" w:name="_Toc20914885"/>
      <w:bookmarkStart w:id="784" w:name="_Toc20920382"/>
      <w:bookmarkStart w:id="785" w:name="_Toc21076178"/>
      <w:bookmarkStart w:id="786" w:name="_Toc21076207"/>
      <w:bookmarkStart w:id="787" w:name="_Toc21076417"/>
      <w:bookmarkStart w:id="788" w:name="_Toc21076654"/>
      <w:bookmarkStart w:id="789" w:name="_Toc21076691"/>
      <w:bookmarkStart w:id="790" w:name="_Toc21076856"/>
      <w:bookmarkStart w:id="791" w:name="_Toc21076886"/>
      <w:bookmarkStart w:id="792" w:name="_Toc31801851"/>
      <w:bookmarkStart w:id="793" w:name="_Toc32317799"/>
      <w:bookmarkStart w:id="794" w:name="_Toc32317983"/>
      <w:bookmarkStart w:id="795" w:name="_Toc32329859"/>
      <w:bookmarkStart w:id="796" w:name="_Toc32330018"/>
      <w:bookmarkStart w:id="797" w:name="_Toc32408376"/>
      <w:bookmarkStart w:id="798" w:name="_Toc32414962"/>
      <w:bookmarkStart w:id="799" w:name="_Toc33087744"/>
      <w:bookmarkStart w:id="800" w:name="_Toc33537253"/>
      <w:bookmarkStart w:id="801" w:name="_Toc33537284"/>
      <w:bookmarkStart w:id="802" w:name="_Toc33689420"/>
      <w:bookmarkStart w:id="803" w:name="_Toc33709893"/>
      <w:bookmarkStart w:id="804" w:name="_Toc51663665"/>
      <w:bookmarkStart w:id="805" w:name="_Toc51665223"/>
      <w:bookmarkStart w:id="806" w:name="_Toc51665741"/>
      <w:bookmarkStart w:id="807" w:name="_Toc51665848"/>
      <w:bookmarkStart w:id="808" w:name="_Toc51666043"/>
      <w:bookmarkStart w:id="809" w:name="_Toc51682371"/>
      <w:bookmarkStart w:id="810" w:name="_Toc51682512"/>
      <w:bookmarkStart w:id="811" w:name="_Toc52372759"/>
      <w:bookmarkStart w:id="812" w:name="_Toc52372886"/>
      <w:bookmarkStart w:id="813" w:name="_Toc53495387"/>
      <w:bookmarkStart w:id="814" w:name="_Toc56674447"/>
      <w:bookmarkStart w:id="815" w:name="_Toc56674480"/>
      <w:bookmarkStart w:id="816" w:name="_Toc63755903"/>
      <w:bookmarkStart w:id="817" w:name="_Toc63757097"/>
      <w:bookmarkStart w:id="818" w:name="_Toc65680648"/>
      <w:bookmarkStart w:id="819" w:name="_Toc76386763"/>
      <w:bookmarkStart w:id="820" w:name="_Toc76386812"/>
      <w:bookmarkStart w:id="821" w:name="_Toc76642315"/>
      <w:bookmarkStart w:id="822" w:name="_Toc76644147"/>
      <w:bookmarkStart w:id="823" w:name="_Toc84421990"/>
      <w:bookmarkStart w:id="824" w:name="_Toc84514367"/>
      <w:bookmarkStart w:id="825" w:name="_Toc84514859"/>
      <w:bookmarkStart w:id="826" w:name="_Toc84515092"/>
      <w:bookmarkStart w:id="827" w:name="_Toc84515317"/>
      <w:bookmarkStart w:id="828" w:name="_Toc84515350"/>
      <w:bookmarkStart w:id="829" w:name="_Toc86916467"/>
      <w:bookmarkStart w:id="830" w:name="_Toc115699027"/>
      <w:bookmarkStart w:id="831" w:name="_Toc115701058"/>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017D1498" w14:textId="77777777" w:rsidR="00B260BA" w:rsidRPr="00D7447D" w:rsidRDefault="00B260BA" w:rsidP="000B3CCC">
      <w:pPr>
        <w:pStyle w:val="ListParagraph"/>
        <w:keepNext/>
        <w:numPr>
          <w:ilvl w:val="1"/>
          <w:numId w:val="17"/>
        </w:numPr>
        <w:spacing w:before="240" w:after="60" w:line="276" w:lineRule="auto"/>
        <w:contextualSpacing w:val="0"/>
        <w:outlineLvl w:val="1"/>
        <w:rPr>
          <w:rFonts w:ascii="Times New Roman" w:eastAsia="Times New Roman" w:hAnsi="Times New Roman" w:cs="Times New Roman"/>
          <w:b/>
          <w:bCs/>
          <w:i/>
          <w:iCs/>
          <w:noProof/>
          <w:vanish/>
          <w:sz w:val="24"/>
          <w:szCs w:val="24"/>
          <w:lang w:val="sq-AL" w:eastAsia="sq-AL"/>
        </w:rPr>
      </w:pPr>
      <w:bookmarkStart w:id="832" w:name="_Toc518557940"/>
      <w:bookmarkStart w:id="833" w:name="_Toc518558014"/>
      <w:bookmarkStart w:id="834" w:name="_Toc518558039"/>
      <w:bookmarkStart w:id="835" w:name="_Toc518558070"/>
      <w:bookmarkStart w:id="836" w:name="_Toc518558101"/>
      <w:bookmarkStart w:id="837" w:name="_Toc518558359"/>
      <w:bookmarkStart w:id="838" w:name="_Toc518558381"/>
      <w:bookmarkStart w:id="839" w:name="_Toc518558902"/>
      <w:bookmarkStart w:id="840" w:name="_Toc518559025"/>
      <w:bookmarkStart w:id="841" w:name="_Toc518559255"/>
      <w:bookmarkStart w:id="842" w:name="_Toc518562270"/>
      <w:bookmarkStart w:id="843" w:name="_Toc527191577"/>
      <w:bookmarkStart w:id="844" w:name="_Toc527191609"/>
      <w:bookmarkStart w:id="845" w:name="_Toc527191735"/>
      <w:bookmarkStart w:id="846" w:name="_Toc527192138"/>
      <w:bookmarkStart w:id="847" w:name="_Toc527192188"/>
      <w:bookmarkStart w:id="848" w:name="_Toc527530933"/>
      <w:bookmarkStart w:id="849" w:name="_Toc354470"/>
      <w:bookmarkStart w:id="850" w:name="_Toc516551"/>
      <w:bookmarkStart w:id="851" w:name="_Toc12009307"/>
      <w:bookmarkStart w:id="852" w:name="_Toc12014095"/>
      <w:bookmarkStart w:id="853" w:name="_Toc12014166"/>
      <w:bookmarkStart w:id="854" w:name="_Toc12014399"/>
      <w:bookmarkStart w:id="855" w:name="_Toc12014429"/>
      <w:bookmarkStart w:id="856" w:name="_Toc12014549"/>
      <w:bookmarkStart w:id="857" w:name="_Toc12016566"/>
      <w:bookmarkStart w:id="858" w:name="_Toc12260728"/>
      <w:bookmarkStart w:id="859" w:name="_Toc12533845"/>
      <w:bookmarkStart w:id="860" w:name="_Toc12534358"/>
      <w:bookmarkStart w:id="861" w:name="_Toc12536783"/>
      <w:bookmarkStart w:id="862" w:name="_Toc12536814"/>
      <w:bookmarkStart w:id="863" w:name="_Toc12541871"/>
      <w:bookmarkStart w:id="864" w:name="_Toc12876760"/>
      <w:bookmarkStart w:id="865" w:name="_Toc12955100"/>
      <w:bookmarkStart w:id="866" w:name="_Toc12963518"/>
      <w:bookmarkStart w:id="867" w:name="_Toc12976994"/>
      <w:bookmarkStart w:id="868" w:name="_Toc13476493"/>
      <w:bookmarkStart w:id="869" w:name="_Toc13478537"/>
      <w:bookmarkStart w:id="870" w:name="_Toc13653949"/>
      <w:bookmarkStart w:id="871" w:name="_Toc13653993"/>
      <w:bookmarkStart w:id="872" w:name="_Toc20906560"/>
      <w:bookmarkStart w:id="873" w:name="_Toc20914569"/>
      <w:bookmarkStart w:id="874" w:name="_Toc20914767"/>
      <w:bookmarkStart w:id="875" w:name="_Toc20914886"/>
      <w:bookmarkStart w:id="876" w:name="_Toc20920383"/>
      <w:bookmarkStart w:id="877" w:name="_Toc21076179"/>
      <w:bookmarkStart w:id="878" w:name="_Toc21076208"/>
      <w:bookmarkStart w:id="879" w:name="_Toc21076418"/>
      <w:bookmarkStart w:id="880" w:name="_Toc21076655"/>
      <w:bookmarkStart w:id="881" w:name="_Toc21076692"/>
      <w:bookmarkStart w:id="882" w:name="_Toc21076857"/>
      <w:bookmarkStart w:id="883" w:name="_Toc21076887"/>
      <w:bookmarkStart w:id="884" w:name="_Toc31801852"/>
      <w:bookmarkStart w:id="885" w:name="_Toc32317800"/>
      <w:bookmarkStart w:id="886" w:name="_Toc32317984"/>
      <w:bookmarkStart w:id="887" w:name="_Toc32329860"/>
      <w:bookmarkStart w:id="888" w:name="_Toc32330019"/>
      <w:bookmarkStart w:id="889" w:name="_Toc32408377"/>
      <w:bookmarkStart w:id="890" w:name="_Toc32414963"/>
      <w:bookmarkStart w:id="891" w:name="_Toc33087745"/>
      <w:bookmarkStart w:id="892" w:name="_Toc33537254"/>
      <w:bookmarkStart w:id="893" w:name="_Toc33537285"/>
      <w:bookmarkStart w:id="894" w:name="_Toc33689421"/>
      <w:bookmarkStart w:id="895" w:name="_Toc33709894"/>
      <w:bookmarkStart w:id="896" w:name="_Toc51663666"/>
      <w:bookmarkStart w:id="897" w:name="_Toc51665224"/>
      <w:bookmarkStart w:id="898" w:name="_Toc51665742"/>
      <w:bookmarkStart w:id="899" w:name="_Toc51665849"/>
      <w:bookmarkStart w:id="900" w:name="_Toc51666044"/>
      <w:bookmarkStart w:id="901" w:name="_Toc51682372"/>
      <w:bookmarkStart w:id="902" w:name="_Toc51682513"/>
      <w:bookmarkStart w:id="903" w:name="_Toc52372760"/>
      <w:bookmarkStart w:id="904" w:name="_Toc52372887"/>
      <w:bookmarkStart w:id="905" w:name="_Toc53495388"/>
      <w:bookmarkStart w:id="906" w:name="_Toc56674448"/>
      <w:bookmarkStart w:id="907" w:name="_Toc56674481"/>
      <w:bookmarkStart w:id="908" w:name="_Toc63755904"/>
      <w:bookmarkStart w:id="909" w:name="_Toc63757098"/>
      <w:bookmarkStart w:id="910" w:name="_Toc65680649"/>
      <w:bookmarkStart w:id="911" w:name="_Toc76386764"/>
      <w:bookmarkStart w:id="912" w:name="_Toc76386813"/>
      <w:bookmarkStart w:id="913" w:name="_Toc76642316"/>
      <w:bookmarkStart w:id="914" w:name="_Toc76644148"/>
      <w:bookmarkStart w:id="915" w:name="_Toc84421991"/>
      <w:bookmarkStart w:id="916" w:name="_Toc84514368"/>
      <w:bookmarkStart w:id="917" w:name="_Toc84514860"/>
      <w:bookmarkStart w:id="918" w:name="_Toc84515093"/>
      <w:bookmarkStart w:id="919" w:name="_Toc84515318"/>
      <w:bookmarkStart w:id="920" w:name="_Toc84515351"/>
      <w:bookmarkStart w:id="921" w:name="_Toc86916468"/>
      <w:bookmarkStart w:id="922" w:name="_Toc115699028"/>
      <w:bookmarkStart w:id="923" w:name="_Toc115701059"/>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368BAED0" w14:textId="77777777" w:rsidR="00B260BA" w:rsidRPr="00D7447D" w:rsidRDefault="00B260BA" w:rsidP="000B3CCC">
      <w:pPr>
        <w:pStyle w:val="ListParagraph"/>
        <w:keepNext/>
        <w:numPr>
          <w:ilvl w:val="1"/>
          <w:numId w:val="17"/>
        </w:numPr>
        <w:spacing w:before="240" w:after="60" w:line="276" w:lineRule="auto"/>
        <w:contextualSpacing w:val="0"/>
        <w:outlineLvl w:val="1"/>
        <w:rPr>
          <w:rFonts w:ascii="Times New Roman" w:eastAsia="Times New Roman" w:hAnsi="Times New Roman" w:cs="Times New Roman"/>
          <w:b/>
          <w:bCs/>
          <w:i/>
          <w:iCs/>
          <w:noProof/>
          <w:vanish/>
          <w:sz w:val="24"/>
          <w:szCs w:val="24"/>
          <w:lang w:val="sq-AL" w:eastAsia="sq-AL"/>
        </w:rPr>
      </w:pPr>
      <w:bookmarkStart w:id="924" w:name="_Toc518557941"/>
      <w:bookmarkStart w:id="925" w:name="_Toc518558015"/>
      <w:bookmarkStart w:id="926" w:name="_Toc518558040"/>
      <w:bookmarkStart w:id="927" w:name="_Toc518558071"/>
      <w:bookmarkStart w:id="928" w:name="_Toc518558102"/>
      <w:bookmarkStart w:id="929" w:name="_Toc518558360"/>
      <w:bookmarkStart w:id="930" w:name="_Toc518558382"/>
      <w:bookmarkStart w:id="931" w:name="_Toc518558903"/>
      <w:bookmarkStart w:id="932" w:name="_Toc518559026"/>
      <w:bookmarkStart w:id="933" w:name="_Toc518559256"/>
      <w:bookmarkStart w:id="934" w:name="_Toc518562271"/>
      <w:bookmarkStart w:id="935" w:name="_Toc527191578"/>
      <w:bookmarkStart w:id="936" w:name="_Toc527191610"/>
      <w:bookmarkStart w:id="937" w:name="_Toc527191736"/>
      <w:bookmarkStart w:id="938" w:name="_Toc527192139"/>
      <w:bookmarkStart w:id="939" w:name="_Toc527192189"/>
      <w:bookmarkStart w:id="940" w:name="_Toc527530934"/>
      <w:bookmarkStart w:id="941" w:name="_Toc354471"/>
      <w:bookmarkStart w:id="942" w:name="_Toc516552"/>
      <w:bookmarkStart w:id="943" w:name="_Toc12009308"/>
      <w:bookmarkStart w:id="944" w:name="_Toc12014096"/>
      <w:bookmarkStart w:id="945" w:name="_Toc12014167"/>
      <w:bookmarkStart w:id="946" w:name="_Toc12014400"/>
      <w:bookmarkStart w:id="947" w:name="_Toc12014430"/>
      <w:bookmarkStart w:id="948" w:name="_Toc12014550"/>
      <w:bookmarkStart w:id="949" w:name="_Toc12016567"/>
      <w:bookmarkStart w:id="950" w:name="_Toc12260729"/>
      <w:bookmarkStart w:id="951" w:name="_Toc12533846"/>
      <w:bookmarkStart w:id="952" w:name="_Toc12534359"/>
      <w:bookmarkStart w:id="953" w:name="_Toc12536784"/>
      <w:bookmarkStart w:id="954" w:name="_Toc12536815"/>
      <w:bookmarkStart w:id="955" w:name="_Toc12541872"/>
      <w:bookmarkStart w:id="956" w:name="_Toc12876761"/>
      <w:bookmarkStart w:id="957" w:name="_Toc12955101"/>
      <w:bookmarkStart w:id="958" w:name="_Toc12963519"/>
      <w:bookmarkStart w:id="959" w:name="_Toc12976995"/>
      <w:bookmarkStart w:id="960" w:name="_Toc13476494"/>
      <w:bookmarkStart w:id="961" w:name="_Toc13478538"/>
      <w:bookmarkStart w:id="962" w:name="_Toc13653950"/>
      <w:bookmarkStart w:id="963" w:name="_Toc13653994"/>
      <w:bookmarkStart w:id="964" w:name="_Toc20906561"/>
      <w:bookmarkStart w:id="965" w:name="_Toc20914570"/>
      <w:bookmarkStart w:id="966" w:name="_Toc20914768"/>
      <w:bookmarkStart w:id="967" w:name="_Toc20914887"/>
      <w:bookmarkStart w:id="968" w:name="_Toc20920384"/>
      <w:bookmarkStart w:id="969" w:name="_Toc21076180"/>
      <w:bookmarkStart w:id="970" w:name="_Toc21076209"/>
      <w:bookmarkStart w:id="971" w:name="_Toc21076419"/>
      <w:bookmarkStart w:id="972" w:name="_Toc21076656"/>
      <w:bookmarkStart w:id="973" w:name="_Toc21076693"/>
      <w:bookmarkStart w:id="974" w:name="_Toc21076858"/>
      <w:bookmarkStart w:id="975" w:name="_Toc21076888"/>
      <w:bookmarkStart w:id="976" w:name="_Toc31801853"/>
      <w:bookmarkStart w:id="977" w:name="_Toc32317801"/>
      <w:bookmarkStart w:id="978" w:name="_Toc32317985"/>
      <w:bookmarkStart w:id="979" w:name="_Toc32329861"/>
      <w:bookmarkStart w:id="980" w:name="_Toc32330020"/>
      <w:bookmarkStart w:id="981" w:name="_Toc32408378"/>
      <w:bookmarkStart w:id="982" w:name="_Toc32414964"/>
      <w:bookmarkStart w:id="983" w:name="_Toc33087746"/>
      <w:bookmarkStart w:id="984" w:name="_Toc33537255"/>
      <w:bookmarkStart w:id="985" w:name="_Toc33537286"/>
      <w:bookmarkStart w:id="986" w:name="_Toc33689422"/>
      <w:bookmarkStart w:id="987" w:name="_Toc33709895"/>
      <w:bookmarkStart w:id="988" w:name="_Toc51663667"/>
      <w:bookmarkStart w:id="989" w:name="_Toc51665225"/>
      <w:bookmarkStart w:id="990" w:name="_Toc51665743"/>
      <w:bookmarkStart w:id="991" w:name="_Toc51665850"/>
      <w:bookmarkStart w:id="992" w:name="_Toc51666045"/>
      <w:bookmarkStart w:id="993" w:name="_Toc51682373"/>
      <w:bookmarkStart w:id="994" w:name="_Toc51682514"/>
      <w:bookmarkStart w:id="995" w:name="_Toc52372761"/>
      <w:bookmarkStart w:id="996" w:name="_Toc52372888"/>
      <w:bookmarkStart w:id="997" w:name="_Toc53495389"/>
      <w:bookmarkStart w:id="998" w:name="_Toc56674449"/>
      <w:bookmarkStart w:id="999" w:name="_Toc56674482"/>
      <w:bookmarkStart w:id="1000" w:name="_Toc63755905"/>
      <w:bookmarkStart w:id="1001" w:name="_Toc63757099"/>
      <w:bookmarkStart w:id="1002" w:name="_Toc65680650"/>
      <w:bookmarkStart w:id="1003" w:name="_Toc76386765"/>
      <w:bookmarkStart w:id="1004" w:name="_Toc76386814"/>
      <w:bookmarkStart w:id="1005" w:name="_Toc76642317"/>
      <w:bookmarkStart w:id="1006" w:name="_Toc76644149"/>
      <w:bookmarkStart w:id="1007" w:name="_Toc84421992"/>
      <w:bookmarkStart w:id="1008" w:name="_Toc84514369"/>
      <w:bookmarkStart w:id="1009" w:name="_Toc84514861"/>
      <w:bookmarkStart w:id="1010" w:name="_Toc84515094"/>
      <w:bookmarkStart w:id="1011" w:name="_Toc84515319"/>
      <w:bookmarkStart w:id="1012" w:name="_Toc84515352"/>
      <w:bookmarkStart w:id="1013" w:name="_Toc86916469"/>
      <w:bookmarkStart w:id="1014" w:name="_Toc115699029"/>
      <w:bookmarkStart w:id="1015" w:name="_Toc115701060"/>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27BE1FC2" w14:textId="77777777" w:rsidR="00521ADB" w:rsidRPr="00D7447D" w:rsidRDefault="00614C0A" w:rsidP="000B3CCC">
      <w:pPr>
        <w:pStyle w:val="Heading2"/>
        <w:numPr>
          <w:ilvl w:val="1"/>
          <w:numId w:val="22"/>
        </w:numPr>
        <w:spacing w:line="276" w:lineRule="auto"/>
        <w:rPr>
          <w:rFonts w:ascii="Times New Roman" w:eastAsia="Calibri" w:hAnsi="Times New Roman" w:cs="Times New Roman"/>
          <w:i w:val="0"/>
          <w:sz w:val="24"/>
          <w:szCs w:val="24"/>
          <w:lang w:val="sq-AL"/>
        </w:rPr>
      </w:pPr>
      <w:bookmarkStart w:id="1016" w:name="_Toc13653995"/>
      <w:bookmarkStart w:id="1017" w:name="_Toc115701061"/>
      <w:r w:rsidRPr="00D7447D">
        <w:rPr>
          <w:rFonts w:ascii="Times New Roman" w:eastAsia="Calibri" w:hAnsi="Times New Roman" w:cs="Times New Roman"/>
          <w:i w:val="0"/>
          <w:sz w:val="24"/>
          <w:szCs w:val="24"/>
          <w:lang w:val="sq-AL"/>
        </w:rPr>
        <w:t>MINISTRIA PËR EVROPËN DHE PUNËT E JASHTME</w:t>
      </w:r>
      <w:bookmarkEnd w:id="1016"/>
      <w:bookmarkEnd w:id="1017"/>
      <w:r w:rsidRPr="00D7447D">
        <w:rPr>
          <w:rFonts w:ascii="Times New Roman" w:eastAsia="Calibri" w:hAnsi="Times New Roman" w:cs="Times New Roman"/>
          <w:i w:val="0"/>
          <w:sz w:val="24"/>
          <w:szCs w:val="24"/>
          <w:lang w:val="sq-AL"/>
        </w:rPr>
        <w:t xml:space="preserve"> </w:t>
      </w:r>
    </w:p>
    <w:p w14:paraId="100F3DCC" w14:textId="77777777" w:rsidR="006038DB" w:rsidRPr="00D7447D" w:rsidRDefault="006038DB" w:rsidP="000B3CCC">
      <w:pPr>
        <w:spacing w:after="200" w:line="276" w:lineRule="auto"/>
        <w:jc w:val="both"/>
        <w:rPr>
          <w:rFonts w:ascii="Times New Roman" w:eastAsia="Calibri" w:hAnsi="Times New Roman" w:cs="Times New Roman"/>
          <w:sz w:val="24"/>
          <w:szCs w:val="24"/>
          <w:lang w:val="sq-AL"/>
        </w:rPr>
      </w:pPr>
      <w:bookmarkStart w:id="1018" w:name="_Toc391045446"/>
      <w:bookmarkStart w:id="1019" w:name="_Toc13653996"/>
      <w:r w:rsidRPr="00D7447D">
        <w:rPr>
          <w:rFonts w:ascii="Times New Roman" w:eastAsia="Calibri" w:hAnsi="Times New Roman" w:cs="Times New Roman"/>
          <w:sz w:val="24"/>
          <w:szCs w:val="24"/>
          <w:lang w:val="sq-AL"/>
        </w:rPr>
        <w:t>Ministria për Evropën dhe Punët e Jashtme formulon, përpunon dhe është zbatuesi kryesor i politikës së jashtme të shtetit shqiptar, në zbatim të programit të qeverisë. Ajo drejton dhe bashkërendon procesin e anëtarësimit të Republikës së Shqipërisë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14:paraId="33C28284" w14:textId="77777777" w:rsidR="006038DB" w:rsidRPr="00D7447D" w:rsidRDefault="006038DB"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Shpenzimet për Ministrinë për Evropën dhe Punët e Jashtme në vlerë nominale, në përqindje ndaj PBB dhe në përqindje ndaj shpenzimeve të përgjithshme të qeverisë për periudhën 2023-2025, paraqiten në tabelën e mëposhtme:</w:t>
      </w:r>
    </w:p>
    <w:p w14:paraId="4815DFC3" w14:textId="77777777" w:rsidR="006038DB" w:rsidRPr="00D7447D" w:rsidRDefault="006038DB"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Tabela 23:</w:t>
      </w:r>
      <w:r w:rsidRPr="00D7447D">
        <w:rPr>
          <w:rFonts w:ascii="Times New Roman" w:eastAsia="Calibri" w:hAnsi="Times New Roman" w:cs="Times New Roman"/>
          <w:sz w:val="24"/>
          <w:szCs w:val="24"/>
          <w:lang w:val="sq-AL"/>
        </w:rPr>
        <w:t xml:space="preserve"> </w:t>
      </w:r>
      <w:r w:rsidRPr="00D7447D">
        <w:rPr>
          <w:rFonts w:ascii="Times New Roman" w:eastAsia="Times New Roman" w:hAnsi="Times New Roman" w:cs="Times New Roman"/>
          <w:sz w:val="24"/>
          <w:szCs w:val="24"/>
          <w:lang w:val="sq-AL"/>
        </w:rPr>
        <w:t>Shpenzimet për Ministrinë për Evropën dhe Punët e Jashtme për vitet 2023-2025</w:t>
      </w:r>
    </w:p>
    <w:p w14:paraId="0A362591" w14:textId="77777777" w:rsidR="006038DB" w:rsidRPr="00D7447D" w:rsidRDefault="006038DB" w:rsidP="000B3CCC">
      <w:pPr>
        <w:spacing w:line="276" w:lineRule="auto"/>
        <w:jc w:val="center"/>
        <w:rPr>
          <w:rFonts w:ascii="Times New Roman" w:eastAsia="MS Gothic" w:hAnsi="Times New Roman" w:cs="Times New Roman"/>
          <w:b/>
          <w:sz w:val="24"/>
          <w:szCs w:val="24"/>
          <w:lang w:val="sq-AL"/>
        </w:rPr>
      </w:pPr>
      <w:r w:rsidRPr="00D7447D">
        <w:rPr>
          <w:rFonts w:ascii="Times New Roman" w:hAnsi="Times New Roman" w:cs="Times New Roman"/>
          <w:noProof/>
          <w:sz w:val="24"/>
          <w:szCs w:val="24"/>
        </w:rPr>
        <w:drawing>
          <wp:inline distT="0" distB="0" distL="0" distR="0" wp14:anchorId="2B60EEA6" wp14:editId="40B012EC">
            <wp:extent cx="5719445" cy="1664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9445" cy="1664970"/>
                    </a:xfrm>
                    <a:prstGeom prst="rect">
                      <a:avLst/>
                    </a:prstGeom>
                    <a:noFill/>
                    <a:ln>
                      <a:noFill/>
                    </a:ln>
                  </pic:spPr>
                </pic:pic>
              </a:graphicData>
            </a:graphic>
          </wp:inline>
        </w:drawing>
      </w:r>
    </w:p>
    <w:p w14:paraId="5A4BEA77" w14:textId="77777777" w:rsidR="006038DB" w:rsidRPr="00D7447D" w:rsidRDefault="006038DB" w:rsidP="000B3CCC">
      <w:pPr>
        <w:spacing w:line="276" w:lineRule="auto"/>
        <w:ind w:firstLine="720"/>
        <w:rPr>
          <w:rFonts w:ascii="Times New Roman" w:eastAsia="MS Gothic" w:hAnsi="Times New Roman" w:cs="Times New Roman"/>
          <w:b/>
          <w:sz w:val="24"/>
          <w:szCs w:val="24"/>
          <w:lang w:val="sq-AL"/>
        </w:rPr>
      </w:pPr>
      <w:r w:rsidRPr="00D7447D">
        <w:rPr>
          <w:rFonts w:ascii="Times New Roman" w:eastAsia="MS Gothic" w:hAnsi="Times New Roman" w:cs="Times New Roman"/>
          <w:b/>
          <w:sz w:val="24"/>
          <w:szCs w:val="24"/>
          <w:lang w:val="sq-AL"/>
        </w:rPr>
        <w:t>3.9.1  Prioritetet për periudhën 2023-2025</w:t>
      </w:r>
    </w:p>
    <w:p w14:paraId="2D6EB950" w14:textId="77777777" w:rsidR="006038DB" w:rsidRPr="00D7447D" w:rsidRDefault="006038DB" w:rsidP="000B3CCC">
      <w:p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Orientimi i politikës së jashtme për tre vitet e PBA-së 2023-2025, do të jetë drejt zgjerimit, intensifikimit, diversifikimit, thellimit dhe pasurimit të marrëdhënieve dypalëshe me vendet fqinje, partnerët strategjik në rajon, Evropën dhe vendet e tjera të botës.</w:t>
      </w:r>
    </w:p>
    <w:p w14:paraId="0BC802FD" w14:textId="77777777" w:rsidR="006038DB" w:rsidRPr="00D7447D" w:rsidRDefault="006038DB" w:rsidP="000B3CCC">
      <w:pPr>
        <w:spacing w:line="276" w:lineRule="auto"/>
        <w:jc w:val="both"/>
        <w:rPr>
          <w:rFonts w:ascii="Times New Roman" w:eastAsia="SimSun" w:hAnsi="Times New Roman" w:cs="Times New Roman"/>
          <w:b/>
          <w:sz w:val="24"/>
          <w:szCs w:val="24"/>
          <w:lang w:val="sq-AL"/>
        </w:rPr>
      </w:pPr>
    </w:p>
    <w:p w14:paraId="13275DFC" w14:textId="77777777" w:rsidR="006038DB" w:rsidRPr="00D7447D" w:rsidRDefault="006038DB" w:rsidP="000B3CCC">
      <w:pPr>
        <w:spacing w:line="276" w:lineRule="auto"/>
        <w:jc w:val="both"/>
        <w:rPr>
          <w:rFonts w:ascii="Times New Roman" w:eastAsia="Calibri" w:hAnsi="Times New Roman" w:cs="Times New Roman"/>
          <w:sz w:val="24"/>
          <w:szCs w:val="24"/>
          <w:lang w:val="sq-AL"/>
        </w:rPr>
      </w:pPr>
      <w:r w:rsidRPr="00D7447D">
        <w:rPr>
          <w:rFonts w:ascii="Times New Roman" w:eastAsia="SimSun" w:hAnsi="Times New Roman" w:cs="Times New Roman"/>
          <w:b/>
          <w:sz w:val="24"/>
          <w:szCs w:val="24"/>
          <w:lang w:val="sq-AL"/>
        </w:rPr>
        <w:t>Tabela 24</w:t>
      </w:r>
      <w:r w:rsidRPr="00D7447D">
        <w:rPr>
          <w:rFonts w:ascii="Times New Roman" w:eastAsia="SimSun" w:hAnsi="Times New Roman" w:cs="Times New Roman"/>
          <w:sz w:val="24"/>
          <w:szCs w:val="24"/>
          <w:lang w:val="sq-AL"/>
        </w:rPr>
        <w:t>: Përmbledhje e Kërkesave Buxhetore për vitet 2023-2025 për Ministrinë për Evropën dhe Punët e Jashtme</w:t>
      </w:r>
    </w:p>
    <w:p w14:paraId="684D3741" w14:textId="77777777" w:rsidR="006038DB" w:rsidRPr="00D7447D" w:rsidRDefault="006038DB" w:rsidP="000B3CCC">
      <w:pPr>
        <w:spacing w:line="276" w:lineRule="auto"/>
        <w:jc w:val="center"/>
        <w:rPr>
          <w:rFonts w:ascii="Times New Roman" w:eastAsia="Calibri" w:hAnsi="Times New Roman" w:cs="Times New Roman"/>
          <w:sz w:val="24"/>
          <w:szCs w:val="24"/>
          <w:lang w:val="sq-AL"/>
        </w:rPr>
      </w:pPr>
      <w:r w:rsidRPr="00D7447D">
        <w:rPr>
          <w:rFonts w:ascii="Times New Roman" w:hAnsi="Times New Roman" w:cs="Times New Roman"/>
          <w:noProof/>
          <w:sz w:val="24"/>
          <w:szCs w:val="24"/>
        </w:rPr>
        <w:lastRenderedPageBreak/>
        <w:drawing>
          <wp:inline distT="0" distB="0" distL="0" distR="0" wp14:anchorId="3DD2BF8D" wp14:editId="590B5991">
            <wp:extent cx="5719445" cy="4373880"/>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9445" cy="4373880"/>
                    </a:xfrm>
                    <a:prstGeom prst="rect">
                      <a:avLst/>
                    </a:prstGeom>
                    <a:noFill/>
                    <a:ln>
                      <a:noFill/>
                    </a:ln>
                  </pic:spPr>
                </pic:pic>
              </a:graphicData>
            </a:graphic>
          </wp:inline>
        </w:drawing>
      </w:r>
    </w:p>
    <w:p w14:paraId="754DA6FB" w14:textId="77777777" w:rsidR="006038DB" w:rsidRPr="00D7447D" w:rsidRDefault="006038DB" w:rsidP="000B3CCC">
      <w:pPr>
        <w:spacing w:line="276" w:lineRule="auto"/>
        <w:rPr>
          <w:rFonts w:ascii="Times New Roman" w:eastAsia="Calibri" w:hAnsi="Times New Roman" w:cs="Times New Roman"/>
          <w:sz w:val="24"/>
          <w:szCs w:val="24"/>
          <w:lang w:val="sq-AL"/>
        </w:rPr>
      </w:pPr>
    </w:p>
    <w:p w14:paraId="3F0BDA61" w14:textId="77777777" w:rsidR="006038DB" w:rsidRPr="00D7447D" w:rsidRDefault="006038DB" w:rsidP="000B3CCC">
      <w:pPr>
        <w:keepNext/>
        <w:keepLines/>
        <w:numPr>
          <w:ilvl w:val="2"/>
          <w:numId w:val="17"/>
        </w:numPr>
        <w:spacing w:before="40" w:after="0" w:line="276" w:lineRule="auto"/>
        <w:ind w:left="709" w:hanging="567"/>
        <w:outlineLvl w:val="2"/>
        <w:rPr>
          <w:rFonts w:ascii="Times New Roman" w:eastAsia="MS Gothic" w:hAnsi="Times New Roman" w:cs="Times New Roman"/>
          <w:b/>
          <w:sz w:val="24"/>
          <w:szCs w:val="24"/>
          <w:lang w:val="sq-AL"/>
        </w:rPr>
      </w:pPr>
      <w:r w:rsidRPr="00D7447D">
        <w:rPr>
          <w:rFonts w:ascii="Times New Roman" w:eastAsia="MS Gothic" w:hAnsi="Times New Roman" w:cs="Times New Roman"/>
          <w:b/>
          <w:sz w:val="24"/>
          <w:szCs w:val="24"/>
          <w:lang w:val="sq-AL"/>
        </w:rPr>
        <w:t>Përmbledhje e Treguesve Kyç të Performancës</w:t>
      </w:r>
    </w:p>
    <w:p w14:paraId="44C583FE" w14:textId="77777777" w:rsidR="006038DB" w:rsidRPr="00D7447D" w:rsidRDefault="006038DB" w:rsidP="000B3CCC">
      <w:pPr>
        <w:spacing w:line="276" w:lineRule="auto"/>
        <w:jc w:val="both"/>
        <w:rPr>
          <w:rFonts w:ascii="Times New Roman" w:eastAsia="Calibri" w:hAnsi="Times New Roman" w:cs="Times New Roman"/>
          <w:sz w:val="24"/>
          <w:szCs w:val="24"/>
          <w:lang w:val="sq-AL"/>
        </w:rPr>
      </w:pPr>
    </w:p>
    <w:p w14:paraId="68658F6C" w14:textId="77777777" w:rsidR="006038DB" w:rsidRPr="00D7447D" w:rsidRDefault="006038DB" w:rsidP="000B3CCC">
      <w:pPr>
        <w:spacing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Objektivat kryesorë që synohen të arrihen nga aktiviteti i Ministrisë për Evropën dhe Punët e Jashtme për vitin 2023-2025, shoqëruar me rezultatet e synuar renditen më poshtë:</w:t>
      </w:r>
    </w:p>
    <w:p w14:paraId="1B3C0E82"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Avancimi i negociatave për anëtarësmin në Bashkimin Europian;</w:t>
      </w:r>
    </w:p>
    <w:p w14:paraId="6A0556C2"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Avancimi në zbatimin e Marrëveshjes së Stabilizim Asocimit BE-Shqipëri, me fokus në dialogun politik dhe çështjet rajonale, iniciativat dhe bashkëpunimin rajonal;</w:t>
      </w:r>
    </w:p>
    <w:p w14:paraId="69DE3FE5"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Angazhimi i shtuar në kuadrin e linjëzimit dhe politikën e jashtme dhe të sigurimit të BE-së, përfshirë ecurinë pozitive të kapitullit 31 “Politika e Jashtme e Sigurisë dhe Mbrojtjes”;</w:t>
      </w:r>
    </w:p>
    <w:p w14:paraId="0E4611DB"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Vijimi i komunikimit intensiv me vendet anëtare të KS për të siguruar bashkëpunimin sa më të afërt dhe efektiv gjatë periudhës së shërbimit si anëtarë jo i përhershëm i Këshillit të Sigurimit të OKB-së;</w:t>
      </w:r>
    </w:p>
    <w:p w14:paraId="3127B3FC"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Konsolidim i marrëdhënieve me Kosovën, përmes G2G, zbatimit të marrëveshjeve të përbashkëta, angazhimit për njohjen ndërkombëtare të shtetit të Kosovës, për pjesëmarrjen dhe anëtarësimin e saj në organizatat rajonale dhe ndërkombëtare, etj;</w:t>
      </w:r>
    </w:p>
    <w:p w14:paraId="5B309194"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lastRenderedPageBreak/>
        <w:t>Zbatimi i Strategjisë Kombëtare të Diasporës Shqiptare 2021-2025, mbështetja dhe organizimi i diasporës duke synuar rritjen e besimit të saj tek mekanizmat e zbatimit, regjistrimin e diasporën dhe rrjetëzimin e grupeve të profesionistëve në diasporë;</w:t>
      </w:r>
    </w:p>
    <w:p w14:paraId="714DBC18"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Bashkëpunimi me partnerët ndërkombëtarë për të gjetur mundësi dhe zbatuar projekte që i sjellin shqiptarët e diasporës gjithmonë e më afër vendit të tyre. Marrëveshje me vende të ndryshme që synojnë të ndihmojnë dhe lehtësojnë jetën e përditshme të diasporës (marrëveshje për njohjen e lejeve të drejtimit dhe ato për sigurimet shoqërore);</w:t>
      </w:r>
    </w:p>
    <w:p w14:paraId="4E35E30C" w14:textId="77777777" w:rsidR="006038DB" w:rsidRPr="00D7447D" w:rsidRDefault="006038DB" w:rsidP="000B3CCC">
      <w:pPr>
        <w:numPr>
          <w:ilvl w:val="0"/>
          <w:numId w:val="34"/>
        </w:numPr>
        <w:spacing w:after="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Modernizimi i shërbimeve konsullore në përmbushje të detyrave që rrjedhin nga Strategjia Kombëtare për Diasporën, duke synuar përafrimin e diasporës me vendin, identifikimin e nevojave dhe problemeve të tyre dhe ndërmjetësimi për zgjidhjen e tyre në vendin pritës. </w:t>
      </w:r>
    </w:p>
    <w:p w14:paraId="045426CB" w14:textId="77777777" w:rsidR="006038DB" w:rsidRPr="00D7447D" w:rsidRDefault="006038DB" w:rsidP="000B3CCC">
      <w:pPr>
        <w:spacing w:line="276" w:lineRule="auto"/>
        <w:ind w:left="720"/>
        <w:jc w:val="both"/>
        <w:rPr>
          <w:rFonts w:ascii="Times New Roman" w:hAnsi="Times New Roman" w:cs="Times New Roman"/>
          <w:sz w:val="24"/>
          <w:szCs w:val="24"/>
          <w:lang w:val="sq-AL" w:eastAsia="sq-AL"/>
        </w:rPr>
      </w:pPr>
    </w:p>
    <w:p w14:paraId="3DE7DA60" w14:textId="1E2ACE8B" w:rsidR="00521ADB" w:rsidRPr="00D7447D" w:rsidRDefault="00614C0A" w:rsidP="000B3CCC">
      <w:pPr>
        <w:pStyle w:val="Heading2"/>
        <w:numPr>
          <w:ilvl w:val="1"/>
          <w:numId w:val="22"/>
        </w:numPr>
        <w:spacing w:line="276" w:lineRule="auto"/>
        <w:rPr>
          <w:rFonts w:ascii="Times New Roman" w:eastAsia="Calibri" w:hAnsi="Times New Roman" w:cs="Times New Roman"/>
          <w:i w:val="0"/>
          <w:sz w:val="24"/>
          <w:szCs w:val="24"/>
          <w:lang w:val="sq-AL"/>
        </w:rPr>
      </w:pPr>
      <w:bookmarkStart w:id="1020" w:name="_Toc115701062"/>
      <w:r w:rsidRPr="00D7447D">
        <w:rPr>
          <w:rFonts w:ascii="Times New Roman" w:eastAsia="Calibri" w:hAnsi="Times New Roman" w:cs="Times New Roman"/>
          <w:i w:val="0"/>
          <w:sz w:val="24"/>
          <w:szCs w:val="24"/>
          <w:lang w:val="sq-AL"/>
        </w:rPr>
        <w:t>MINISTRIA E KULTURËS</w:t>
      </w:r>
      <w:bookmarkEnd w:id="1018"/>
      <w:bookmarkEnd w:id="1019"/>
      <w:bookmarkEnd w:id="1020"/>
    </w:p>
    <w:p w14:paraId="6BD69C45" w14:textId="77777777" w:rsidR="007157CD" w:rsidRPr="00D7447D" w:rsidRDefault="007157CD"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së investimeve, publike dhe private, mbrojtjes së trashëgimisë kulturore, dhe mbështetjes për artin. </w:t>
      </w:r>
    </w:p>
    <w:p w14:paraId="2335FF4D" w14:textId="77777777" w:rsidR="007157CD" w:rsidRPr="00D7447D" w:rsidRDefault="007157CD"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sz w:val="24"/>
          <w:szCs w:val="24"/>
          <w:lang w:val="sq-AL"/>
        </w:rPr>
        <w:t xml:space="preserve">Për periudhën 2023-2025, shpenzimet buxhetore të Ministrisë së Kulturës për të përmbushur objektivat e synuar paraqiten sipas tabelës së mëposhtme. </w:t>
      </w:r>
    </w:p>
    <w:p w14:paraId="698FE6BD" w14:textId="77777777" w:rsidR="007157CD" w:rsidRPr="00D7447D" w:rsidRDefault="007157CD" w:rsidP="000B3CCC">
      <w:pPr>
        <w:spacing w:after="200" w:line="276" w:lineRule="auto"/>
        <w:jc w:val="both"/>
        <w:rPr>
          <w:rFonts w:ascii="Times New Roman" w:eastAsia="Calibri" w:hAnsi="Times New Roman" w:cs="Times New Roman"/>
          <w:sz w:val="24"/>
          <w:szCs w:val="24"/>
          <w:lang w:val="sq-AL"/>
        </w:rPr>
      </w:pPr>
      <w:r w:rsidRPr="00D7447D">
        <w:rPr>
          <w:rFonts w:ascii="Times New Roman" w:eastAsia="Calibri" w:hAnsi="Times New Roman" w:cs="Times New Roman"/>
          <w:b/>
          <w:sz w:val="24"/>
          <w:szCs w:val="24"/>
          <w:lang w:val="sq-AL"/>
        </w:rPr>
        <w:t>Tabela 3</w:t>
      </w:r>
      <w:r w:rsidRPr="00D7447D">
        <w:rPr>
          <w:rFonts w:ascii="Times New Roman" w:eastAsia="Calibri" w:hAnsi="Times New Roman" w:cs="Times New Roman"/>
          <w:sz w:val="24"/>
          <w:szCs w:val="24"/>
          <w:lang w:val="sq-AL"/>
        </w:rPr>
        <w:t>: Shpenzimet për Ministrinë e Kulturës për vitet 2023-2025</w:t>
      </w:r>
    </w:p>
    <w:p w14:paraId="5093E296" w14:textId="77777777" w:rsidR="007157CD" w:rsidRPr="00D7447D" w:rsidRDefault="007157CD" w:rsidP="000B3CCC">
      <w:pPr>
        <w:spacing w:after="200" w:line="276" w:lineRule="auto"/>
        <w:jc w:val="center"/>
        <w:rPr>
          <w:rFonts w:ascii="Times New Roman" w:eastAsia="Calibri" w:hAnsi="Times New Roman" w:cs="Times New Roman"/>
          <w:b/>
          <w:sz w:val="24"/>
          <w:szCs w:val="24"/>
          <w:lang w:val="sq-AL"/>
        </w:rPr>
      </w:pPr>
      <w:r w:rsidRPr="00D7447D">
        <w:rPr>
          <w:rFonts w:ascii="Times New Roman" w:hAnsi="Times New Roman" w:cs="Times New Roman"/>
          <w:noProof/>
          <w:sz w:val="24"/>
          <w:szCs w:val="24"/>
        </w:rPr>
        <w:drawing>
          <wp:inline distT="0" distB="0" distL="0" distR="0" wp14:anchorId="54F6C951" wp14:editId="1A961094">
            <wp:extent cx="5905500" cy="1647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5500" cy="1647825"/>
                    </a:xfrm>
                    <a:prstGeom prst="rect">
                      <a:avLst/>
                    </a:prstGeom>
                    <a:noFill/>
                    <a:ln>
                      <a:noFill/>
                    </a:ln>
                  </pic:spPr>
                </pic:pic>
              </a:graphicData>
            </a:graphic>
          </wp:inline>
        </w:drawing>
      </w:r>
    </w:p>
    <w:p w14:paraId="54686CFB" w14:textId="77777777" w:rsidR="007157CD" w:rsidRPr="00D7447D" w:rsidRDefault="007157CD" w:rsidP="000B3CCC">
      <w:pPr>
        <w:pStyle w:val="ListParagraph"/>
        <w:keepNext/>
        <w:keepLines/>
        <w:numPr>
          <w:ilvl w:val="1"/>
          <w:numId w:val="46"/>
        </w:numPr>
        <w:spacing w:before="40" w:after="0" w:line="276" w:lineRule="auto"/>
        <w:outlineLvl w:val="2"/>
        <w:rPr>
          <w:rFonts w:ascii="Times New Roman" w:eastAsia="Times New Roman" w:hAnsi="Times New Roman" w:cs="Times New Roman"/>
          <w:b/>
          <w:sz w:val="24"/>
          <w:szCs w:val="24"/>
          <w:lang w:val="sq-AL"/>
        </w:rPr>
      </w:pPr>
      <w:r w:rsidRPr="00D7447D">
        <w:rPr>
          <w:rFonts w:ascii="Times New Roman" w:eastAsia="Times New Roman" w:hAnsi="Times New Roman" w:cs="Times New Roman"/>
          <w:b/>
          <w:sz w:val="24"/>
          <w:szCs w:val="24"/>
          <w:lang w:val="sq-AL"/>
        </w:rPr>
        <w:t>Prioritetet për periudhën 2023-2025</w:t>
      </w:r>
    </w:p>
    <w:p w14:paraId="4529C6E1" w14:textId="77777777" w:rsidR="007157CD" w:rsidRPr="00D7447D" w:rsidRDefault="007157CD" w:rsidP="000B3CCC">
      <w:pPr>
        <w:keepNext/>
        <w:keepLines/>
        <w:spacing w:before="40" w:after="0" w:line="276" w:lineRule="auto"/>
        <w:jc w:val="both"/>
        <w:outlineLvl w:val="2"/>
        <w:rPr>
          <w:rFonts w:ascii="Times New Roman" w:eastAsia="Times New Roman" w:hAnsi="Times New Roman" w:cs="Times New Roman"/>
          <w:b/>
          <w:sz w:val="24"/>
          <w:szCs w:val="24"/>
          <w:lang w:val="sq-AL"/>
        </w:rPr>
      </w:pPr>
    </w:p>
    <w:p w14:paraId="6EBF7C94" w14:textId="77777777" w:rsidR="007157CD" w:rsidRPr="00D7447D" w:rsidRDefault="007157CD" w:rsidP="000B3CCC">
      <w:pPr>
        <w:numPr>
          <w:ilvl w:val="0"/>
          <w:numId w:val="24"/>
        </w:numPr>
        <w:spacing w:after="0" w:line="276" w:lineRule="auto"/>
        <w:jc w:val="both"/>
        <w:rPr>
          <w:rFonts w:ascii="Times New Roman" w:hAnsi="Times New Roman" w:cs="Times New Roman"/>
          <w:sz w:val="24"/>
          <w:szCs w:val="24"/>
          <w:lang w:val="sq-AL"/>
        </w:rPr>
      </w:pPr>
      <w:bookmarkStart w:id="1021" w:name="_Toc21076696"/>
      <w:r w:rsidRPr="00D7447D">
        <w:rPr>
          <w:rFonts w:ascii="Times New Roman" w:hAnsi="Times New Roman" w:cs="Times New Roman"/>
          <w:sz w:val="24"/>
          <w:szCs w:val="24"/>
          <w:lang w:val="sq-AL"/>
        </w:rPr>
        <w:t>Përmirësimi dhe zgjerimi i tregut kulturor nëpërmjet një legjislacioni në dobi të krijuesve, krijimtarisë artistike e kulturore dhe trashëgimisë kulturore, si dhe hartimi i paketës së re të skemës se mbështetjes së projekteve të Ministrisë të Kulturës;</w:t>
      </w:r>
    </w:p>
    <w:p w14:paraId="431B279C" w14:textId="77777777" w:rsidR="007157CD" w:rsidRPr="00D7447D" w:rsidRDefault="007157CD" w:rsidP="000B3CCC">
      <w:pPr>
        <w:numPr>
          <w:ilvl w:val="0"/>
          <w:numId w:val="24"/>
        </w:num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Ruajtja dhe mbrojtja e trashëgimisë kulturore materiale dhe jomateriale – pasuri kombëtare e popullit shqiptar në breza;</w:t>
      </w:r>
    </w:p>
    <w:p w14:paraId="03CB709B" w14:textId="77777777" w:rsidR="007157CD" w:rsidRPr="00D7447D" w:rsidRDefault="007157CD" w:rsidP="000B3CCC">
      <w:pPr>
        <w:numPr>
          <w:ilvl w:val="0"/>
          <w:numId w:val="24"/>
        </w:num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Mbështetja e krijimtarisë dhe aktivitetit krijues të artistëve shqiptarë përmes rritjes së aktiviteteve kulturore dhe përfshirjes së artistëve;</w:t>
      </w:r>
    </w:p>
    <w:p w14:paraId="2EAB911F" w14:textId="77777777" w:rsidR="007157CD" w:rsidRPr="00D7447D" w:rsidRDefault="007157CD" w:rsidP="000B3CCC">
      <w:pPr>
        <w:numPr>
          <w:ilvl w:val="0"/>
          <w:numId w:val="24"/>
        </w:num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lastRenderedPageBreak/>
        <w:t>Promovimi dhe përfaqësimi i vlerave të artit dhe trashëgimisë kulturore shqiptare, materiale dhe shpirtërore në evenimentet e rëndësishme ndërkombëtare;</w:t>
      </w:r>
    </w:p>
    <w:p w14:paraId="06EB2F8D" w14:textId="77777777" w:rsidR="007157CD" w:rsidRPr="00D7447D" w:rsidRDefault="007157CD" w:rsidP="000B3CCC">
      <w:pPr>
        <w:numPr>
          <w:ilvl w:val="0"/>
          <w:numId w:val="24"/>
        </w:num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Zbatimi me sukses i Platformës kombëtare “Edukimi përmes artit” nga të gjitha institucionet e Artit dhe Trashëgimisë dhe në sistemin para universitar.</w:t>
      </w:r>
    </w:p>
    <w:p w14:paraId="078BED2C" w14:textId="77777777" w:rsidR="007157CD" w:rsidRPr="00D7447D" w:rsidRDefault="007157CD" w:rsidP="000B3CCC">
      <w:pPr>
        <w:numPr>
          <w:ilvl w:val="0"/>
          <w:numId w:val="24"/>
        </w:num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Forcimi i partneritetit publik dhe privat për realizimin e projekteve rijetëzuese në qendrat e trashëgimisë kulturore kombëtare;</w:t>
      </w:r>
    </w:p>
    <w:p w14:paraId="1E166643" w14:textId="77777777" w:rsidR="007157CD" w:rsidRPr="00D7447D" w:rsidRDefault="007157CD" w:rsidP="000B3CCC">
      <w:pPr>
        <w:numPr>
          <w:ilvl w:val="0"/>
          <w:numId w:val="24"/>
        </w:numPr>
        <w:spacing w:after="0" w:line="276" w:lineRule="auto"/>
        <w:jc w:val="both"/>
        <w:rPr>
          <w:rFonts w:ascii="Times New Roman" w:hAnsi="Times New Roman" w:cs="Times New Roman"/>
          <w:sz w:val="24"/>
          <w:szCs w:val="24"/>
          <w:lang w:val="sq-AL"/>
        </w:rPr>
      </w:pPr>
      <w:r w:rsidRPr="00D7447D">
        <w:rPr>
          <w:rFonts w:ascii="Times New Roman" w:hAnsi="Times New Roman" w:cs="Times New Roman"/>
          <w:sz w:val="24"/>
          <w:szCs w:val="24"/>
          <w:lang w:val="sq-AL"/>
        </w:rPr>
        <w:t>Mbështetja e krijimtarisë dhe aktivitetit krijues të artistëve shqiptarë përmes rritjes së aktiviteteve kulturore dhe përfshirjes së artistëve, kryesisht të rinj nga Universiteti i Arteve, Tiranë (UART), në zbatim edhe të Paktit për Universitetin/ Studentët.</w:t>
      </w:r>
    </w:p>
    <w:p w14:paraId="5C5DD16F" w14:textId="77777777" w:rsidR="007157CD" w:rsidRPr="00D7447D" w:rsidRDefault="007157CD" w:rsidP="000B3CCC">
      <w:pPr>
        <w:pStyle w:val="ListParagraph"/>
        <w:numPr>
          <w:ilvl w:val="0"/>
          <w:numId w:val="24"/>
        </w:numPr>
        <w:spacing w:line="276" w:lineRule="auto"/>
        <w:jc w:val="both"/>
        <w:rPr>
          <w:rFonts w:ascii="Times New Roman" w:hAnsi="Times New Roman" w:cs="Times New Roman"/>
          <w:sz w:val="24"/>
          <w:szCs w:val="24"/>
          <w:lang w:val="sq-AL"/>
        </w:rPr>
      </w:pPr>
      <w:bookmarkStart w:id="1022" w:name="_Toc21076697"/>
      <w:bookmarkEnd w:id="1021"/>
      <w:r w:rsidRPr="00D7447D">
        <w:rPr>
          <w:rFonts w:ascii="Times New Roman" w:hAnsi="Times New Roman" w:cs="Times New Roman"/>
          <w:sz w:val="24"/>
          <w:szCs w:val="24"/>
          <w:lang w:val="sq-AL"/>
        </w:rPr>
        <w:t>Përmirësimi i gjendjes fizike të monumenteve të kulturës përmes ndërhyrjeve të vazhdueshme në të gjithë vendin, përmirësimi i infrastrukturës në Muzetë Kombëtarë, Parqe Arkeologjikë si dhe përmirësimin i gjendjes fizike të monumenteve të kulturës përmes ndërhyrjeve të vazhdueshme në të gjithë vendin.</w:t>
      </w:r>
      <w:bookmarkEnd w:id="1022"/>
    </w:p>
    <w:p w14:paraId="163878E7" w14:textId="77777777" w:rsidR="007157CD" w:rsidRPr="00D7447D" w:rsidRDefault="007157CD" w:rsidP="000B3CCC">
      <w:pPr>
        <w:pStyle w:val="ListParagraph"/>
        <w:numPr>
          <w:ilvl w:val="0"/>
          <w:numId w:val="24"/>
        </w:numPr>
        <w:spacing w:line="276" w:lineRule="auto"/>
        <w:jc w:val="both"/>
        <w:rPr>
          <w:rFonts w:ascii="Times New Roman" w:hAnsi="Times New Roman" w:cs="Times New Roman"/>
          <w:sz w:val="24"/>
          <w:szCs w:val="24"/>
          <w:lang w:val="sq-AL"/>
        </w:rPr>
      </w:pPr>
      <w:bookmarkStart w:id="1023" w:name="_Toc21076698"/>
      <w:r w:rsidRPr="00D7447D">
        <w:rPr>
          <w:rFonts w:ascii="Times New Roman" w:hAnsi="Times New Roman" w:cs="Times New Roman"/>
          <w:sz w:val="24"/>
          <w:szCs w:val="24"/>
          <w:lang w:val="sq-AL"/>
        </w:rPr>
        <w:t>Edukimi përmes librit dhe veprimtarive bibliotekare, pasurimi i fondit bibliotekar në të gjithë rrjetin e bibliotekave në mbarë vendin, me qëllim rritjen dhe edukimin e lexuesit.</w:t>
      </w:r>
      <w:bookmarkEnd w:id="1023"/>
    </w:p>
    <w:p w14:paraId="0F82E6C6" w14:textId="77777777" w:rsidR="007157CD" w:rsidRPr="00D7447D" w:rsidRDefault="007157CD" w:rsidP="000B3CCC">
      <w:pPr>
        <w:pStyle w:val="ListParagraph"/>
        <w:numPr>
          <w:ilvl w:val="0"/>
          <w:numId w:val="24"/>
        </w:numPr>
        <w:spacing w:line="276" w:lineRule="auto"/>
        <w:jc w:val="both"/>
        <w:rPr>
          <w:rFonts w:ascii="Times New Roman" w:hAnsi="Times New Roman" w:cs="Times New Roman"/>
          <w:sz w:val="24"/>
          <w:szCs w:val="24"/>
          <w:lang w:val="sq-AL"/>
        </w:rPr>
      </w:pPr>
      <w:bookmarkStart w:id="1024" w:name="_Toc21076699"/>
      <w:r w:rsidRPr="00D7447D">
        <w:rPr>
          <w:rFonts w:ascii="Times New Roman" w:hAnsi="Times New Roman" w:cs="Times New Roman"/>
          <w:sz w:val="24"/>
          <w:szCs w:val="24"/>
          <w:lang w:val="sq-AL"/>
        </w:rPr>
        <w:t>Rritja e aksesit të publikut në Muze, Monumentet e kulturës, ansambleve arkitektonike, qyteteve muze, qendra historike, zonave dhe parqeve arkeologjike në funksion  të turizmit kulturor.</w:t>
      </w:r>
      <w:bookmarkEnd w:id="1024"/>
    </w:p>
    <w:p w14:paraId="2BDBFDE4" w14:textId="77777777" w:rsidR="007157CD" w:rsidRPr="00D7447D" w:rsidRDefault="007157CD" w:rsidP="000B3CCC">
      <w:pPr>
        <w:keepNext/>
        <w:spacing w:after="200" w:line="276" w:lineRule="auto"/>
        <w:rPr>
          <w:rFonts w:ascii="Times New Roman" w:eastAsia="Times New Roman" w:hAnsi="Times New Roman" w:cs="Times New Roman"/>
          <w:b/>
          <w:bCs/>
          <w:sz w:val="24"/>
          <w:szCs w:val="24"/>
          <w:lang w:val="sq-AL"/>
        </w:rPr>
      </w:pPr>
    </w:p>
    <w:p w14:paraId="31A7E401" w14:textId="77777777" w:rsidR="007157CD" w:rsidRPr="00D7447D" w:rsidRDefault="007157CD" w:rsidP="000B3CCC">
      <w:pPr>
        <w:keepNext/>
        <w:spacing w:after="200" w:line="276" w:lineRule="auto"/>
        <w:rPr>
          <w:rFonts w:ascii="Times New Roman" w:eastAsia="Times New Roman" w:hAnsi="Times New Roman" w:cs="Times New Roman"/>
          <w:b/>
          <w:bCs/>
          <w:color w:val="4F81BD"/>
          <w:sz w:val="24"/>
          <w:szCs w:val="24"/>
          <w:lang w:val="sq-AL"/>
        </w:rPr>
      </w:pPr>
      <w:r w:rsidRPr="00D7447D">
        <w:rPr>
          <w:rFonts w:ascii="Times New Roman" w:eastAsia="Times New Roman" w:hAnsi="Times New Roman" w:cs="Times New Roman"/>
          <w:b/>
          <w:bCs/>
          <w:sz w:val="24"/>
          <w:szCs w:val="24"/>
          <w:lang w:val="sq-AL"/>
        </w:rPr>
        <w:t xml:space="preserve">Tabela 4: </w:t>
      </w:r>
      <w:r w:rsidRPr="00D7447D">
        <w:rPr>
          <w:rFonts w:ascii="Times New Roman" w:eastAsia="Times New Roman" w:hAnsi="Times New Roman" w:cs="Times New Roman"/>
          <w:bCs/>
          <w:sz w:val="24"/>
          <w:szCs w:val="24"/>
          <w:lang w:val="sq-AL"/>
        </w:rPr>
        <w:t>Shpenzimet për Ministrinë e Kulturës sipas programeve buxhetore dhe sipas artikujve ekonomikë</w:t>
      </w:r>
    </w:p>
    <w:p w14:paraId="10E2BB7B" w14:textId="22EDAB14" w:rsidR="007157CD" w:rsidRPr="00D7447D" w:rsidRDefault="00A84552" w:rsidP="000B3CCC">
      <w:pPr>
        <w:spacing w:after="0" w:line="276" w:lineRule="auto"/>
        <w:rPr>
          <w:rFonts w:ascii="Times New Roman" w:eastAsia="MS Gothic" w:hAnsi="Times New Roman" w:cs="Times New Roman"/>
          <w:b/>
          <w:bCs/>
          <w:sz w:val="24"/>
          <w:szCs w:val="24"/>
          <w:lang w:val="sq-AL"/>
        </w:rPr>
      </w:pPr>
      <w:r w:rsidRPr="00D7447D">
        <w:rPr>
          <w:rFonts w:ascii="Times New Roman" w:hAnsi="Times New Roman" w:cs="Times New Roman"/>
          <w:noProof/>
          <w:sz w:val="24"/>
          <w:szCs w:val="24"/>
        </w:rPr>
        <w:drawing>
          <wp:inline distT="0" distB="0" distL="0" distR="0" wp14:anchorId="12C8D3B1" wp14:editId="6C41CCEB">
            <wp:extent cx="5942843" cy="3490623"/>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4982" cy="3491879"/>
                    </a:xfrm>
                    <a:prstGeom prst="rect">
                      <a:avLst/>
                    </a:prstGeom>
                    <a:noFill/>
                    <a:ln>
                      <a:noFill/>
                    </a:ln>
                  </pic:spPr>
                </pic:pic>
              </a:graphicData>
            </a:graphic>
          </wp:inline>
        </w:drawing>
      </w:r>
    </w:p>
    <w:p w14:paraId="653F0B3D" w14:textId="689FEC55" w:rsidR="007157CD" w:rsidRPr="00D7447D" w:rsidRDefault="007157CD" w:rsidP="000B3CCC">
      <w:pPr>
        <w:spacing w:after="0" w:line="276" w:lineRule="auto"/>
        <w:jc w:val="center"/>
        <w:rPr>
          <w:rFonts w:ascii="Times New Roman" w:eastAsia="MS Gothic" w:hAnsi="Times New Roman" w:cs="Times New Roman"/>
          <w:b/>
          <w:bCs/>
          <w:sz w:val="24"/>
          <w:szCs w:val="24"/>
          <w:lang w:val="sq-AL"/>
        </w:rPr>
      </w:pPr>
    </w:p>
    <w:p w14:paraId="3E9F0DC9" w14:textId="77777777" w:rsidR="007157CD" w:rsidRPr="00D7447D" w:rsidRDefault="007157CD" w:rsidP="000B3CCC">
      <w:pPr>
        <w:spacing w:after="0" w:line="276" w:lineRule="auto"/>
        <w:rPr>
          <w:rFonts w:ascii="Times New Roman" w:eastAsia="MS Gothic" w:hAnsi="Times New Roman" w:cs="Times New Roman"/>
          <w:b/>
          <w:bCs/>
          <w:sz w:val="24"/>
          <w:szCs w:val="24"/>
          <w:lang w:val="en-GB"/>
        </w:rPr>
      </w:pPr>
    </w:p>
    <w:p w14:paraId="76E09DB3" w14:textId="77777777" w:rsidR="007157CD" w:rsidRPr="00D7447D" w:rsidRDefault="007157CD" w:rsidP="000B3CCC">
      <w:pPr>
        <w:keepNext/>
        <w:keepLines/>
        <w:spacing w:before="40" w:after="0" w:line="276" w:lineRule="auto"/>
        <w:outlineLvl w:val="2"/>
        <w:rPr>
          <w:rFonts w:ascii="Times New Roman" w:eastAsia="Times New Roman" w:hAnsi="Times New Roman" w:cs="Times New Roman"/>
          <w:color w:val="243F60"/>
          <w:sz w:val="24"/>
          <w:szCs w:val="24"/>
          <w:lang w:val="sq-AL"/>
        </w:rPr>
      </w:pPr>
    </w:p>
    <w:p w14:paraId="220ED962" w14:textId="77777777" w:rsidR="007157CD" w:rsidRPr="00D7447D" w:rsidRDefault="007157CD" w:rsidP="000B3CCC">
      <w:pPr>
        <w:pStyle w:val="ListParagraph"/>
        <w:keepNext/>
        <w:keepLines/>
        <w:numPr>
          <w:ilvl w:val="1"/>
          <w:numId w:val="45"/>
        </w:numPr>
        <w:spacing w:before="40" w:after="0" w:line="276" w:lineRule="auto"/>
        <w:outlineLvl w:val="2"/>
        <w:rPr>
          <w:rFonts w:ascii="Times New Roman" w:eastAsia="Times New Roman" w:hAnsi="Times New Roman" w:cs="Times New Roman"/>
          <w:color w:val="243F60"/>
          <w:sz w:val="24"/>
          <w:szCs w:val="24"/>
          <w:lang w:val="sq-AL"/>
        </w:rPr>
      </w:pPr>
      <w:r w:rsidRPr="00D7447D">
        <w:rPr>
          <w:rFonts w:ascii="Times New Roman" w:eastAsia="Times New Roman" w:hAnsi="Times New Roman" w:cs="Times New Roman"/>
          <w:b/>
          <w:sz w:val="24"/>
          <w:szCs w:val="24"/>
          <w:lang w:val="sq-AL"/>
        </w:rPr>
        <w:t>Përmbledhje e Treguesve Kyç të Performancës</w:t>
      </w:r>
    </w:p>
    <w:p w14:paraId="2EB65A19" w14:textId="77777777" w:rsidR="007157CD" w:rsidRPr="00D7447D" w:rsidRDefault="007157CD" w:rsidP="000B3CCC">
      <w:pPr>
        <w:spacing w:after="0" w:line="276" w:lineRule="auto"/>
        <w:jc w:val="both"/>
        <w:rPr>
          <w:rFonts w:ascii="Times New Roman" w:eastAsia="Times New Roman" w:hAnsi="Times New Roman" w:cs="Times New Roman"/>
          <w:sz w:val="24"/>
          <w:szCs w:val="24"/>
          <w:lang w:val="sq-AL"/>
        </w:rPr>
      </w:pPr>
    </w:p>
    <w:p w14:paraId="24AB2E3A" w14:textId="77777777" w:rsidR="007157CD" w:rsidRPr="00D7447D" w:rsidRDefault="007157CD" w:rsidP="000B3CCC">
      <w:pPr>
        <w:spacing w:after="0" w:line="276" w:lineRule="auto"/>
        <w:jc w:val="both"/>
        <w:rPr>
          <w:rFonts w:ascii="Times New Roman" w:eastAsia="Times New Roman" w:hAnsi="Times New Roman" w:cs="Times New Roman"/>
          <w:b/>
          <w:sz w:val="24"/>
          <w:szCs w:val="24"/>
          <w:lang w:val="sq-AL"/>
        </w:rPr>
      </w:pPr>
      <w:r w:rsidRPr="00D7447D">
        <w:rPr>
          <w:rFonts w:ascii="Times New Roman" w:eastAsia="Times New Roman" w:hAnsi="Times New Roman" w:cs="Times New Roman"/>
          <w:b/>
          <w:sz w:val="24"/>
          <w:szCs w:val="24"/>
          <w:lang w:val="sq-AL"/>
        </w:rPr>
        <w:t>Programi “Trashëgimia kulturore”</w:t>
      </w:r>
    </w:p>
    <w:p w14:paraId="561922F0" w14:textId="77777777" w:rsidR="007157CD" w:rsidRPr="00D7447D" w:rsidRDefault="007157CD" w:rsidP="000B3CCC">
      <w:pPr>
        <w:spacing w:after="0" w:line="276" w:lineRule="auto"/>
        <w:jc w:val="both"/>
        <w:rPr>
          <w:rFonts w:ascii="Times New Roman" w:eastAsia="Times New Roman" w:hAnsi="Times New Roman" w:cs="Times New Roman"/>
          <w:b/>
          <w:sz w:val="24"/>
          <w:szCs w:val="24"/>
          <w:lang w:val="sq-AL"/>
        </w:rPr>
      </w:pPr>
      <w:r w:rsidRPr="00D7447D">
        <w:rPr>
          <w:rFonts w:ascii="Times New Roman" w:eastAsia="Times New Roman" w:hAnsi="Times New Roman" w:cs="Times New Roman"/>
          <w:b/>
          <w:sz w:val="24"/>
          <w:szCs w:val="24"/>
          <w:lang w:val="sq-AL"/>
        </w:rPr>
        <w:t xml:space="preserve"> </w:t>
      </w:r>
    </w:p>
    <w:p w14:paraId="1D5E300D"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Restaurimi dhe mirëmbajtja e trashëgimisë arkitektonike dhe peisazhit, duke përfshirë restaurimin e disa linjave muzeale, si edhe përshtatjen me standarde bashkëkohore. Rritja e numrit të objekteve të trashëgimisë arkitektonike dhe peisazhit të restauruara dhe mirëmbajtura nga 152 në vitin 2022 në 156 në vitin 2025.  </w:t>
      </w:r>
    </w:p>
    <w:p w14:paraId="4166148D"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Rritja e aksesit të publikut në Muze, Monumentet e kulturës dhe Parqe Arkeologjike në funksion  të turizmit kulturor (nr. Vizitorësh), nga 210 mijë vizitorë në vitin 2022 në 220 mijë turistë në 2023; në 230 mijë turistë në 2024 dhe 235 mijë turistë në vitin 2025.</w:t>
      </w:r>
    </w:p>
    <w:p w14:paraId="042F370C"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Rritja e numrit të objekteve të regjistruara në databazën kombëtare të trashëgimisë, nga 110 mijë objekte në vitin 2022 në 130 mijë objekte në vitet 2023-2024 dhe 140 mijë përkatësisht në vitet 2024 – 2025.</w:t>
      </w:r>
    </w:p>
    <w:p w14:paraId="225F8853"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Rritja e mbështetjes për aktiviteteve të fushës së trashëgimisë kulturore përgjatë viteve 2022-2024 nga 175 aktivitete të mbështetura në vitin 2022 në 195 aktivitete në 2025.</w:t>
      </w:r>
    </w:p>
    <w:p w14:paraId="45FD9E23"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Vijimi i mbështetjes financiare për projektet në fushën e artizanatit, kulinarisë dhe dukurive të tjera të trashëgimisë jomateriale, veçanërisht për gratë artizane (30% ndaj totalit të përfituesve).</w:t>
      </w:r>
    </w:p>
    <w:p w14:paraId="2DA87138"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Kthimi i rreth 20 objekteve në qendra historike për vitin 2023, në modele të qëndrueshme biznesi, që gjenerojnë të ardhura dhe punësim për komunitetin.</w:t>
      </w:r>
    </w:p>
    <w:p w14:paraId="320C3647" w14:textId="77777777" w:rsidR="007157CD" w:rsidRPr="00D7447D" w:rsidRDefault="007157CD" w:rsidP="000B3CCC">
      <w:pPr>
        <w:spacing w:after="0" w:line="276" w:lineRule="auto"/>
        <w:jc w:val="both"/>
        <w:rPr>
          <w:rFonts w:ascii="Times New Roman" w:eastAsia="Times New Roman" w:hAnsi="Times New Roman" w:cs="Times New Roman"/>
          <w:b/>
          <w:sz w:val="24"/>
          <w:szCs w:val="24"/>
          <w:lang w:val="sq-AL"/>
        </w:rPr>
      </w:pPr>
    </w:p>
    <w:p w14:paraId="198B1FD5" w14:textId="77777777" w:rsidR="007157CD" w:rsidRPr="00D7447D" w:rsidRDefault="007157CD" w:rsidP="000B3CCC">
      <w:pPr>
        <w:spacing w:after="0" w:line="276" w:lineRule="auto"/>
        <w:jc w:val="both"/>
        <w:rPr>
          <w:rFonts w:ascii="Times New Roman" w:eastAsia="Times New Roman" w:hAnsi="Times New Roman" w:cs="Times New Roman"/>
          <w:b/>
          <w:sz w:val="24"/>
          <w:szCs w:val="24"/>
          <w:lang w:val="sq-AL"/>
        </w:rPr>
      </w:pPr>
    </w:p>
    <w:p w14:paraId="0950E049" w14:textId="77777777" w:rsidR="007157CD" w:rsidRPr="00D7447D" w:rsidRDefault="007157CD" w:rsidP="000B3CCC">
      <w:pPr>
        <w:spacing w:after="0" w:line="276" w:lineRule="auto"/>
        <w:jc w:val="both"/>
        <w:rPr>
          <w:rFonts w:ascii="Times New Roman" w:eastAsia="Times New Roman" w:hAnsi="Times New Roman" w:cs="Times New Roman"/>
          <w:b/>
          <w:sz w:val="24"/>
          <w:szCs w:val="24"/>
          <w:lang w:val="sq-AL"/>
        </w:rPr>
      </w:pPr>
      <w:r w:rsidRPr="00D7447D">
        <w:rPr>
          <w:rFonts w:ascii="Times New Roman" w:eastAsia="Times New Roman" w:hAnsi="Times New Roman" w:cs="Times New Roman"/>
          <w:b/>
          <w:sz w:val="24"/>
          <w:szCs w:val="24"/>
          <w:lang w:val="sq-AL"/>
        </w:rPr>
        <w:t>Programi “Arti dhe Kultura”</w:t>
      </w:r>
    </w:p>
    <w:p w14:paraId="7EB902F1" w14:textId="77777777" w:rsidR="007157CD" w:rsidRPr="00D7447D" w:rsidRDefault="007157CD" w:rsidP="000B3CCC">
      <w:pPr>
        <w:spacing w:after="0" w:line="276" w:lineRule="auto"/>
        <w:jc w:val="both"/>
        <w:rPr>
          <w:rFonts w:ascii="Times New Roman" w:eastAsia="Times New Roman" w:hAnsi="Times New Roman" w:cs="Times New Roman"/>
          <w:b/>
          <w:sz w:val="24"/>
          <w:szCs w:val="24"/>
          <w:lang w:val="sq-AL"/>
        </w:rPr>
      </w:pPr>
    </w:p>
    <w:p w14:paraId="1AB2E11F"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14:paraId="5B73289E"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Prioritet do të jetë integrimi, angazhimi dhe promovimi i të rinjve më të evidentuar të kësaj fushe. </w:t>
      </w:r>
    </w:p>
    <w:p w14:paraId="6BEA24BD"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Nxitja e konkurrencës artistike përmes audicioneve dhe konkurrimit publik krahasuar me një vit më parë.</w:t>
      </w:r>
    </w:p>
    <w:p w14:paraId="109063B8"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Zhvillimi i rreth 600 aktiviteteve nga kalendarët artistik të zhvilluara nga Institucionet qëndrore publike të art – kulturës.</w:t>
      </w:r>
    </w:p>
    <w:p w14:paraId="0E4E4378"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Mbështetja e skenës së pavarur për të mundësuar edukimin përmes kulturës si dhe përfaqësimin e produktit artistik në arenën elitare ndërkombëtare.</w:t>
      </w:r>
    </w:p>
    <w:p w14:paraId="6B7EF9DB" w14:textId="77777777" w:rsidR="007157CD" w:rsidRPr="00D7447D" w:rsidRDefault="007157CD" w:rsidP="000B3CCC">
      <w:pPr>
        <w:numPr>
          <w:ilvl w:val="0"/>
          <w:numId w:val="4"/>
        </w:numPr>
        <w:spacing w:after="0" w:line="276" w:lineRule="auto"/>
        <w:contextualSpacing/>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lastRenderedPageBreak/>
        <w:t>Mbështetja e 60 projekteve me thirrje në mbështetje e industrive krijuese duke respektuar barazinë gjinore, të drejtat e njeriut,  grupet e margjinalizuara dhe diversitetin kulturor në rang vendi.</w:t>
      </w:r>
    </w:p>
    <w:p w14:paraId="0144274C" w14:textId="77777777" w:rsidR="007157CD" w:rsidRPr="00D7447D" w:rsidRDefault="007157CD" w:rsidP="000B3CCC">
      <w:pPr>
        <w:spacing w:after="0" w:line="276" w:lineRule="auto"/>
        <w:contextualSpacing/>
        <w:jc w:val="both"/>
        <w:rPr>
          <w:rFonts w:ascii="Times New Roman" w:eastAsia="Times New Roman" w:hAnsi="Times New Roman" w:cs="Times New Roman"/>
          <w:sz w:val="24"/>
          <w:szCs w:val="24"/>
          <w:lang w:val="sq-AL"/>
        </w:rPr>
      </w:pPr>
    </w:p>
    <w:p w14:paraId="2EA42EE8" w14:textId="77777777" w:rsidR="007157CD" w:rsidRPr="00D7447D" w:rsidRDefault="007157CD" w:rsidP="000B3CCC">
      <w:pPr>
        <w:spacing w:after="0" w:line="276" w:lineRule="auto"/>
        <w:ind w:left="720"/>
        <w:contextualSpacing/>
        <w:jc w:val="both"/>
        <w:rPr>
          <w:rFonts w:ascii="Times New Roman" w:eastAsia="Times New Roman" w:hAnsi="Times New Roman" w:cs="Times New Roman"/>
          <w:sz w:val="24"/>
          <w:szCs w:val="24"/>
          <w:lang w:val="sq-AL"/>
        </w:rPr>
      </w:pPr>
    </w:p>
    <w:p w14:paraId="6BA838C5" w14:textId="77777777" w:rsidR="007157CD" w:rsidRPr="00D7447D" w:rsidRDefault="007157CD" w:rsidP="000B3CCC">
      <w:pPr>
        <w:spacing w:after="0" w:line="276" w:lineRule="auto"/>
        <w:contextualSpacing/>
        <w:jc w:val="both"/>
        <w:rPr>
          <w:rFonts w:ascii="Times New Roman" w:eastAsia="Times New Roman" w:hAnsi="Times New Roman" w:cs="Times New Roman"/>
          <w:b/>
          <w:sz w:val="24"/>
          <w:szCs w:val="24"/>
          <w:lang w:val="sq-AL"/>
        </w:rPr>
      </w:pPr>
      <w:r w:rsidRPr="00D7447D">
        <w:rPr>
          <w:rFonts w:ascii="Times New Roman" w:eastAsia="Times New Roman" w:hAnsi="Times New Roman" w:cs="Times New Roman"/>
          <w:b/>
          <w:sz w:val="24"/>
          <w:szCs w:val="24"/>
          <w:lang w:val="sq-AL"/>
        </w:rPr>
        <w:t>Investimet Publike në sektorin e kulturës për vitet 2023-2025:</w:t>
      </w:r>
    </w:p>
    <w:p w14:paraId="2F96D5A4" w14:textId="77777777" w:rsidR="007157CD" w:rsidRPr="00D7447D" w:rsidRDefault="007157CD" w:rsidP="000B3CCC">
      <w:pPr>
        <w:spacing w:after="0" w:line="276" w:lineRule="auto"/>
        <w:contextualSpacing/>
        <w:jc w:val="both"/>
        <w:rPr>
          <w:rFonts w:ascii="Times New Roman" w:eastAsia="Times New Roman" w:hAnsi="Times New Roman" w:cs="Times New Roman"/>
          <w:b/>
          <w:sz w:val="24"/>
          <w:szCs w:val="24"/>
          <w:lang w:val="sq-AL"/>
        </w:rPr>
      </w:pPr>
    </w:p>
    <w:p w14:paraId="488EBE62"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Rijetësimi i Piramidës Tiranë, projekt me bashkëfinancim me Bashkinë e Tiranës që do të shtrihet përgjatë viteve 2021-2024.</w:t>
      </w:r>
    </w:p>
    <w:p w14:paraId="272A8C38"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Restaurimi, Rikonstruksioni dhe Rehabilitimi i hapësirave në Muzeun e Arteve të bukura (Galeria Kombëtare e Arteve).</w:t>
      </w:r>
    </w:p>
    <w:p w14:paraId="26521949"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Projektim dhe Implementim i Mozaikut Tiranë, i cili pritet të përfundojë në vitin 2023.</w:t>
      </w:r>
    </w:p>
    <w:p w14:paraId="36A0D04D"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Ndertimi i Qendrës Kombëtare Kulturore për Femijë dhe Teatri i Kukullave</w:t>
      </w:r>
    </w:p>
    <w:p w14:paraId="5263D816"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Ndërtimi i Godinës së Teatrit Tiranë.</w:t>
      </w:r>
    </w:p>
    <w:p w14:paraId="5B65B415"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Projekti Elektrik për ndriçimin e jashtëm - Kalaja e Shkodrës dhe Kalaja e Beratit.</w:t>
      </w:r>
    </w:p>
    <w:p w14:paraId="67BA7FA4"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 xml:space="preserve">Restaurimi i "Kishë së Shën Kollit", Krutje e </w:t>
      </w:r>
      <w:r w:rsidRPr="00D7447D">
        <w:rPr>
          <w:rFonts w:ascii="Times New Roman" w:eastAsia="Times New Roman" w:hAnsi="Times New Roman" w:cs="Times New Roman"/>
          <w:sz w:val="24"/>
          <w:szCs w:val="24"/>
          <w:lang w:val="it-IT"/>
        </w:rPr>
        <w:t>S</w:t>
      </w:r>
      <w:r w:rsidRPr="00D7447D">
        <w:rPr>
          <w:rFonts w:ascii="Times New Roman" w:eastAsia="Times New Roman" w:hAnsi="Times New Roman" w:cs="Times New Roman"/>
          <w:sz w:val="24"/>
          <w:szCs w:val="24"/>
          <w:lang w:val="sq-AL"/>
        </w:rPr>
        <w:t>ipërme, Lushnje.</w:t>
      </w:r>
    </w:p>
    <w:p w14:paraId="78BF93A3"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Hartim projekti i Cirkut të Ri Kombëtar;</w:t>
      </w:r>
    </w:p>
    <w:p w14:paraId="688FC4FB"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Shpronësimi i Amfiteatrit të Durrësit;</w:t>
      </w:r>
    </w:p>
    <w:p w14:paraId="6E84B942"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Shpronësimi i shtëpisë së Toptanasve;</w:t>
      </w:r>
    </w:p>
    <w:p w14:paraId="74C3FE47"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Ngritja e platformës dixhitale për të drejtën e autorit dhe dixhitalizimi e përmirësimi i sistemeve AQSHF;</w:t>
      </w:r>
    </w:p>
    <w:p w14:paraId="1DFED9D0" w14:textId="77777777" w:rsidR="007157CD" w:rsidRPr="00D7447D" w:rsidRDefault="007157CD" w:rsidP="000B3CCC">
      <w:pPr>
        <w:pStyle w:val="ListParagraph"/>
        <w:numPr>
          <w:ilvl w:val="0"/>
          <w:numId w:val="7"/>
        </w:numPr>
        <w:spacing w:line="276" w:lineRule="auto"/>
        <w:jc w:val="both"/>
        <w:rPr>
          <w:rFonts w:ascii="Times New Roman" w:eastAsia="Times New Roman" w:hAnsi="Times New Roman" w:cs="Times New Roman"/>
          <w:sz w:val="24"/>
          <w:szCs w:val="24"/>
          <w:lang w:val="sq-AL"/>
        </w:rPr>
      </w:pPr>
      <w:r w:rsidRPr="00D7447D">
        <w:rPr>
          <w:rFonts w:ascii="Times New Roman" w:eastAsia="Times New Roman" w:hAnsi="Times New Roman" w:cs="Times New Roman"/>
          <w:sz w:val="24"/>
          <w:szCs w:val="24"/>
          <w:lang w:val="sq-AL"/>
        </w:rPr>
        <w:t>Projekte me ndërhyrje emergjente restauruese që rrezikojnë të zhduken.</w:t>
      </w:r>
    </w:p>
    <w:p w14:paraId="095F6850" w14:textId="77777777" w:rsidR="00AA04E5" w:rsidRPr="00D7447D" w:rsidRDefault="00AA04E5" w:rsidP="000B3CCC">
      <w:pPr>
        <w:spacing w:line="276" w:lineRule="auto"/>
        <w:ind w:left="720"/>
        <w:rPr>
          <w:rFonts w:ascii="Times New Roman" w:eastAsia="Times New Roman" w:hAnsi="Times New Roman" w:cs="Times New Roman"/>
          <w:sz w:val="24"/>
          <w:szCs w:val="24"/>
          <w:lang w:val="sq-AL"/>
        </w:rPr>
      </w:pPr>
    </w:p>
    <w:p w14:paraId="2C316C67" w14:textId="77777777" w:rsidR="00AA04E5" w:rsidRPr="00D7447D" w:rsidRDefault="004E5DAE" w:rsidP="000B3CCC">
      <w:pPr>
        <w:keepNext/>
        <w:numPr>
          <w:ilvl w:val="1"/>
          <w:numId w:val="17"/>
        </w:numPr>
        <w:spacing w:before="240" w:after="60" w:line="276" w:lineRule="auto"/>
        <w:outlineLvl w:val="1"/>
        <w:rPr>
          <w:rFonts w:ascii="Times New Roman" w:eastAsia="Calibri" w:hAnsi="Times New Roman" w:cs="Times New Roman"/>
          <w:b/>
          <w:bCs/>
          <w:iCs/>
          <w:noProof/>
          <w:sz w:val="24"/>
          <w:szCs w:val="24"/>
          <w:lang w:val="sq-AL" w:eastAsia="sq-AL"/>
        </w:rPr>
      </w:pPr>
      <w:bookmarkStart w:id="1025" w:name="_Toc518562263"/>
      <w:bookmarkStart w:id="1026" w:name="_Toc115701063"/>
      <w:r w:rsidRPr="00D7447D">
        <w:rPr>
          <w:rFonts w:ascii="Times New Roman" w:eastAsia="Calibri" w:hAnsi="Times New Roman" w:cs="Times New Roman"/>
          <w:b/>
          <w:bCs/>
          <w:iCs/>
          <w:noProof/>
          <w:sz w:val="24"/>
          <w:szCs w:val="24"/>
          <w:lang w:val="sq-AL" w:eastAsia="sq-AL"/>
        </w:rPr>
        <w:t>MINISTRIA E FINANCAVE DHE EKONOMISË</w:t>
      </w:r>
      <w:bookmarkEnd w:id="1025"/>
      <w:bookmarkEnd w:id="1026"/>
    </w:p>
    <w:p w14:paraId="7F186CC0" w14:textId="77777777" w:rsidR="004E5DAE" w:rsidRPr="00D7447D" w:rsidRDefault="004E5DAE" w:rsidP="000B3CCC">
      <w:pPr>
        <w:spacing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drejtave  kushtetuese  për  arsim dhe  formim  profesional,  punësim të sigurt e të denjë, sigurim shoqëror dhe strehim.</w:t>
      </w:r>
    </w:p>
    <w:p w14:paraId="671110F0" w14:textId="7F872E2B" w:rsidR="004E5DAE" w:rsidRPr="00D7447D" w:rsidRDefault="003803EE" w:rsidP="000B3CCC">
      <w:pPr>
        <w:spacing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Për periudhën 202</w:t>
      </w:r>
      <w:r w:rsidR="00C74A45" w:rsidRPr="00D7447D">
        <w:rPr>
          <w:rFonts w:ascii="Times New Roman" w:eastAsiaTheme="minorHAnsi" w:hAnsi="Times New Roman" w:cs="Times New Roman"/>
          <w:sz w:val="24"/>
          <w:szCs w:val="24"/>
          <w:lang w:val="sq-AL"/>
        </w:rPr>
        <w:t>3</w:t>
      </w:r>
      <w:r w:rsidRPr="00D7447D">
        <w:rPr>
          <w:rFonts w:ascii="Times New Roman" w:eastAsiaTheme="minorHAnsi" w:hAnsi="Times New Roman" w:cs="Times New Roman"/>
          <w:sz w:val="24"/>
          <w:szCs w:val="24"/>
          <w:lang w:val="sq-AL"/>
        </w:rPr>
        <w:t>-202</w:t>
      </w:r>
      <w:r w:rsidR="00C74A45" w:rsidRPr="00D7447D">
        <w:rPr>
          <w:rFonts w:ascii="Times New Roman" w:eastAsiaTheme="minorHAnsi" w:hAnsi="Times New Roman" w:cs="Times New Roman"/>
          <w:sz w:val="24"/>
          <w:szCs w:val="24"/>
          <w:lang w:val="sq-AL"/>
        </w:rPr>
        <w:t>5</w:t>
      </w:r>
      <w:r w:rsidR="004E5DAE" w:rsidRPr="00D7447D">
        <w:rPr>
          <w:rFonts w:ascii="Times New Roman" w:eastAsiaTheme="minorHAnsi" w:hAnsi="Times New Roman" w:cs="Times New Roman"/>
          <w:sz w:val="24"/>
          <w:szCs w:val="24"/>
          <w:lang w:val="sq-AL"/>
        </w:rPr>
        <w:t xml:space="preserve">, Ministria e Financave dhe Ekonomisë do të përmbushë objektivat e synuar përmes fondeve buxhetore të alokuara sipas tabelës së mëposhtme: </w:t>
      </w:r>
    </w:p>
    <w:p w14:paraId="14C3A586" w14:textId="77777777" w:rsidR="00521ADB" w:rsidRPr="00D7447D" w:rsidRDefault="00521ADB" w:rsidP="000B3CCC">
      <w:pPr>
        <w:spacing w:line="276" w:lineRule="auto"/>
        <w:jc w:val="both"/>
        <w:rPr>
          <w:rFonts w:ascii="Times New Roman" w:eastAsiaTheme="minorHAnsi" w:hAnsi="Times New Roman" w:cs="Times New Roman"/>
          <w:sz w:val="24"/>
          <w:szCs w:val="24"/>
          <w:lang w:val="sq-AL"/>
        </w:rPr>
      </w:pPr>
    </w:p>
    <w:p w14:paraId="30B1D375" w14:textId="2705D673" w:rsidR="004E5DAE" w:rsidRPr="00D7447D" w:rsidRDefault="004E5DAE" w:rsidP="000B3CCC">
      <w:pPr>
        <w:spacing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b/>
          <w:sz w:val="24"/>
          <w:szCs w:val="24"/>
          <w:lang w:val="sq-AL"/>
        </w:rPr>
        <w:t xml:space="preserve">Tabela </w:t>
      </w:r>
      <w:r w:rsidR="00185105" w:rsidRPr="00D7447D">
        <w:rPr>
          <w:rFonts w:ascii="Times New Roman" w:eastAsiaTheme="minorHAnsi" w:hAnsi="Times New Roman" w:cs="Times New Roman"/>
          <w:b/>
          <w:sz w:val="24"/>
          <w:szCs w:val="24"/>
          <w:lang w:val="sq-AL"/>
        </w:rPr>
        <w:t>27</w:t>
      </w:r>
      <w:r w:rsidRPr="00D7447D">
        <w:rPr>
          <w:rFonts w:ascii="Times New Roman" w:eastAsiaTheme="minorHAnsi" w:hAnsi="Times New Roman" w:cs="Times New Roman"/>
          <w:sz w:val="24"/>
          <w:szCs w:val="24"/>
          <w:lang w:val="sq-AL"/>
        </w:rPr>
        <w:t xml:space="preserve">: </w:t>
      </w:r>
      <w:r w:rsidRPr="00D7447D">
        <w:rPr>
          <w:rFonts w:ascii="Times New Roman" w:eastAsia="Times New Roman" w:hAnsi="Times New Roman" w:cs="Times New Roman"/>
          <w:sz w:val="24"/>
          <w:szCs w:val="24"/>
          <w:lang w:val="sq-AL"/>
        </w:rPr>
        <w:t>Shpenzimet për Ministrinë e Fina</w:t>
      </w:r>
      <w:r w:rsidR="00D65A8F" w:rsidRPr="00D7447D">
        <w:rPr>
          <w:rFonts w:ascii="Times New Roman" w:eastAsia="Times New Roman" w:hAnsi="Times New Roman" w:cs="Times New Roman"/>
          <w:sz w:val="24"/>
          <w:szCs w:val="24"/>
          <w:lang w:val="sq-AL"/>
        </w:rPr>
        <w:t>ncave dhe Ekonomisë për PBA 202</w:t>
      </w:r>
      <w:r w:rsidR="00C74A45" w:rsidRPr="00D7447D">
        <w:rPr>
          <w:rFonts w:ascii="Times New Roman" w:eastAsia="Times New Roman" w:hAnsi="Times New Roman" w:cs="Times New Roman"/>
          <w:sz w:val="24"/>
          <w:szCs w:val="24"/>
          <w:lang w:val="sq-AL"/>
        </w:rPr>
        <w:t>3</w:t>
      </w:r>
      <w:r w:rsidR="00D65A8F" w:rsidRPr="00D7447D">
        <w:rPr>
          <w:rFonts w:ascii="Times New Roman" w:eastAsia="Times New Roman" w:hAnsi="Times New Roman" w:cs="Times New Roman"/>
          <w:sz w:val="24"/>
          <w:szCs w:val="24"/>
          <w:lang w:val="sq-AL"/>
        </w:rPr>
        <w:t>-202</w:t>
      </w:r>
      <w:r w:rsidR="00C74A45" w:rsidRPr="00D7447D">
        <w:rPr>
          <w:rFonts w:ascii="Times New Roman" w:eastAsia="Times New Roman" w:hAnsi="Times New Roman" w:cs="Times New Roman"/>
          <w:sz w:val="24"/>
          <w:szCs w:val="24"/>
          <w:lang w:val="sq-AL"/>
        </w:rPr>
        <w:t>5</w:t>
      </w:r>
    </w:p>
    <w:tbl>
      <w:tblPr>
        <w:tblStyle w:val="GridTable5Dark-Accent151"/>
        <w:tblW w:w="8217" w:type="dxa"/>
        <w:tblLook w:val="04A0" w:firstRow="1" w:lastRow="0" w:firstColumn="1" w:lastColumn="0" w:noHBand="0" w:noVBand="1"/>
      </w:tblPr>
      <w:tblGrid>
        <w:gridCol w:w="1081"/>
        <w:gridCol w:w="2794"/>
        <w:gridCol w:w="1223"/>
        <w:gridCol w:w="926"/>
        <w:gridCol w:w="1080"/>
        <w:gridCol w:w="1113"/>
      </w:tblGrid>
      <w:tr w:rsidR="00EC65E8" w:rsidRPr="00D7447D" w14:paraId="23E7108E" w14:textId="77777777" w:rsidTr="00B40468">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81" w:type="dxa"/>
          </w:tcPr>
          <w:p w14:paraId="3109F7D0" w14:textId="77777777" w:rsidR="00EC65E8" w:rsidRPr="00D7447D" w:rsidRDefault="00EC65E8" w:rsidP="000B3CCC">
            <w:pPr>
              <w:spacing w:line="276" w:lineRule="auto"/>
              <w:jc w:val="center"/>
              <w:rPr>
                <w:rFonts w:ascii="Times New Roman" w:hAnsi="Times New Roman" w:cs="Times New Roman"/>
                <w:sz w:val="24"/>
                <w:szCs w:val="24"/>
              </w:rPr>
            </w:pPr>
          </w:p>
        </w:tc>
        <w:tc>
          <w:tcPr>
            <w:tcW w:w="7136" w:type="dxa"/>
            <w:gridSpan w:val="5"/>
            <w:hideMark/>
          </w:tcPr>
          <w:p w14:paraId="6674A4E7" w14:textId="72D9C59D" w:rsidR="00EC65E8" w:rsidRPr="00D7447D" w:rsidRDefault="00EC65E8" w:rsidP="000B3CC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Shpenzimet për Ministrinë e Financave dhe Ekonomisë për PBA 202</w:t>
            </w:r>
            <w:r w:rsidR="00B40468" w:rsidRPr="00D7447D">
              <w:rPr>
                <w:rFonts w:ascii="Times New Roman" w:hAnsi="Times New Roman" w:cs="Times New Roman"/>
                <w:sz w:val="24"/>
                <w:szCs w:val="24"/>
              </w:rPr>
              <w:t>3</w:t>
            </w:r>
            <w:r w:rsidRPr="00D7447D">
              <w:rPr>
                <w:rFonts w:ascii="Times New Roman" w:hAnsi="Times New Roman" w:cs="Times New Roman"/>
                <w:sz w:val="24"/>
                <w:szCs w:val="24"/>
              </w:rPr>
              <w:t>-202</w:t>
            </w:r>
            <w:r w:rsidR="00B40468" w:rsidRPr="00D7447D">
              <w:rPr>
                <w:rFonts w:ascii="Times New Roman" w:hAnsi="Times New Roman" w:cs="Times New Roman"/>
                <w:sz w:val="24"/>
                <w:szCs w:val="24"/>
              </w:rPr>
              <w:t>5</w:t>
            </w:r>
          </w:p>
        </w:tc>
      </w:tr>
      <w:tr w:rsidR="00EC65E8" w:rsidRPr="00D7447D" w14:paraId="26DA1371" w14:textId="77777777" w:rsidTr="00B4046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vMerge w:val="restart"/>
            <w:hideMark/>
          </w:tcPr>
          <w:p w14:paraId="7272DADE" w14:textId="77777777" w:rsidR="00EC65E8" w:rsidRPr="00D7447D" w:rsidRDefault="00EC65E8" w:rsidP="000B3CCC">
            <w:pPr>
              <w:spacing w:line="276" w:lineRule="auto"/>
              <w:jc w:val="center"/>
              <w:rPr>
                <w:rFonts w:ascii="Times New Roman" w:hAnsi="Times New Roman" w:cs="Times New Roman"/>
                <w:color w:val="2E74B5" w:themeColor="accent1" w:themeShade="BF"/>
                <w:sz w:val="24"/>
                <w:szCs w:val="24"/>
              </w:rPr>
            </w:pPr>
          </w:p>
        </w:tc>
        <w:tc>
          <w:tcPr>
            <w:tcW w:w="4342" w:type="dxa"/>
            <w:gridSpan w:val="4"/>
          </w:tcPr>
          <w:p w14:paraId="3B437B32" w14:textId="77777777" w:rsidR="00EC65E8" w:rsidRPr="00D7447D" w:rsidRDefault="00EC65E8"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 xml:space="preserve">Shpenzimet totale </w:t>
            </w:r>
          </w:p>
        </w:tc>
      </w:tr>
      <w:tr w:rsidR="00EC65E8" w:rsidRPr="00D7447D" w14:paraId="5BC820FB" w14:textId="77777777" w:rsidTr="00B40468">
        <w:trPr>
          <w:trHeight w:val="367"/>
        </w:trPr>
        <w:tc>
          <w:tcPr>
            <w:cnfStyle w:val="001000000000" w:firstRow="0" w:lastRow="0" w:firstColumn="1" w:lastColumn="0" w:oddVBand="0" w:evenVBand="0" w:oddHBand="0" w:evenHBand="0" w:firstRowFirstColumn="0" w:firstRowLastColumn="0" w:lastRowFirstColumn="0" w:lastRowLastColumn="0"/>
            <w:tcW w:w="3875" w:type="dxa"/>
            <w:gridSpan w:val="2"/>
            <w:vMerge/>
            <w:hideMark/>
          </w:tcPr>
          <w:p w14:paraId="1728AD92" w14:textId="77777777" w:rsidR="00EC65E8" w:rsidRPr="00D7447D" w:rsidRDefault="00EC65E8" w:rsidP="000B3CCC">
            <w:pPr>
              <w:spacing w:line="276" w:lineRule="auto"/>
              <w:rPr>
                <w:rFonts w:ascii="Times New Roman" w:hAnsi="Times New Roman" w:cs="Times New Roman"/>
                <w:color w:val="000080"/>
                <w:sz w:val="24"/>
                <w:szCs w:val="24"/>
              </w:rPr>
            </w:pPr>
          </w:p>
        </w:tc>
        <w:tc>
          <w:tcPr>
            <w:tcW w:w="1223" w:type="dxa"/>
            <w:noWrap/>
            <w:hideMark/>
          </w:tcPr>
          <w:p w14:paraId="0E977383" w14:textId="4FA1270D" w:rsidR="00EC65E8" w:rsidRPr="00D7447D" w:rsidRDefault="00EC65E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Buxheti 202</w:t>
            </w:r>
            <w:r w:rsidR="00B40468" w:rsidRPr="00D7447D">
              <w:rPr>
                <w:rFonts w:ascii="Times New Roman" w:hAnsi="Times New Roman" w:cs="Times New Roman"/>
                <w:b/>
                <w:bCs/>
                <w:color w:val="2E74B5" w:themeColor="accent1" w:themeShade="BF"/>
                <w:sz w:val="24"/>
                <w:szCs w:val="24"/>
              </w:rPr>
              <w:t>2</w:t>
            </w:r>
          </w:p>
        </w:tc>
        <w:tc>
          <w:tcPr>
            <w:tcW w:w="926" w:type="dxa"/>
            <w:noWrap/>
            <w:hideMark/>
          </w:tcPr>
          <w:p w14:paraId="63372847" w14:textId="39BE4541" w:rsidR="00EC65E8" w:rsidRPr="00D7447D" w:rsidRDefault="00EC65E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PBA 202</w:t>
            </w:r>
            <w:r w:rsidR="00B40468" w:rsidRPr="00D7447D">
              <w:rPr>
                <w:rFonts w:ascii="Times New Roman" w:hAnsi="Times New Roman" w:cs="Times New Roman"/>
                <w:b/>
                <w:bCs/>
                <w:color w:val="2E74B5" w:themeColor="accent1" w:themeShade="BF"/>
                <w:sz w:val="24"/>
                <w:szCs w:val="24"/>
              </w:rPr>
              <w:t>3</w:t>
            </w:r>
          </w:p>
        </w:tc>
        <w:tc>
          <w:tcPr>
            <w:tcW w:w="1080" w:type="dxa"/>
            <w:noWrap/>
            <w:hideMark/>
          </w:tcPr>
          <w:p w14:paraId="561114C4" w14:textId="14661A98" w:rsidR="00EC65E8" w:rsidRPr="00D7447D" w:rsidRDefault="00EC65E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PBA 202</w:t>
            </w:r>
            <w:r w:rsidR="00B40468" w:rsidRPr="00D7447D">
              <w:rPr>
                <w:rFonts w:ascii="Times New Roman" w:hAnsi="Times New Roman" w:cs="Times New Roman"/>
                <w:b/>
                <w:bCs/>
                <w:color w:val="2E74B5" w:themeColor="accent1" w:themeShade="BF"/>
                <w:sz w:val="24"/>
                <w:szCs w:val="24"/>
              </w:rPr>
              <w:t>4</w:t>
            </w:r>
          </w:p>
        </w:tc>
        <w:tc>
          <w:tcPr>
            <w:tcW w:w="1113" w:type="dxa"/>
            <w:noWrap/>
            <w:hideMark/>
          </w:tcPr>
          <w:p w14:paraId="68568F66" w14:textId="09B3959C" w:rsidR="00EC65E8" w:rsidRPr="00D7447D" w:rsidRDefault="00EC65E8"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2E74B5" w:themeColor="accent1" w:themeShade="BF"/>
                <w:sz w:val="24"/>
                <w:szCs w:val="24"/>
              </w:rPr>
            </w:pPr>
            <w:r w:rsidRPr="00D7447D">
              <w:rPr>
                <w:rFonts w:ascii="Times New Roman" w:hAnsi="Times New Roman" w:cs="Times New Roman"/>
                <w:b/>
                <w:bCs/>
                <w:color w:val="2E74B5" w:themeColor="accent1" w:themeShade="BF"/>
                <w:sz w:val="24"/>
                <w:szCs w:val="24"/>
              </w:rPr>
              <w:t>PBA 202</w:t>
            </w:r>
            <w:r w:rsidR="00B40468" w:rsidRPr="00D7447D">
              <w:rPr>
                <w:rFonts w:ascii="Times New Roman" w:hAnsi="Times New Roman" w:cs="Times New Roman"/>
                <w:b/>
                <w:bCs/>
                <w:color w:val="2E74B5" w:themeColor="accent1" w:themeShade="BF"/>
                <w:sz w:val="24"/>
                <w:szCs w:val="24"/>
              </w:rPr>
              <w:t>5</w:t>
            </w:r>
          </w:p>
        </w:tc>
      </w:tr>
      <w:tr w:rsidR="00FB4F57" w:rsidRPr="00D7447D" w14:paraId="381F5278" w14:textId="77777777" w:rsidTr="00FB4F5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27A630BA" w14:textId="77777777" w:rsidR="00FB4F57" w:rsidRPr="00D7447D" w:rsidRDefault="00FB4F57" w:rsidP="000B3CCC">
            <w:pPr>
              <w:spacing w:line="276" w:lineRule="auto"/>
              <w:rPr>
                <w:rFonts w:ascii="Times New Roman" w:hAnsi="Times New Roman" w:cs="Times New Roman"/>
                <w:sz w:val="24"/>
                <w:szCs w:val="24"/>
              </w:rPr>
            </w:pPr>
            <w:r w:rsidRPr="00D7447D">
              <w:rPr>
                <w:rFonts w:ascii="Times New Roman" w:hAnsi="Times New Roman" w:cs="Times New Roman"/>
                <w:sz w:val="24"/>
                <w:szCs w:val="24"/>
              </w:rPr>
              <w:t>në milion lek</w:t>
            </w:r>
          </w:p>
        </w:tc>
        <w:tc>
          <w:tcPr>
            <w:tcW w:w="1223" w:type="dxa"/>
            <w:noWrap/>
            <w:vAlign w:val="center"/>
          </w:tcPr>
          <w:p w14:paraId="2DA8067F" w14:textId="324BA484"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color w:val="000000"/>
                <w:sz w:val="24"/>
                <w:szCs w:val="24"/>
              </w:rPr>
              <w:t>65,843</w:t>
            </w:r>
          </w:p>
        </w:tc>
        <w:tc>
          <w:tcPr>
            <w:tcW w:w="926" w:type="dxa"/>
            <w:noWrap/>
            <w:vAlign w:val="center"/>
          </w:tcPr>
          <w:p w14:paraId="220DEF16" w14:textId="7BE86681"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color w:val="000000"/>
                <w:sz w:val="24"/>
                <w:szCs w:val="24"/>
              </w:rPr>
              <w:t>66,341</w:t>
            </w:r>
          </w:p>
        </w:tc>
        <w:tc>
          <w:tcPr>
            <w:tcW w:w="1080" w:type="dxa"/>
            <w:noWrap/>
            <w:vAlign w:val="center"/>
          </w:tcPr>
          <w:p w14:paraId="0B99D445" w14:textId="3ADBC1C8"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color w:val="000000"/>
                <w:sz w:val="24"/>
                <w:szCs w:val="24"/>
              </w:rPr>
              <w:t>69,673</w:t>
            </w:r>
          </w:p>
        </w:tc>
        <w:tc>
          <w:tcPr>
            <w:tcW w:w="1113" w:type="dxa"/>
            <w:noWrap/>
            <w:vAlign w:val="center"/>
          </w:tcPr>
          <w:p w14:paraId="2771142A" w14:textId="49713AD5"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color w:val="000000"/>
                <w:sz w:val="24"/>
                <w:szCs w:val="24"/>
              </w:rPr>
              <w:t>72,513</w:t>
            </w:r>
          </w:p>
        </w:tc>
      </w:tr>
      <w:tr w:rsidR="00FB4F57" w:rsidRPr="00D7447D" w14:paraId="7FCAED0A" w14:textId="77777777" w:rsidTr="00B40468">
        <w:trPr>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hideMark/>
          </w:tcPr>
          <w:p w14:paraId="24AB9CD0" w14:textId="77777777" w:rsidR="00FB4F57" w:rsidRPr="00D7447D" w:rsidRDefault="00FB4F57" w:rsidP="000B3CCC">
            <w:pPr>
              <w:spacing w:line="276" w:lineRule="auto"/>
              <w:rPr>
                <w:rFonts w:ascii="Times New Roman" w:hAnsi="Times New Roman" w:cs="Times New Roman"/>
                <w:sz w:val="24"/>
                <w:szCs w:val="24"/>
              </w:rPr>
            </w:pPr>
            <w:r w:rsidRPr="00D7447D">
              <w:rPr>
                <w:rFonts w:ascii="Times New Roman" w:hAnsi="Times New Roman" w:cs="Times New Roman"/>
                <w:sz w:val="24"/>
                <w:szCs w:val="24"/>
              </w:rPr>
              <w:t>% ndaj PBB</w:t>
            </w:r>
          </w:p>
        </w:tc>
        <w:tc>
          <w:tcPr>
            <w:tcW w:w="1223" w:type="dxa"/>
            <w:noWrap/>
            <w:hideMark/>
          </w:tcPr>
          <w:p w14:paraId="66AB9B85" w14:textId="4BCAE41D" w:rsidR="00FB4F57" w:rsidRPr="00D7447D" w:rsidRDefault="00FB4F57"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3.5%</w:t>
            </w:r>
          </w:p>
        </w:tc>
        <w:tc>
          <w:tcPr>
            <w:tcW w:w="926" w:type="dxa"/>
            <w:noWrap/>
            <w:hideMark/>
          </w:tcPr>
          <w:p w14:paraId="607A33DA" w14:textId="6422BCAB" w:rsidR="00FB4F57" w:rsidRPr="00D7447D" w:rsidRDefault="00FB4F57"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3.4%</w:t>
            </w:r>
          </w:p>
        </w:tc>
        <w:tc>
          <w:tcPr>
            <w:tcW w:w="1080" w:type="dxa"/>
            <w:noWrap/>
            <w:hideMark/>
          </w:tcPr>
          <w:p w14:paraId="4B2419AC" w14:textId="3A271284" w:rsidR="00FB4F57" w:rsidRPr="00D7447D" w:rsidRDefault="00FB4F57"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3.4%</w:t>
            </w:r>
          </w:p>
        </w:tc>
        <w:tc>
          <w:tcPr>
            <w:tcW w:w="1113" w:type="dxa"/>
            <w:noWrap/>
            <w:hideMark/>
          </w:tcPr>
          <w:p w14:paraId="42F9AF67" w14:textId="3DE590C7" w:rsidR="00FB4F57" w:rsidRPr="00D7447D" w:rsidRDefault="00FB4F57" w:rsidP="000B3C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3.3%</w:t>
            </w:r>
          </w:p>
        </w:tc>
      </w:tr>
      <w:tr w:rsidR="00FB4F57" w:rsidRPr="00D7447D" w14:paraId="3F4BFC07" w14:textId="77777777" w:rsidTr="00B4046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875" w:type="dxa"/>
            <w:gridSpan w:val="2"/>
            <w:noWrap/>
          </w:tcPr>
          <w:p w14:paraId="26F484AE" w14:textId="77777777" w:rsidR="00FB4F57" w:rsidRPr="00D7447D" w:rsidRDefault="00FB4F57" w:rsidP="000B3CCC">
            <w:pPr>
              <w:spacing w:line="276" w:lineRule="auto"/>
              <w:rPr>
                <w:rFonts w:ascii="Times New Roman" w:hAnsi="Times New Roman" w:cs="Times New Roman"/>
                <w:sz w:val="24"/>
                <w:szCs w:val="24"/>
              </w:rPr>
            </w:pPr>
            <w:r w:rsidRPr="00D7447D">
              <w:rPr>
                <w:rFonts w:ascii="Times New Roman" w:hAnsi="Times New Roman" w:cs="Times New Roman"/>
                <w:sz w:val="24"/>
                <w:szCs w:val="24"/>
              </w:rPr>
              <w:t>% ndaj totalit të Shpenzimeve Buxhetore</w:t>
            </w:r>
          </w:p>
        </w:tc>
        <w:tc>
          <w:tcPr>
            <w:tcW w:w="1223" w:type="dxa"/>
            <w:noWrap/>
          </w:tcPr>
          <w:p w14:paraId="0D92DE5B" w14:textId="30378CAB"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10.3%</w:t>
            </w:r>
          </w:p>
        </w:tc>
        <w:tc>
          <w:tcPr>
            <w:tcW w:w="926" w:type="dxa"/>
            <w:noWrap/>
          </w:tcPr>
          <w:p w14:paraId="5669060D" w14:textId="7EE41E01"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10.6%</w:t>
            </w:r>
          </w:p>
        </w:tc>
        <w:tc>
          <w:tcPr>
            <w:tcW w:w="1080" w:type="dxa"/>
            <w:noWrap/>
          </w:tcPr>
          <w:p w14:paraId="1619F505" w14:textId="4D734395"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10.5%</w:t>
            </w:r>
          </w:p>
        </w:tc>
        <w:tc>
          <w:tcPr>
            <w:tcW w:w="1113" w:type="dxa"/>
            <w:noWrap/>
          </w:tcPr>
          <w:p w14:paraId="7CD9818D" w14:textId="130E61BF" w:rsidR="00FB4F57" w:rsidRPr="00D7447D" w:rsidRDefault="00FB4F57" w:rsidP="000B3CC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7447D">
              <w:rPr>
                <w:rFonts w:ascii="Times New Roman" w:hAnsi="Times New Roman" w:cs="Times New Roman"/>
                <w:sz w:val="24"/>
                <w:szCs w:val="24"/>
              </w:rPr>
              <w:t>10.4%</w:t>
            </w:r>
          </w:p>
        </w:tc>
      </w:tr>
    </w:tbl>
    <w:p w14:paraId="6110717B" w14:textId="77777777" w:rsidR="004E5DAE" w:rsidRPr="00D7447D" w:rsidRDefault="004E5DAE" w:rsidP="000B3CCC">
      <w:pPr>
        <w:spacing w:line="276" w:lineRule="auto"/>
        <w:rPr>
          <w:rFonts w:ascii="Times New Roman" w:eastAsiaTheme="minorHAnsi" w:hAnsi="Times New Roman" w:cs="Times New Roman"/>
          <w:sz w:val="24"/>
          <w:szCs w:val="24"/>
        </w:rPr>
      </w:pPr>
    </w:p>
    <w:p w14:paraId="4EDE6CD3" w14:textId="7854B48F" w:rsidR="004E5DAE" w:rsidRPr="00D7447D" w:rsidRDefault="008F1DF6" w:rsidP="000B3CCC">
      <w:pPr>
        <w:pStyle w:val="Heading3"/>
        <w:spacing w:line="276" w:lineRule="auto"/>
        <w:rPr>
          <w:rFonts w:ascii="Times New Roman" w:hAnsi="Times New Roman" w:cs="Times New Roman"/>
          <w:b/>
          <w:color w:val="auto"/>
        </w:rPr>
      </w:pPr>
      <w:r w:rsidRPr="00D7447D">
        <w:rPr>
          <w:rFonts w:ascii="Times New Roman" w:hAnsi="Times New Roman" w:cs="Times New Roman"/>
          <w:b/>
          <w:color w:val="auto"/>
        </w:rPr>
        <w:t>Prioritetet për periudhën 202</w:t>
      </w:r>
      <w:r w:rsidR="00C74A45" w:rsidRPr="00D7447D">
        <w:rPr>
          <w:rFonts w:ascii="Times New Roman" w:hAnsi="Times New Roman" w:cs="Times New Roman"/>
          <w:b/>
          <w:color w:val="auto"/>
        </w:rPr>
        <w:t>3</w:t>
      </w:r>
      <w:r w:rsidRPr="00D7447D">
        <w:rPr>
          <w:rFonts w:ascii="Times New Roman" w:hAnsi="Times New Roman" w:cs="Times New Roman"/>
          <w:b/>
          <w:color w:val="auto"/>
        </w:rPr>
        <w:t>-202</w:t>
      </w:r>
      <w:r w:rsidR="00C74A45" w:rsidRPr="00D7447D">
        <w:rPr>
          <w:rFonts w:ascii="Times New Roman" w:hAnsi="Times New Roman" w:cs="Times New Roman"/>
          <w:b/>
          <w:color w:val="auto"/>
        </w:rPr>
        <w:t>5</w:t>
      </w:r>
    </w:p>
    <w:p w14:paraId="4601BF22" w14:textId="77777777" w:rsidR="004E5DAE" w:rsidRPr="00D7447D" w:rsidRDefault="004E5DAE" w:rsidP="000B3CCC">
      <w:pPr>
        <w:numPr>
          <w:ilvl w:val="0"/>
          <w:numId w:val="11"/>
        </w:numPr>
        <w:spacing w:after="20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Mirëplanifikim i shpenzimeve dhe mir</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administrim i të ardhurave me qëllim mbështetjen e një rritje ekonomike të shpejtë dhe të qëndrueshme;</w:t>
      </w:r>
    </w:p>
    <w:p w14:paraId="4C0E4515" w14:textId="77777777" w:rsidR="004E5DAE" w:rsidRPr="00D7447D" w:rsidRDefault="004E5DAE" w:rsidP="000B3CCC">
      <w:pPr>
        <w:numPr>
          <w:ilvl w:val="0"/>
          <w:numId w:val="11"/>
        </w:numPr>
        <w:spacing w:after="20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14:paraId="5A7D0647" w14:textId="77777777" w:rsidR="004E5DAE" w:rsidRPr="00D7447D" w:rsidRDefault="004E5DAE" w:rsidP="000B3CCC">
      <w:pPr>
        <w:numPr>
          <w:ilvl w:val="0"/>
          <w:numId w:val="11"/>
        </w:numPr>
        <w:spacing w:after="20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Nxitja e eksporteve dhe rritjes së konkurrueshm</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ris</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së SME-ve nëpërmjet promovimit të eksporteve, ofrim</w:t>
      </w:r>
      <w:r w:rsidR="00BD2FAF" w:rsidRPr="00D7447D">
        <w:rPr>
          <w:rFonts w:ascii="Times New Roman" w:eastAsiaTheme="minorHAnsi" w:hAnsi="Times New Roman" w:cs="Times New Roman"/>
          <w:sz w:val="24"/>
          <w:szCs w:val="24"/>
          <w:lang w:val="sq-AL"/>
        </w:rPr>
        <w:t>it të shërbimeve mbështetëse si dhe, programet</w:t>
      </w:r>
      <w:r w:rsidRPr="00D7447D">
        <w:rPr>
          <w:rFonts w:ascii="Times New Roman" w:eastAsiaTheme="minorHAnsi" w:hAnsi="Times New Roman" w:cs="Times New Roman"/>
          <w:sz w:val="24"/>
          <w:szCs w:val="24"/>
          <w:lang w:val="sq-AL"/>
        </w:rPr>
        <w:t xml:space="preserve"> mbështetjes financiare me anë të granteve;</w:t>
      </w:r>
    </w:p>
    <w:p w14:paraId="0966AEDC" w14:textId="77777777" w:rsidR="004E5DAE" w:rsidRPr="00D7447D" w:rsidRDefault="004E5DAE" w:rsidP="000B3CCC">
      <w:pPr>
        <w:numPr>
          <w:ilvl w:val="0"/>
          <w:numId w:val="11"/>
        </w:numPr>
        <w:spacing w:after="20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Rritja e pjesëmarrjes së punëkërkuesve 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papun</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nga grupet e ve</w:t>
      </w:r>
      <w:r w:rsidR="00DD7795" w:rsidRPr="00D7447D">
        <w:rPr>
          <w:rFonts w:ascii="Times New Roman" w:eastAsiaTheme="minorHAnsi" w:hAnsi="Times New Roman" w:cs="Times New Roman"/>
          <w:sz w:val="24"/>
          <w:szCs w:val="24"/>
          <w:lang w:val="sq-AL"/>
        </w:rPr>
        <w:t>ç</w:t>
      </w:r>
      <w:r w:rsidRPr="00D7447D">
        <w:rPr>
          <w:rFonts w:ascii="Times New Roman" w:eastAsiaTheme="minorHAnsi" w:hAnsi="Times New Roman" w:cs="Times New Roman"/>
          <w:sz w:val="24"/>
          <w:szCs w:val="24"/>
          <w:lang w:val="sq-AL"/>
        </w:rPr>
        <w:t>anta me mbi 50% 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totalit 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rfitues</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w:t>
      </w:r>
    </w:p>
    <w:p w14:paraId="434ED1F6" w14:textId="77777777" w:rsidR="004E5DAE" w:rsidRPr="00D7447D" w:rsidRDefault="004E5DAE" w:rsidP="000B3CCC">
      <w:pPr>
        <w:numPr>
          <w:ilvl w:val="0"/>
          <w:numId w:val="11"/>
        </w:numPr>
        <w:spacing w:after="20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Ofrimi i formimit profesional cilësor për të rinjtë dhe të rriturit, në përputhje me kërkesat e tregut 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pun</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s, rritja e mund</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sis</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 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nx</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nit gjat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gjith</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jet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s si për burrat dhe për gratë dhe përshtatja me mundësit</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e punësimit të ofruara nga tregu i punës;</w:t>
      </w:r>
    </w:p>
    <w:p w14:paraId="41D9B25E" w14:textId="60F223A3" w:rsidR="004E5DAE" w:rsidRPr="00D7447D" w:rsidRDefault="004E5DAE" w:rsidP="000B3CCC">
      <w:pPr>
        <w:numPr>
          <w:ilvl w:val="0"/>
          <w:numId w:val="11"/>
        </w:numPr>
        <w:spacing w:after="20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Rritja e aksesit në Arsimin e Mesëm Profesio</w:t>
      </w:r>
      <w:r w:rsidR="00564CA7" w:rsidRPr="00D7447D">
        <w:rPr>
          <w:rFonts w:ascii="Times New Roman" w:eastAsiaTheme="minorHAnsi" w:hAnsi="Times New Roman" w:cs="Times New Roman"/>
          <w:sz w:val="24"/>
          <w:szCs w:val="24"/>
          <w:lang w:val="sq-AL"/>
        </w:rPr>
        <w:t>nal duke synuar që në vitin 202</w:t>
      </w:r>
      <w:r w:rsidR="00C74A45" w:rsidRPr="00D7447D">
        <w:rPr>
          <w:rFonts w:ascii="Times New Roman" w:eastAsiaTheme="minorHAnsi" w:hAnsi="Times New Roman" w:cs="Times New Roman"/>
          <w:sz w:val="24"/>
          <w:szCs w:val="24"/>
          <w:lang w:val="sq-AL"/>
        </w:rPr>
        <w:t>5</w:t>
      </w:r>
      <w:r w:rsidR="009F6936" w:rsidRPr="00D7447D">
        <w:rPr>
          <w:rFonts w:ascii="Times New Roman" w:eastAsiaTheme="minorHAnsi" w:hAnsi="Times New Roman" w:cs="Times New Roman"/>
          <w:sz w:val="24"/>
          <w:szCs w:val="24"/>
          <w:lang w:val="sq-AL"/>
        </w:rPr>
        <w:t xml:space="preserve"> të tërhiqen 19.5</w:t>
      </w:r>
      <w:r w:rsidRPr="00D7447D">
        <w:rPr>
          <w:rFonts w:ascii="Times New Roman" w:eastAsiaTheme="minorHAnsi" w:hAnsi="Times New Roman" w:cs="Times New Roman"/>
          <w:sz w:val="24"/>
          <w:szCs w:val="24"/>
          <w:lang w:val="sq-AL"/>
        </w:rPr>
        <w:t>% e nxënësve që ndjekin ci</w:t>
      </w:r>
      <w:r w:rsidR="009F6936" w:rsidRPr="00D7447D">
        <w:rPr>
          <w:rFonts w:ascii="Times New Roman" w:eastAsiaTheme="minorHAnsi" w:hAnsi="Times New Roman" w:cs="Times New Roman"/>
          <w:sz w:val="24"/>
          <w:szCs w:val="24"/>
          <w:lang w:val="sq-AL"/>
        </w:rPr>
        <w:t>klin e Arsimit e Mesëm, nga 18</w:t>
      </w:r>
      <w:r w:rsidRPr="00D7447D">
        <w:rPr>
          <w:rFonts w:ascii="Times New Roman" w:eastAsiaTheme="minorHAnsi" w:hAnsi="Times New Roman" w:cs="Times New Roman"/>
          <w:sz w:val="24"/>
          <w:szCs w:val="24"/>
          <w:lang w:val="sq-AL"/>
        </w:rPr>
        <w:t>% q</w:t>
      </w:r>
      <w:r w:rsidR="009F6936" w:rsidRPr="00D7447D">
        <w:rPr>
          <w:rFonts w:ascii="Times New Roman" w:eastAsiaTheme="minorHAnsi" w:hAnsi="Times New Roman" w:cs="Times New Roman"/>
          <w:sz w:val="24"/>
          <w:szCs w:val="24"/>
          <w:lang w:val="sq-AL"/>
        </w:rPr>
        <w:t>ë parashikohet të arrijë në</w:t>
      </w:r>
      <w:r w:rsidR="00564CA7" w:rsidRPr="00D7447D">
        <w:rPr>
          <w:rFonts w:ascii="Times New Roman" w:eastAsiaTheme="minorHAnsi" w:hAnsi="Times New Roman" w:cs="Times New Roman"/>
          <w:sz w:val="24"/>
          <w:szCs w:val="24"/>
          <w:lang w:val="sq-AL"/>
        </w:rPr>
        <w:t xml:space="preserve"> fund t</w:t>
      </w:r>
      <w:r w:rsidR="00D717E4" w:rsidRPr="00D7447D">
        <w:rPr>
          <w:rFonts w:ascii="Times New Roman" w:eastAsiaTheme="minorHAnsi" w:hAnsi="Times New Roman" w:cs="Times New Roman"/>
          <w:sz w:val="24"/>
          <w:szCs w:val="24"/>
          <w:lang w:val="sq-AL"/>
        </w:rPr>
        <w:t>ë</w:t>
      </w:r>
      <w:r w:rsidR="00564CA7" w:rsidRPr="00D7447D">
        <w:rPr>
          <w:rFonts w:ascii="Times New Roman" w:eastAsiaTheme="minorHAnsi" w:hAnsi="Times New Roman" w:cs="Times New Roman"/>
          <w:sz w:val="24"/>
          <w:szCs w:val="24"/>
          <w:lang w:val="sq-AL"/>
        </w:rPr>
        <w:t xml:space="preserve"> vitit</w:t>
      </w:r>
      <w:r w:rsidR="009F6936" w:rsidRPr="00D7447D">
        <w:rPr>
          <w:rFonts w:ascii="Times New Roman" w:eastAsiaTheme="minorHAnsi" w:hAnsi="Times New Roman" w:cs="Times New Roman"/>
          <w:sz w:val="24"/>
          <w:szCs w:val="24"/>
          <w:lang w:val="sq-AL"/>
        </w:rPr>
        <w:t xml:space="preserve"> </w:t>
      </w:r>
      <w:r w:rsidR="00C630D9" w:rsidRPr="00D7447D">
        <w:rPr>
          <w:rFonts w:ascii="Times New Roman" w:eastAsiaTheme="minorHAnsi" w:hAnsi="Times New Roman" w:cs="Times New Roman"/>
          <w:sz w:val="24"/>
          <w:szCs w:val="24"/>
          <w:lang w:val="sq-AL"/>
        </w:rPr>
        <w:t>2021</w:t>
      </w:r>
      <w:r w:rsidRPr="00D7447D">
        <w:rPr>
          <w:rFonts w:ascii="Times New Roman" w:eastAsiaTheme="minorHAnsi" w:hAnsi="Times New Roman" w:cs="Times New Roman"/>
          <w:sz w:val="24"/>
          <w:szCs w:val="24"/>
          <w:lang w:val="sq-AL"/>
        </w:rPr>
        <w:t>;</w:t>
      </w:r>
    </w:p>
    <w:p w14:paraId="579C9E7B" w14:textId="619628F3" w:rsidR="00E07695" w:rsidRPr="00D7447D" w:rsidRDefault="004E5DAE" w:rsidP="000B3CCC">
      <w:pPr>
        <w:numPr>
          <w:ilvl w:val="0"/>
          <w:numId w:val="11"/>
        </w:numPr>
        <w:spacing w:after="20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Mundësimi i strehimit për rreth 42% të familjeve të pastreha të</w:t>
      </w:r>
      <w:r w:rsidR="009F6936" w:rsidRPr="00D7447D">
        <w:rPr>
          <w:rFonts w:ascii="Times New Roman" w:eastAsiaTheme="minorHAnsi" w:hAnsi="Times New Roman" w:cs="Times New Roman"/>
          <w:sz w:val="24"/>
          <w:szCs w:val="24"/>
          <w:lang w:val="sq-AL"/>
        </w:rPr>
        <w:t xml:space="preserve"> regjistruara deri në vitin 202</w:t>
      </w:r>
      <w:r w:rsidR="00C74A45" w:rsidRPr="00D7447D">
        <w:rPr>
          <w:rFonts w:ascii="Times New Roman" w:eastAsiaTheme="minorHAnsi" w:hAnsi="Times New Roman" w:cs="Times New Roman"/>
          <w:sz w:val="24"/>
          <w:szCs w:val="24"/>
          <w:lang w:val="sq-AL"/>
        </w:rPr>
        <w:t>4</w:t>
      </w:r>
      <w:r w:rsidR="00445EE9" w:rsidRPr="00D7447D">
        <w:rPr>
          <w:rFonts w:ascii="Times New Roman" w:eastAsiaTheme="minorHAnsi" w:hAnsi="Times New Roman" w:cs="Times New Roman"/>
          <w:sz w:val="24"/>
          <w:szCs w:val="24"/>
          <w:lang w:val="sq-AL"/>
        </w:rPr>
        <w:t xml:space="preserve">, krahasuar me </w:t>
      </w:r>
      <w:r w:rsidR="009E4C89" w:rsidRPr="00D7447D">
        <w:rPr>
          <w:rFonts w:ascii="Times New Roman" w:eastAsiaTheme="minorHAnsi" w:hAnsi="Times New Roman" w:cs="Times New Roman"/>
          <w:sz w:val="24"/>
          <w:szCs w:val="24"/>
          <w:lang w:val="sq-AL"/>
        </w:rPr>
        <w:t>11</w:t>
      </w:r>
      <w:r w:rsidRPr="00D7447D">
        <w:rPr>
          <w:rFonts w:ascii="Times New Roman" w:eastAsiaTheme="minorHAnsi" w:hAnsi="Times New Roman" w:cs="Times New Roman"/>
          <w:sz w:val="24"/>
          <w:szCs w:val="24"/>
          <w:lang w:val="sq-AL"/>
        </w:rPr>
        <w:t>% që parashikohet të stre</w:t>
      </w:r>
      <w:r w:rsidR="00445EE9" w:rsidRPr="00D7447D">
        <w:rPr>
          <w:rFonts w:ascii="Times New Roman" w:eastAsiaTheme="minorHAnsi" w:hAnsi="Times New Roman" w:cs="Times New Roman"/>
          <w:sz w:val="24"/>
          <w:szCs w:val="24"/>
          <w:lang w:val="sq-AL"/>
        </w:rPr>
        <w:t>hohen de</w:t>
      </w:r>
      <w:r w:rsidR="009F6936" w:rsidRPr="00D7447D">
        <w:rPr>
          <w:rFonts w:ascii="Times New Roman" w:eastAsiaTheme="minorHAnsi" w:hAnsi="Times New Roman" w:cs="Times New Roman"/>
          <w:sz w:val="24"/>
          <w:szCs w:val="24"/>
          <w:lang w:val="sq-AL"/>
        </w:rPr>
        <w:t xml:space="preserve">ri në fund të vitit </w:t>
      </w:r>
      <w:r w:rsidR="00C630D9" w:rsidRPr="00D7447D">
        <w:rPr>
          <w:rFonts w:ascii="Times New Roman" w:eastAsiaTheme="minorHAnsi" w:hAnsi="Times New Roman" w:cs="Times New Roman"/>
          <w:sz w:val="24"/>
          <w:szCs w:val="24"/>
          <w:lang w:val="sq-AL"/>
        </w:rPr>
        <w:t>202</w:t>
      </w:r>
      <w:r w:rsidR="009E4C89"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 xml:space="preserve">.  </w:t>
      </w:r>
    </w:p>
    <w:p w14:paraId="2E78C8D3" w14:textId="77777777" w:rsidR="004E5DAE" w:rsidRPr="00D7447D" w:rsidRDefault="004E5DAE" w:rsidP="000B3CCC">
      <w:pPr>
        <w:spacing w:line="276" w:lineRule="auto"/>
        <w:contextualSpacing/>
        <w:jc w:val="both"/>
        <w:rPr>
          <w:rFonts w:ascii="Times New Roman" w:eastAsiaTheme="minorHAnsi" w:hAnsi="Times New Roman" w:cs="Times New Roman"/>
          <w:b/>
          <w:sz w:val="24"/>
          <w:szCs w:val="24"/>
          <w:lang w:val="sq-AL"/>
        </w:rPr>
      </w:pPr>
    </w:p>
    <w:p w14:paraId="6ABD0EF5" w14:textId="495E5B18" w:rsidR="004E5DAE" w:rsidRPr="00D7447D" w:rsidRDefault="004E5DAE" w:rsidP="000B3CCC">
      <w:pPr>
        <w:spacing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b/>
          <w:sz w:val="24"/>
          <w:szCs w:val="24"/>
          <w:lang w:val="sq-AL"/>
        </w:rPr>
        <w:t xml:space="preserve">Tabela </w:t>
      </w:r>
      <w:r w:rsidR="00185105" w:rsidRPr="00D7447D">
        <w:rPr>
          <w:rFonts w:ascii="Times New Roman" w:eastAsiaTheme="minorHAnsi" w:hAnsi="Times New Roman" w:cs="Times New Roman"/>
          <w:b/>
          <w:sz w:val="24"/>
          <w:szCs w:val="24"/>
          <w:lang w:val="sq-AL"/>
        </w:rPr>
        <w:t>28</w:t>
      </w:r>
      <w:r w:rsidRPr="00D7447D">
        <w:rPr>
          <w:rFonts w:ascii="Times New Roman" w:eastAsiaTheme="minorHAnsi" w:hAnsi="Times New Roman" w:cs="Times New Roman"/>
          <w:sz w:val="24"/>
          <w:szCs w:val="24"/>
          <w:lang w:val="sq-AL"/>
        </w:rPr>
        <w:t xml:space="preserve">: </w:t>
      </w:r>
      <w:r w:rsidRPr="00D7447D">
        <w:rPr>
          <w:rFonts w:ascii="Times New Roman" w:eastAsia="Times New Roman" w:hAnsi="Times New Roman" w:cs="Times New Roman"/>
          <w:sz w:val="24"/>
          <w:szCs w:val="24"/>
          <w:lang w:val="sq-AL"/>
        </w:rPr>
        <w:t>Shpenzimet për Ministrinë e Fina</w:t>
      </w:r>
      <w:r w:rsidR="009466FD" w:rsidRPr="00D7447D">
        <w:rPr>
          <w:rFonts w:ascii="Times New Roman" w:eastAsia="Times New Roman" w:hAnsi="Times New Roman" w:cs="Times New Roman"/>
          <w:sz w:val="24"/>
          <w:szCs w:val="24"/>
          <w:lang w:val="sq-AL"/>
        </w:rPr>
        <w:t>ncave</w:t>
      </w:r>
      <w:r w:rsidR="00D65A8F" w:rsidRPr="00D7447D">
        <w:rPr>
          <w:rFonts w:ascii="Times New Roman" w:eastAsia="Times New Roman" w:hAnsi="Times New Roman" w:cs="Times New Roman"/>
          <w:sz w:val="24"/>
          <w:szCs w:val="24"/>
          <w:lang w:val="sq-AL"/>
        </w:rPr>
        <w:t xml:space="preserve"> dhe Ekonomisë për PBA 202</w:t>
      </w:r>
      <w:r w:rsidR="001D7C40" w:rsidRPr="00D7447D">
        <w:rPr>
          <w:rFonts w:ascii="Times New Roman" w:eastAsia="Times New Roman" w:hAnsi="Times New Roman" w:cs="Times New Roman"/>
          <w:sz w:val="24"/>
          <w:szCs w:val="24"/>
          <w:lang w:val="sq-AL"/>
        </w:rPr>
        <w:t>3</w:t>
      </w:r>
      <w:r w:rsidR="00D65A8F" w:rsidRPr="00D7447D">
        <w:rPr>
          <w:rFonts w:ascii="Times New Roman" w:eastAsia="Times New Roman" w:hAnsi="Times New Roman" w:cs="Times New Roman"/>
          <w:sz w:val="24"/>
          <w:szCs w:val="24"/>
          <w:lang w:val="sq-AL"/>
        </w:rPr>
        <w:t>-202</w:t>
      </w:r>
      <w:r w:rsidR="001D7C40" w:rsidRPr="00D7447D">
        <w:rPr>
          <w:rFonts w:ascii="Times New Roman" w:eastAsia="Times New Roman" w:hAnsi="Times New Roman" w:cs="Times New Roman"/>
          <w:sz w:val="24"/>
          <w:szCs w:val="24"/>
          <w:lang w:val="sq-AL"/>
        </w:rPr>
        <w:t>5</w:t>
      </w:r>
    </w:p>
    <w:p w14:paraId="71F3B1B4" w14:textId="42629F2D" w:rsidR="00521ADB" w:rsidRPr="00D7447D" w:rsidRDefault="00B40468" w:rsidP="000B3CCC">
      <w:pPr>
        <w:spacing w:line="276" w:lineRule="auto"/>
        <w:rPr>
          <w:rFonts w:ascii="Times New Roman" w:eastAsia="MS Gothic" w:hAnsi="Times New Roman" w:cs="Times New Roman"/>
          <w:b/>
          <w:bCs/>
          <w:color w:val="0070C0"/>
          <w:sz w:val="24"/>
          <w:szCs w:val="24"/>
          <w:lang w:val="en-GB"/>
        </w:rPr>
      </w:pPr>
      <w:r w:rsidRPr="00D7447D">
        <w:rPr>
          <w:rFonts w:ascii="Times New Roman" w:hAnsi="Times New Roman" w:cs="Times New Roman"/>
          <w:noProof/>
          <w:sz w:val="24"/>
          <w:szCs w:val="24"/>
        </w:rPr>
        <w:lastRenderedPageBreak/>
        <w:drawing>
          <wp:inline distT="0" distB="0" distL="0" distR="0" wp14:anchorId="5C814C34" wp14:editId="767BFD55">
            <wp:extent cx="5943600" cy="44316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43600" cy="4431665"/>
                    </a:xfrm>
                    <a:prstGeom prst="rect">
                      <a:avLst/>
                    </a:prstGeom>
                  </pic:spPr>
                </pic:pic>
              </a:graphicData>
            </a:graphic>
          </wp:inline>
        </w:drawing>
      </w:r>
    </w:p>
    <w:p w14:paraId="2CF54B64" w14:textId="77777777" w:rsidR="00DD7795" w:rsidRPr="00D7447D" w:rsidRDefault="004E5DAE" w:rsidP="000B3CCC">
      <w:pPr>
        <w:pStyle w:val="Heading3"/>
        <w:spacing w:line="276" w:lineRule="auto"/>
        <w:rPr>
          <w:rFonts w:ascii="Times New Roman" w:eastAsia="Calibri" w:hAnsi="Times New Roman" w:cs="Times New Roman"/>
          <w:b/>
          <w:color w:val="auto"/>
          <w:lang w:val="it-IT"/>
        </w:rPr>
      </w:pPr>
      <w:r w:rsidRPr="00D7447D">
        <w:rPr>
          <w:rFonts w:ascii="Times New Roman" w:eastAsia="Calibri" w:hAnsi="Times New Roman" w:cs="Times New Roman"/>
          <w:b/>
          <w:color w:val="auto"/>
          <w:lang w:val="it-IT"/>
        </w:rPr>
        <w:t>Përmbledhje e Treguesve Kyç të Performancës</w:t>
      </w:r>
    </w:p>
    <w:p w14:paraId="5959FEB0" w14:textId="77777777" w:rsidR="004E5DAE" w:rsidRPr="00D7447D" w:rsidRDefault="004E5DAE" w:rsidP="000B3CCC">
      <w:pPr>
        <w:spacing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Programi “</w:t>
      </w:r>
      <w:r w:rsidRPr="00D7447D">
        <w:rPr>
          <w:rFonts w:ascii="Times New Roman" w:eastAsiaTheme="minorHAnsi" w:hAnsi="Times New Roman" w:cs="Times New Roman"/>
          <w:i/>
          <w:sz w:val="24"/>
          <w:szCs w:val="24"/>
          <w:lang w:val="sq-AL"/>
        </w:rPr>
        <w:t>Menaxhimi i Shpenzimeve Publike</w:t>
      </w:r>
      <w:r w:rsidRPr="00D7447D">
        <w:rPr>
          <w:rFonts w:ascii="Times New Roman" w:eastAsiaTheme="minorHAnsi" w:hAnsi="Times New Roman" w:cs="Times New Roman"/>
          <w:sz w:val="24"/>
          <w:szCs w:val="24"/>
          <w:lang w:val="sq-AL"/>
        </w:rPr>
        <w:t>” synon të arrijë treguesit e mëposhtëm të performancës:</w:t>
      </w:r>
    </w:p>
    <w:p w14:paraId="6C8C8B17" w14:textId="4A68C8AB"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Të ardhurat tatimore </w:t>
      </w:r>
      <w:r w:rsidR="00DA2E56" w:rsidRPr="00D7447D">
        <w:rPr>
          <w:rFonts w:ascii="Times New Roman" w:eastAsiaTheme="minorHAnsi" w:hAnsi="Times New Roman" w:cs="Times New Roman"/>
          <w:sz w:val="24"/>
          <w:szCs w:val="24"/>
          <w:lang w:val="sq-AL"/>
        </w:rPr>
        <w:t>pa</w:t>
      </w:r>
      <w:r w:rsidR="00F41DCD" w:rsidRPr="00D7447D">
        <w:rPr>
          <w:rFonts w:ascii="Times New Roman" w:eastAsiaTheme="minorHAnsi" w:hAnsi="Times New Roman" w:cs="Times New Roman"/>
          <w:sz w:val="24"/>
          <w:szCs w:val="24"/>
          <w:lang w:val="sq-AL"/>
        </w:rPr>
        <w:t>rashikohen nivelin 27.</w:t>
      </w:r>
      <w:r w:rsidR="007427B0"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 të P</w:t>
      </w:r>
      <w:r w:rsidR="00DA2E56" w:rsidRPr="00D7447D">
        <w:rPr>
          <w:rFonts w:ascii="Times New Roman" w:eastAsiaTheme="minorHAnsi" w:hAnsi="Times New Roman" w:cs="Times New Roman"/>
          <w:sz w:val="24"/>
          <w:szCs w:val="24"/>
          <w:lang w:val="sq-AL"/>
        </w:rPr>
        <w:t xml:space="preserve">BB në vitin </w:t>
      </w:r>
      <w:r w:rsidR="00D65A8F" w:rsidRPr="00D7447D">
        <w:rPr>
          <w:rFonts w:ascii="Times New Roman" w:eastAsiaTheme="minorHAnsi" w:hAnsi="Times New Roman" w:cs="Times New Roman"/>
          <w:sz w:val="24"/>
          <w:szCs w:val="24"/>
          <w:lang w:val="sq-AL"/>
        </w:rPr>
        <w:t>202</w:t>
      </w:r>
      <w:r w:rsidR="007427B0" w:rsidRPr="00D7447D">
        <w:rPr>
          <w:rFonts w:ascii="Times New Roman" w:eastAsiaTheme="minorHAnsi" w:hAnsi="Times New Roman" w:cs="Times New Roman"/>
          <w:sz w:val="24"/>
          <w:szCs w:val="24"/>
          <w:lang w:val="sq-AL"/>
        </w:rPr>
        <w:t>5</w:t>
      </w:r>
      <w:r w:rsidR="00F41DCD" w:rsidRPr="00D7447D">
        <w:rPr>
          <w:rFonts w:ascii="Times New Roman" w:eastAsiaTheme="minorHAnsi" w:hAnsi="Times New Roman" w:cs="Times New Roman"/>
          <w:sz w:val="24"/>
          <w:szCs w:val="24"/>
          <w:lang w:val="sq-AL"/>
        </w:rPr>
        <w:t>, nga 2</w:t>
      </w:r>
      <w:r w:rsidR="007427B0" w:rsidRPr="00D7447D">
        <w:rPr>
          <w:rFonts w:ascii="Times New Roman" w:eastAsiaTheme="minorHAnsi" w:hAnsi="Times New Roman" w:cs="Times New Roman"/>
          <w:sz w:val="24"/>
          <w:szCs w:val="24"/>
          <w:lang w:val="sq-AL"/>
        </w:rPr>
        <w:t>6</w:t>
      </w:r>
      <w:r w:rsidR="00F41DCD" w:rsidRPr="00D7447D">
        <w:rPr>
          <w:rFonts w:ascii="Times New Roman" w:eastAsiaTheme="minorHAnsi" w:hAnsi="Times New Roman" w:cs="Times New Roman"/>
          <w:sz w:val="24"/>
          <w:szCs w:val="24"/>
          <w:lang w:val="sq-AL"/>
        </w:rPr>
        <w:t>.</w:t>
      </w:r>
      <w:r w:rsidR="007427B0" w:rsidRPr="00D7447D">
        <w:rPr>
          <w:rFonts w:ascii="Times New Roman" w:eastAsiaTheme="minorHAnsi" w:hAnsi="Times New Roman" w:cs="Times New Roman"/>
          <w:sz w:val="24"/>
          <w:szCs w:val="24"/>
          <w:lang w:val="sq-AL"/>
        </w:rPr>
        <w:t>8</w:t>
      </w:r>
      <w:r w:rsidR="00A256A5" w:rsidRPr="00D7447D">
        <w:rPr>
          <w:rFonts w:ascii="Times New Roman" w:eastAsiaTheme="minorHAnsi" w:hAnsi="Times New Roman" w:cs="Times New Roman"/>
          <w:sz w:val="24"/>
          <w:szCs w:val="24"/>
          <w:lang w:val="sq-AL"/>
        </w:rPr>
        <w:t xml:space="preserve">% që </w:t>
      </w:r>
      <w:r w:rsidR="00DA2E56" w:rsidRPr="00D7447D">
        <w:rPr>
          <w:rFonts w:ascii="Times New Roman" w:eastAsiaTheme="minorHAnsi" w:hAnsi="Times New Roman" w:cs="Times New Roman"/>
          <w:sz w:val="24"/>
          <w:szCs w:val="24"/>
          <w:lang w:val="sq-AL"/>
        </w:rPr>
        <w:t>është</w:t>
      </w:r>
      <w:r w:rsidRPr="00D7447D">
        <w:rPr>
          <w:rFonts w:ascii="Times New Roman" w:eastAsiaTheme="minorHAnsi" w:hAnsi="Times New Roman" w:cs="Times New Roman"/>
          <w:sz w:val="24"/>
          <w:szCs w:val="24"/>
          <w:lang w:val="sq-AL"/>
        </w:rPr>
        <w:t xml:space="preserve"> </w:t>
      </w:r>
      <w:r w:rsidR="00DA2E56" w:rsidRPr="00D7447D">
        <w:rPr>
          <w:rFonts w:ascii="Times New Roman" w:eastAsiaTheme="minorHAnsi" w:hAnsi="Times New Roman" w:cs="Times New Roman"/>
          <w:sz w:val="24"/>
          <w:szCs w:val="24"/>
          <w:lang w:val="sq-AL"/>
        </w:rPr>
        <w:t xml:space="preserve">parashikuar për vitin </w:t>
      </w:r>
      <w:r w:rsidR="00C630D9" w:rsidRPr="00D7447D">
        <w:rPr>
          <w:rFonts w:ascii="Times New Roman" w:eastAsiaTheme="minorHAnsi" w:hAnsi="Times New Roman" w:cs="Times New Roman"/>
          <w:sz w:val="24"/>
          <w:szCs w:val="24"/>
          <w:lang w:val="sq-AL"/>
        </w:rPr>
        <w:t>202</w:t>
      </w:r>
      <w:r w:rsidR="007427B0"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 xml:space="preserve">; </w:t>
      </w:r>
    </w:p>
    <w:p w14:paraId="66C0D36F" w14:textId="2E7AA4AD"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Niveli i Borxhit Publik parashikohet të ul</w:t>
      </w:r>
      <w:r w:rsidR="00A256A5" w:rsidRPr="00D7447D">
        <w:rPr>
          <w:rFonts w:ascii="Times New Roman" w:eastAsiaTheme="minorHAnsi" w:hAnsi="Times New Roman" w:cs="Times New Roman"/>
          <w:sz w:val="24"/>
          <w:szCs w:val="24"/>
          <w:lang w:val="sq-AL"/>
        </w:rPr>
        <w:t xml:space="preserve">et në </w:t>
      </w:r>
      <w:r w:rsidR="007427B0" w:rsidRPr="00D7447D">
        <w:rPr>
          <w:rFonts w:ascii="Times New Roman" w:eastAsiaTheme="minorHAnsi" w:hAnsi="Times New Roman" w:cs="Times New Roman"/>
          <w:sz w:val="24"/>
          <w:szCs w:val="24"/>
          <w:lang w:val="sq-AL"/>
        </w:rPr>
        <w:t>74.6</w:t>
      </w:r>
      <w:r w:rsidR="00DA2E56" w:rsidRPr="00D7447D">
        <w:rPr>
          <w:rFonts w:ascii="Times New Roman" w:eastAsiaTheme="minorHAnsi" w:hAnsi="Times New Roman" w:cs="Times New Roman"/>
          <w:sz w:val="24"/>
          <w:szCs w:val="24"/>
          <w:lang w:val="sq-AL"/>
        </w:rPr>
        <w:t xml:space="preserve">% të PBB në vitin </w:t>
      </w:r>
      <w:r w:rsidR="00D65A8F" w:rsidRPr="00D7447D">
        <w:rPr>
          <w:rFonts w:ascii="Times New Roman" w:eastAsiaTheme="minorHAnsi" w:hAnsi="Times New Roman" w:cs="Times New Roman"/>
          <w:sz w:val="24"/>
          <w:szCs w:val="24"/>
          <w:lang w:val="sq-AL"/>
        </w:rPr>
        <w:t>202</w:t>
      </w:r>
      <w:r w:rsidR="007427B0" w:rsidRPr="00D7447D">
        <w:rPr>
          <w:rFonts w:ascii="Times New Roman" w:eastAsiaTheme="minorHAnsi" w:hAnsi="Times New Roman" w:cs="Times New Roman"/>
          <w:sz w:val="24"/>
          <w:szCs w:val="24"/>
          <w:lang w:val="sq-AL"/>
        </w:rPr>
        <w:t>5</w:t>
      </w:r>
      <w:r w:rsidR="00A256A5" w:rsidRPr="00D7447D">
        <w:rPr>
          <w:rFonts w:ascii="Times New Roman" w:eastAsiaTheme="minorHAnsi" w:hAnsi="Times New Roman" w:cs="Times New Roman"/>
          <w:sz w:val="24"/>
          <w:szCs w:val="24"/>
          <w:lang w:val="sq-AL"/>
        </w:rPr>
        <w:t xml:space="preserve">, nga niveli </w:t>
      </w:r>
      <w:r w:rsidR="007427B0" w:rsidRPr="00D7447D">
        <w:rPr>
          <w:rFonts w:ascii="Times New Roman" w:eastAsiaTheme="minorHAnsi" w:hAnsi="Times New Roman" w:cs="Times New Roman"/>
          <w:sz w:val="24"/>
          <w:szCs w:val="24"/>
          <w:lang w:val="sq-AL"/>
        </w:rPr>
        <w:t>78.8</w:t>
      </w:r>
      <w:r w:rsidRPr="00D7447D">
        <w:rPr>
          <w:rFonts w:ascii="Times New Roman" w:eastAsiaTheme="minorHAnsi" w:hAnsi="Times New Roman" w:cs="Times New Roman"/>
          <w:sz w:val="24"/>
          <w:szCs w:val="24"/>
          <w:lang w:val="sq-AL"/>
        </w:rPr>
        <w:t xml:space="preserve">% i </w:t>
      </w:r>
      <w:r w:rsidR="00DA2E56" w:rsidRPr="00D7447D">
        <w:rPr>
          <w:rFonts w:ascii="Times New Roman" w:eastAsiaTheme="minorHAnsi" w:hAnsi="Times New Roman" w:cs="Times New Roman"/>
          <w:sz w:val="24"/>
          <w:szCs w:val="24"/>
          <w:lang w:val="sq-AL"/>
        </w:rPr>
        <w:t xml:space="preserve">PBB i parashikuar për vitin </w:t>
      </w:r>
      <w:r w:rsidR="00C630D9" w:rsidRPr="00D7447D">
        <w:rPr>
          <w:rFonts w:ascii="Times New Roman" w:eastAsiaTheme="minorHAnsi" w:hAnsi="Times New Roman" w:cs="Times New Roman"/>
          <w:sz w:val="24"/>
          <w:szCs w:val="24"/>
          <w:lang w:val="sq-AL"/>
        </w:rPr>
        <w:t>202</w:t>
      </w:r>
      <w:r w:rsidR="007427B0"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p>
    <w:p w14:paraId="0E7C40B0" w14:textId="467B0B0D"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Përmirësim të dukshëm në renditjen e Shqipërisë </w:t>
      </w:r>
      <w:r w:rsidR="009F6936" w:rsidRPr="00D7447D">
        <w:rPr>
          <w:rFonts w:ascii="Times New Roman" w:eastAsiaTheme="minorHAnsi" w:hAnsi="Times New Roman" w:cs="Times New Roman"/>
          <w:sz w:val="24"/>
          <w:szCs w:val="24"/>
          <w:lang w:val="sq-AL"/>
        </w:rPr>
        <w:t>tek Indeksi i Buxhetit të Hapur</w:t>
      </w:r>
      <w:r w:rsidR="00817209" w:rsidRPr="00D7447D">
        <w:rPr>
          <w:rFonts w:ascii="Times New Roman" w:eastAsiaTheme="minorHAnsi" w:hAnsi="Times New Roman" w:cs="Times New Roman"/>
          <w:sz w:val="24"/>
          <w:szCs w:val="24"/>
          <w:lang w:val="sq-AL"/>
        </w:rPr>
        <w:t xml:space="preserve"> (Open Budget Index), nga 55/</w:t>
      </w:r>
      <w:r w:rsidRPr="00D7447D">
        <w:rPr>
          <w:rFonts w:ascii="Times New Roman" w:eastAsiaTheme="minorHAnsi" w:hAnsi="Times New Roman" w:cs="Times New Roman"/>
          <w:sz w:val="24"/>
          <w:szCs w:val="24"/>
          <w:lang w:val="sq-AL"/>
        </w:rPr>
        <w:t>100</w:t>
      </w:r>
      <w:r w:rsidR="00817209" w:rsidRPr="00D7447D">
        <w:rPr>
          <w:rFonts w:ascii="Times New Roman" w:eastAsiaTheme="minorHAnsi" w:hAnsi="Times New Roman" w:cs="Times New Roman"/>
          <w:sz w:val="24"/>
          <w:szCs w:val="24"/>
          <w:lang w:val="sq-AL"/>
        </w:rPr>
        <w:t xml:space="preserve"> pikë në vitin </w:t>
      </w:r>
      <w:r w:rsidR="00C630D9" w:rsidRPr="00D7447D">
        <w:rPr>
          <w:rFonts w:ascii="Times New Roman" w:eastAsiaTheme="minorHAnsi" w:hAnsi="Times New Roman" w:cs="Times New Roman"/>
          <w:sz w:val="24"/>
          <w:szCs w:val="24"/>
          <w:lang w:val="sq-AL"/>
        </w:rPr>
        <w:t>2021</w:t>
      </w:r>
      <w:r w:rsidRPr="00D7447D">
        <w:rPr>
          <w:rFonts w:ascii="Times New Roman" w:eastAsiaTheme="minorHAnsi" w:hAnsi="Times New Roman" w:cs="Times New Roman"/>
          <w:sz w:val="24"/>
          <w:szCs w:val="24"/>
          <w:lang w:val="sq-AL"/>
        </w:rPr>
        <w:t xml:space="preserve">, </w:t>
      </w:r>
      <w:r w:rsidR="00817209" w:rsidRPr="00D7447D">
        <w:rPr>
          <w:rFonts w:ascii="Times New Roman" w:eastAsiaTheme="minorHAnsi" w:hAnsi="Times New Roman" w:cs="Times New Roman"/>
          <w:sz w:val="24"/>
          <w:szCs w:val="24"/>
          <w:lang w:val="sq-AL"/>
        </w:rPr>
        <w:t>parashikohet të arrihet vlera 60/100</w:t>
      </w:r>
      <w:r w:rsidRPr="00D7447D">
        <w:rPr>
          <w:rFonts w:ascii="Times New Roman" w:eastAsiaTheme="minorHAnsi" w:hAnsi="Times New Roman" w:cs="Times New Roman"/>
          <w:sz w:val="24"/>
          <w:szCs w:val="24"/>
          <w:lang w:val="sq-AL"/>
        </w:rPr>
        <w:t xml:space="preserve"> pikë</w:t>
      </w:r>
      <w:r w:rsidR="00817209" w:rsidRPr="00D7447D">
        <w:rPr>
          <w:rFonts w:ascii="Times New Roman" w:eastAsiaTheme="minorHAnsi" w:hAnsi="Times New Roman" w:cs="Times New Roman"/>
          <w:sz w:val="24"/>
          <w:szCs w:val="24"/>
          <w:lang w:val="sq-AL"/>
        </w:rPr>
        <w:t xml:space="preserve"> në </w:t>
      </w:r>
      <w:r w:rsidR="00DA2E56" w:rsidRPr="00D7447D">
        <w:rPr>
          <w:rFonts w:ascii="Times New Roman" w:eastAsiaTheme="minorHAnsi" w:hAnsi="Times New Roman" w:cs="Times New Roman"/>
          <w:sz w:val="24"/>
          <w:szCs w:val="24"/>
          <w:lang w:val="sq-AL"/>
        </w:rPr>
        <w:t xml:space="preserve"> vitin </w:t>
      </w:r>
      <w:r w:rsidR="00D65A8F" w:rsidRPr="00D7447D">
        <w:rPr>
          <w:rFonts w:ascii="Times New Roman" w:eastAsiaTheme="minorHAnsi" w:hAnsi="Times New Roman" w:cs="Times New Roman"/>
          <w:sz w:val="24"/>
          <w:szCs w:val="24"/>
          <w:lang w:val="sq-AL"/>
        </w:rPr>
        <w:t>202</w:t>
      </w:r>
      <w:r w:rsidR="00457895" w:rsidRPr="00D7447D">
        <w:rPr>
          <w:rFonts w:ascii="Times New Roman" w:eastAsiaTheme="minorHAnsi" w:hAnsi="Times New Roman" w:cs="Times New Roman"/>
          <w:sz w:val="24"/>
          <w:szCs w:val="24"/>
          <w:lang w:val="sq-AL"/>
        </w:rPr>
        <w:t>3</w:t>
      </w:r>
      <w:r w:rsidRPr="00D7447D">
        <w:rPr>
          <w:rFonts w:ascii="Times New Roman" w:eastAsiaTheme="minorHAnsi" w:hAnsi="Times New Roman" w:cs="Times New Roman"/>
          <w:sz w:val="24"/>
          <w:szCs w:val="24"/>
          <w:lang w:val="sq-AL"/>
        </w:rPr>
        <w:t>;</w:t>
      </w:r>
    </w:p>
    <w:p w14:paraId="21F723C6" w14:textId="5CA08A63" w:rsidR="005A5BDC" w:rsidRPr="00D7447D" w:rsidRDefault="00DA2E56" w:rsidP="000B3CCC">
      <w:pPr>
        <w:spacing w:before="120"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Gjatë periudhës </w:t>
      </w:r>
      <w:r w:rsidR="00C630D9" w:rsidRPr="00D7447D">
        <w:rPr>
          <w:rFonts w:ascii="Times New Roman" w:eastAsiaTheme="minorHAnsi" w:hAnsi="Times New Roman" w:cs="Times New Roman"/>
          <w:sz w:val="24"/>
          <w:szCs w:val="24"/>
          <w:lang w:val="sq-AL"/>
        </w:rPr>
        <w:t>202</w:t>
      </w:r>
      <w:r w:rsidR="00806C43"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806C43" w:rsidRPr="00D7447D">
        <w:rPr>
          <w:rFonts w:ascii="Times New Roman" w:eastAsiaTheme="minorHAnsi" w:hAnsi="Times New Roman" w:cs="Times New Roman"/>
          <w:sz w:val="24"/>
          <w:szCs w:val="24"/>
          <w:lang w:val="sq-AL"/>
        </w:rPr>
        <w:t>5</w:t>
      </w:r>
      <w:r w:rsidR="004E5DAE" w:rsidRPr="00D7447D">
        <w:rPr>
          <w:rFonts w:ascii="Times New Roman" w:eastAsiaTheme="minorHAnsi" w:hAnsi="Times New Roman" w:cs="Times New Roman"/>
          <w:sz w:val="24"/>
          <w:szCs w:val="24"/>
          <w:lang w:val="sq-AL"/>
        </w:rPr>
        <w:t>, nëpërmjet programit “Tregu i Punës” synohet të punësohen në total 7,260 të papunë nga grupet e veçanta, të përfshihen në programet e nxitjes së punësimit të praktikave profesionale rreth 2,250 të rinj të sapodiplomuar në Arsimin e Lartë; të punësohen në total rreth 900 gra kryefamiljare me fëmijë në ngarkim dhe vajza nëna; si dhe të tra</w:t>
      </w:r>
      <w:r w:rsidR="00DD7795" w:rsidRPr="00D7447D">
        <w:rPr>
          <w:rFonts w:ascii="Times New Roman" w:eastAsiaTheme="minorHAnsi" w:hAnsi="Times New Roman" w:cs="Times New Roman"/>
          <w:sz w:val="24"/>
          <w:szCs w:val="24"/>
          <w:lang w:val="sq-AL"/>
        </w:rPr>
        <w:t>j</w:t>
      </w:r>
      <w:r w:rsidR="004E5DAE" w:rsidRPr="00D7447D">
        <w:rPr>
          <w:rFonts w:ascii="Times New Roman" w:eastAsiaTheme="minorHAnsi" w:hAnsi="Times New Roman" w:cs="Times New Roman"/>
          <w:sz w:val="24"/>
          <w:szCs w:val="24"/>
          <w:lang w:val="sq-AL"/>
        </w:rPr>
        <w:t>nohen nëpërmjet programeve të nxitjes së punësimit rreth 5,100 të papunë të trajtuar më parë me ndihmë ekonomike.</w:t>
      </w:r>
    </w:p>
    <w:p w14:paraId="039E6160" w14:textId="77777777" w:rsidR="005A5BDC" w:rsidRPr="00D7447D" w:rsidRDefault="005A5BDC" w:rsidP="000B3CCC">
      <w:pPr>
        <w:spacing w:before="120" w:after="120" w:line="276" w:lineRule="auto"/>
        <w:jc w:val="both"/>
        <w:rPr>
          <w:rFonts w:ascii="Times New Roman" w:eastAsiaTheme="minorHAnsi" w:hAnsi="Times New Roman" w:cs="Times New Roman"/>
          <w:sz w:val="24"/>
          <w:szCs w:val="24"/>
          <w:lang w:val="sq-AL"/>
        </w:rPr>
      </w:pPr>
    </w:p>
    <w:p w14:paraId="6E0A5406" w14:textId="3A4B7F05" w:rsidR="004E5DAE" w:rsidRPr="00D7447D" w:rsidRDefault="004E5DAE" w:rsidP="000B3CCC">
      <w:pPr>
        <w:spacing w:before="120"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lastRenderedPageBreak/>
        <w:t xml:space="preserve">Programi “Arsimi i Mesëm </w:t>
      </w:r>
      <w:r w:rsidR="00DA2E56" w:rsidRPr="00D7447D">
        <w:rPr>
          <w:rFonts w:ascii="Times New Roman" w:eastAsiaTheme="minorHAnsi" w:hAnsi="Times New Roman" w:cs="Times New Roman"/>
          <w:sz w:val="24"/>
          <w:szCs w:val="24"/>
          <w:lang w:val="sq-AL"/>
        </w:rPr>
        <w:t xml:space="preserve">Profesional”, për periudhën </w:t>
      </w:r>
      <w:r w:rsidR="00C630D9" w:rsidRPr="00D7447D">
        <w:rPr>
          <w:rFonts w:ascii="Times New Roman" w:eastAsiaTheme="minorHAnsi" w:hAnsi="Times New Roman" w:cs="Times New Roman"/>
          <w:sz w:val="24"/>
          <w:szCs w:val="24"/>
          <w:lang w:val="sq-AL"/>
        </w:rPr>
        <w:t>202</w:t>
      </w:r>
      <w:r w:rsidR="00806C43" w:rsidRPr="00D7447D">
        <w:rPr>
          <w:rFonts w:ascii="Times New Roman" w:eastAsiaTheme="minorHAnsi" w:hAnsi="Times New Roman" w:cs="Times New Roman"/>
          <w:sz w:val="24"/>
          <w:szCs w:val="24"/>
          <w:lang w:val="sq-AL"/>
        </w:rPr>
        <w:t>2</w:t>
      </w:r>
      <w:r w:rsidR="00DA2E56"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806C43"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 xml:space="preserve">, synon: </w:t>
      </w:r>
    </w:p>
    <w:p w14:paraId="1D465435" w14:textId="24853EE7" w:rsidR="004E5DAE" w:rsidRPr="00D7447D" w:rsidRDefault="004E5DAE" w:rsidP="000B3CCC">
      <w:pPr>
        <w:numPr>
          <w:ilvl w:val="0"/>
          <w:numId w:val="4"/>
        </w:numPr>
        <w:spacing w:after="0" w:line="276" w:lineRule="auto"/>
        <w:contextualSpacing/>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numrit të të punësuarve pas diplomimit në shkollat e mesme profesionale në 46% të totalit që</w:t>
      </w:r>
      <w:r w:rsidR="00293EDC" w:rsidRPr="00D7447D">
        <w:rPr>
          <w:rFonts w:ascii="Times New Roman" w:eastAsiaTheme="minorHAnsi" w:hAnsi="Times New Roman" w:cs="Times New Roman"/>
          <w:sz w:val="24"/>
          <w:szCs w:val="24"/>
          <w:lang w:val="sq-AL"/>
        </w:rPr>
        <w:t xml:space="preserve"> mbarojnë studimet në vitin </w:t>
      </w:r>
      <w:r w:rsidR="00D65A8F" w:rsidRPr="00D7447D">
        <w:rPr>
          <w:rFonts w:ascii="Times New Roman" w:eastAsiaTheme="minorHAnsi" w:hAnsi="Times New Roman" w:cs="Times New Roman"/>
          <w:sz w:val="24"/>
          <w:szCs w:val="24"/>
          <w:lang w:val="sq-AL"/>
        </w:rPr>
        <w:t>202</w:t>
      </w:r>
      <w:r w:rsidR="00806C43"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r w:rsidR="00293EDC" w:rsidRPr="00D7447D">
        <w:rPr>
          <w:rFonts w:ascii="Times New Roman" w:eastAsiaTheme="minorHAnsi" w:hAnsi="Times New Roman" w:cs="Times New Roman"/>
          <w:sz w:val="24"/>
          <w:szCs w:val="24"/>
          <w:lang w:val="sq-AL"/>
        </w:rPr>
        <w:t xml:space="preserve"> krahasuaër me 42% në vitin </w:t>
      </w:r>
      <w:r w:rsidR="00C630D9" w:rsidRPr="00D7447D">
        <w:rPr>
          <w:rFonts w:ascii="Times New Roman" w:eastAsiaTheme="minorHAnsi" w:hAnsi="Times New Roman" w:cs="Times New Roman"/>
          <w:sz w:val="24"/>
          <w:szCs w:val="24"/>
          <w:lang w:val="sq-AL"/>
        </w:rPr>
        <w:t>202</w:t>
      </w:r>
      <w:r w:rsidR="00806C43"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p>
    <w:p w14:paraId="2E1929A1" w14:textId="6EA0259F" w:rsidR="004E5DAE" w:rsidRPr="00D7447D" w:rsidRDefault="004E5DAE" w:rsidP="000B3CCC">
      <w:pPr>
        <w:numPr>
          <w:ilvl w:val="0"/>
          <w:numId w:val="4"/>
        </w:numPr>
        <w:spacing w:after="0" w:line="276" w:lineRule="auto"/>
        <w:contextualSpacing/>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numrit të të diplomuarve në shkollat e mesme profes</w:t>
      </w:r>
      <w:r w:rsidR="00293EDC" w:rsidRPr="00D7447D">
        <w:rPr>
          <w:rFonts w:ascii="Times New Roman" w:eastAsiaTheme="minorHAnsi" w:hAnsi="Times New Roman" w:cs="Times New Roman"/>
          <w:sz w:val="24"/>
          <w:szCs w:val="24"/>
          <w:lang w:val="sq-AL"/>
        </w:rPr>
        <w:t xml:space="preserve">ionale, nga 3.300 nxënës në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293EDC" w:rsidRPr="00D7447D">
        <w:rPr>
          <w:rFonts w:ascii="Times New Roman" w:eastAsiaTheme="minorHAnsi" w:hAnsi="Times New Roman" w:cs="Times New Roman"/>
          <w:sz w:val="24"/>
          <w:szCs w:val="24"/>
          <w:lang w:val="sq-AL"/>
        </w:rPr>
        <w:t xml:space="preserve">, në 3.600 nxënës në vitin </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165EDE0E" w14:textId="1A924AB6" w:rsidR="004E5DAE" w:rsidRPr="00D7447D" w:rsidRDefault="004E5DAE" w:rsidP="000B3CCC">
      <w:pPr>
        <w:numPr>
          <w:ilvl w:val="0"/>
          <w:numId w:val="4"/>
        </w:numPr>
        <w:spacing w:after="0" w:line="276" w:lineRule="auto"/>
        <w:contextualSpacing/>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numrit të nxënësve që vijnë nga zonat rurale të cilët ndjekin studimet në shkollat e mesme profesionale,</w:t>
      </w:r>
      <w:r w:rsidR="00293EDC" w:rsidRPr="00D7447D">
        <w:rPr>
          <w:rFonts w:ascii="Times New Roman" w:eastAsiaTheme="minorHAnsi" w:hAnsi="Times New Roman" w:cs="Times New Roman"/>
          <w:sz w:val="24"/>
          <w:szCs w:val="24"/>
          <w:lang w:val="sq-AL"/>
        </w:rPr>
        <w:t xml:space="preserve"> nga 40% e totalit në vitin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293EDC" w:rsidRPr="00D7447D">
        <w:rPr>
          <w:rFonts w:ascii="Times New Roman" w:eastAsiaTheme="minorHAnsi" w:hAnsi="Times New Roman" w:cs="Times New Roman"/>
          <w:sz w:val="24"/>
          <w:szCs w:val="24"/>
          <w:lang w:val="sq-AL"/>
        </w:rPr>
        <w:t xml:space="preserve"> në 55% e totalit në vitin </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50798D63" w14:textId="646D26EF" w:rsidR="004E5DAE" w:rsidRPr="00D7447D" w:rsidRDefault="004E5DAE" w:rsidP="000B3CCC">
      <w:pPr>
        <w:numPr>
          <w:ilvl w:val="0"/>
          <w:numId w:val="4"/>
        </w:numPr>
        <w:spacing w:after="0" w:line="276" w:lineRule="auto"/>
        <w:contextualSpacing/>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numrit të nxënësve me aftësi të kufizuar që ndjekin studimet në shkollat e mesme profesionale nga 90 nx</w:t>
      </w:r>
      <w:r w:rsidR="00293EDC" w:rsidRPr="00D7447D">
        <w:rPr>
          <w:rFonts w:ascii="Times New Roman" w:eastAsiaTheme="minorHAnsi" w:hAnsi="Times New Roman" w:cs="Times New Roman"/>
          <w:sz w:val="24"/>
          <w:szCs w:val="24"/>
          <w:lang w:val="sq-AL"/>
        </w:rPr>
        <w:t xml:space="preserve">ënës në vitin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293EDC" w:rsidRPr="00D7447D">
        <w:rPr>
          <w:rFonts w:ascii="Times New Roman" w:eastAsiaTheme="minorHAnsi" w:hAnsi="Times New Roman" w:cs="Times New Roman"/>
          <w:sz w:val="24"/>
          <w:szCs w:val="24"/>
          <w:lang w:val="sq-AL"/>
        </w:rPr>
        <w:t xml:space="preserve"> në 120 nxënës në vitin </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6231E1AF" w14:textId="77777777" w:rsidR="004E5DAE" w:rsidRPr="00D7447D" w:rsidRDefault="004E5DAE" w:rsidP="000B3CCC">
      <w:pPr>
        <w:spacing w:line="276" w:lineRule="auto"/>
        <w:rPr>
          <w:rFonts w:ascii="Times New Roman" w:eastAsiaTheme="minorHAnsi" w:hAnsi="Times New Roman" w:cs="Times New Roman"/>
          <w:sz w:val="24"/>
          <w:szCs w:val="24"/>
          <w:lang w:val="sq-AL"/>
        </w:rPr>
      </w:pPr>
    </w:p>
    <w:p w14:paraId="2EABE4CC" w14:textId="5D06717B" w:rsidR="004E5DAE" w:rsidRPr="00D7447D" w:rsidRDefault="00293EDC" w:rsidP="000B3CCC">
      <w:pPr>
        <w:spacing w:line="276" w:lineRule="auto"/>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Gjatë periudhës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004E5DAE" w:rsidRPr="00D7447D">
        <w:rPr>
          <w:rFonts w:ascii="Times New Roman" w:eastAsiaTheme="minorHAnsi" w:hAnsi="Times New Roman" w:cs="Times New Roman"/>
          <w:sz w:val="24"/>
          <w:szCs w:val="24"/>
          <w:lang w:val="sq-AL"/>
        </w:rPr>
        <w:t>, programi “Mbështetje për Zhvillim Ekonomik</w:t>
      </w:r>
      <w:r w:rsidR="00DD7795" w:rsidRPr="00D7447D">
        <w:rPr>
          <w:rFonts w:ascii="Times New Roman" w:eastAsiaTheme="minorHAnsi" w:hAnsi="Times New Roman" w:cs="Times New Roman"/>
          <w:sz w:val="24"/>
          <w:szCs w:val="24"/>
          <w:lang w:val="sq-AL"/>
        </w:rPr>
        <w:t>”</w:t>
      </w:r>
      <w:r w:rsidR="004E5DAE" w:rsidRPr="00D7447D">
        <w:rPr>
          <w:rFonts w:ascii="Times New Roman" w:eastAsiaTheme="minorHAnsi" w:hAnsi="Times New Roman" w:cs="Times New Roman"/>
          <w:sz w:val="24"/>
          <w:szCs w:val="24"/>
          <w:lang w:val="sq-AL"/>
        </w:rPr>
        <w:t xml:space="preserve"> synon:</w:t>
      </w:r>
    </w:p>
    <w:p w14:paraId="13752102" w14:textId="77777777"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Promovimin e Shqip</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risë si destinacion investimesh nëpërmjet organizimit dhe pjesëmarrjeve në panaire nd</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rkombëtare dhe road sho</w:t>
      </w:r>
      <w:r w:rsidR="00FA0246"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promovuese, vizita ne kompani (after care) si dhe monitorim efektiv investimesh strategjike; </w:t>
      </w:r>
    </w:p>
    <w:p w14:paraId="0F7FF45D" w14:textId="77777777"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Zgjerimin e numrit të bizneseve të profileve të ndryshme që përfitojnë mbështetje financiare nga buxheti i shtetit (255 biznese t</w:t>
      </w:r>
      <w:r w:rsidR="00293EDC" w:rsidRPr="00D7447D">
        <w:rPr>
          <w:rFonts w:ascii="Times New Roman" w:eastAsiaTheme="minorHAnsi" w:hAnsi="Times New Roman" w:cs="Times New Roman"/>
          <w:sz w:val="24"/>
          <w:szCs w:val="24"/>
          <w:lang w:val="sq-AL"/>
        </w:rPr>
        <w:t xml:space="preserve">ë mbështetura për periudhën </w:t>
      </w:r>
      <w:r w:rsidR="00C630D9" w:rsidRPr="00D7447D">
        <w:rPr>
          <w:rFonts w:ascii="Times New Roman" w:eastAsiaTheme="minorHAnsi" w:hAnsi="Times New Roman" w:cs="Times New Roman"/>
          <w:sz w:val="24"/>
          <w:szCs w:val="24"/>
          <w:lang w:val="sq-AL"/>
        </w:rPr>
        <w:t>2021</w:t>
      </w:r>
      <w:r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2024</w:t>
      </w:r>
      <w:r w:rsidRPr="00D7447D">
        <w:rPr>
          <w:rFonts w:ascii="Times New Roman" w:eastAsiaTheme="minorHAnsi" w:hAnsi="Times New Roman" w:cs="Times New Roman"/>
          <w:sz w:val="24"/>
          <w:szCs w:val="24"/>
          <w:lang w:val="sq-AL"/>
        </w:rPr>
        <w:t>) me qëllim që të rritet konkurueshmëria e tyre si në tregun e brendshëm dhe në atë të jashtëm.</w:t>
      </w:r>
    </w:p>
    <w:p w14:paraId="3ACE54D3" w14:textId="77777777" w:rsidR="004E5DAE" w:rsidRPr="00D7447D" w:rsidRDefault="004E5DAE" w:rsidP="000B3CCC">
      <w:pPr>
        <w:spacing w:line="276" w:lineRule="auto"/>
        <w:jc w:val="both"/>
        <w:rPr>
          <w:rFonts w:ascii="Times New Roman" w:eastAsiaTheme="minorHAnsi" w:hAnsi="Times New Roman" w:cs="Times New Roman"/>
          <w:sz w:val="24"/>
          <w:szCs w:val="24"/>
          <w:lang w:val="sq-AL"/>
        </w:rPr>
      </w:pPr>
    </w:p>
    <w:p w14:paraId="1898EF9B" w14:textId="08530648" w:rsidR="004E5DAE" w:rsidRPr="00D7447D" w:rsidRDefault="004E5DAE" w:rsidP="000B3CCC">
      <w:pPr>
        <w:spacing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Program</w:t>
      </w:r>
      <w:r w:rsidR="00293EDC" w:rsidRPr="00D7447D">
        <w:rPr>
          <w:rFonts w:ascii="Times New Roman" w:eastAsiaTheme="minorHAnsi" w:hAnsi="Times New Roman" w:cs="Times New Roman"/>
          <w:sz w:val="24"/>
          <w:szCs w:val="24"/>
          <w:lang w:val="sq-AL"/>
        </w:rPr>
        <w:t xml:space="preserve">i “Strehimi”, për periudhën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293EDC"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 synon që:</w:t>
      </w:r>
    </w:p>
    <w:p w14:paraId="3E2CD5B1" w14:textId="5D557E5A"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Të mbështesë për herë të parë rreth 3280 familje të pastreha  nëpërmjet skemës së kredive të subvencionuara ng</w:t>
      </w:r>
      <w:r w:rsidR="00293EDC" w:rsidRPr="00D7447D">
        <w:rPr>
          <w:rFonts w:ascii="Times New Roman" w:eastAsiaTheme="minorHAnsi" w:hAnsi="Times New Roman" w:cs="Times New Roman"/>
          <w:sz w:val="24"/>
          <w:szCs w:val="24"/>
          <w:lang w:val="sq-AL"/>
        </w:rPr>
        <w:t xml:space="preserve">a shteti përgjatë periudhës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293EDC"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590EAC9C" w14:textId="58F18E4B"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Të rrisë numrin e familjeve të pastreha që përfitojnë bonus qiraje nga 381 përfit</w:t>
      </w:r>
      <w:r w:rsidR="00293EDC" w:rsidRPr="00D7447D">
        <w:rPr>
          <w:rFonts w:ascii="Times New Roman" w:eastAsiaTheme="minorHAnsi" w:hAnsi="Times New Roman" w:cs="Times New Roman"/>
          <w:sz w:val="24"/>
          <w:szCs w:val="24"/>
          <w:lang w:val="sq-AL"/>
        </w:rPr>
        <w:t xml:space="preserve">ues të parashikuar në vitin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3</w:t>
      </w:r>
      <w:r w:rsidR="00293EDC" w:rsidRPr="00D7447D">
        <w:rPr>
          <w:rFonts w:ascii="Times New Roman" w:eastAsiaTheme="minorHAnsi" w:hAnsi="Times New Roman" w:cs="Times New Roman"/>
          <w:sz w:val="24"/>
          <w:szCs w:val="24"/>
          <w:lang w:val="sq-AL"/>
        </w:rPr>
        <w:t xml:space="preserve"> në 1009 përfitues në vitin </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2300B730" w14:textId="5681BCE2"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Të rrisë numrin e familjeve që i përmirësohen kushtet e banimit me rreth 1318</w:t>
      </w:r>
      <w:r w:rsidR="00293EDC" w:rsidRPr="00D7447D">
        <w:rPr>
          <w:rFonts w:ascii="Times New Roman" w:eastAsiaTheme="minorHAnsi" w:hAnsi="Times New Roman" w:cs="Times New Roman"/>
          <w:sz w:val="24"/>
          <w:szCs w:val="24"/>
          <w:lang w:val="sq-AL"/>
        </w:rPr>
        <w:t xml:space="preserve"> familje përgjatë periudhës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293EDC"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6D807018" w14:textId="63379410"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Të rrisë numrin e familjeve që përfitojnë banesa sociale me qira ne objekte të adaptuara me rreth 260</w:t>
      </w:r>
      <w:r w:rsidR="00293EDC" w:rsidRPr="00D7447D">
        <w:rPr>
          <w:rFonts w:ascii="Times New Roman" w:eastAsiaTheme="minorHAnsi" w:hAnsi="Times New Roman" w:cs="Times New Roman"/>
          <w:sz w:val="24"/>
          <w:szCs w:val="24"/>
          <w:lang w:val="sq-AL"/>
        </w:rPr>
        <w:t xml:space="preserve"> familje përgjatë periudhës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293EDC"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735949BE" w14:textId="77777777" w:rsidR="004E5DAE" w:rsidRPr="00D7447D" w:rsidRDefault="004E5DAE" w:rsidP="000B3CCC">
      <w:pPr>
        <w:spacing w:after="0" w:line="276" w:lineRule="auto"/>
        <w:ind w:left="774"/>
        <w:contextualSpacing/>
        <w:jc w:val="both"/>
        <w:rPr>
          <w:rFonts w:ascii="Times New Roman" w:eastAsiaTheme="minorHAnsi" w:hAnsi="Times New Roman" w:cs="Times New Roman"/>
          <w:sz w:val="24"/>
          <w:szCs w:val="24"/>
          <w:lang w:val="sq-AL"/>
        </w:rPr>
      </w:pPr>
    </w:p>
    <w:p w14:paraId="436EF622" w14:textId="1A451069" w:rsidR="004E5DAE" w:rsidRPr="00D7447D" w:rsidRDefault="00293EDC" w:rsidP="000B3CCC">
      <w:pPr>
        <w:spacing w:before="120"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Gjatë periudhës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004E5DAE" w:rsidRPr="00D7447D">
        <w:rPr>
          <w:rFonts w:ascii="Times New Roman" w:eastAsiaTheme="minorHAnsi" w:hAnsi="Times New Roman" w:cs="Times New Roman"/>
          <w:sz w:val="24"/>
          <w:szCs w:val="24"/>
          <w:lang w:val="sq-AL"/>
        </w:rPr>
        <w:t xml:space="preserve">, programi “Menaxhimi i të Ardhurave Tatimore” synon: </w:t>
      </w:r>
    </w:p>
    <w:p w14:paraId="12E556CA" w14:textId="5758231B" w:rsidR="004E5DAE" w:rsidRPr="00D7447D" w:rsidRDefault="00370A20"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me rreth 8</w:t>
      </w:r>
      <w:r w:rsidR="004E5DAE" w:rsidRPr="00D7447D">
        <w:rPr>
          <w:rFonts w:ascii="Times New Roman" w:eastAsiaTheme="minorHAnsi" w:hAnsi="Times New Roman" w:cs="Times New Roman"/>
          <w:sz w:val="24"/>
          <w:szCs w:val="24"/>
          <w:lang w:val="sq-AL"/>
        </w:rPr>
        <w:t>% në vit mbledhja e të ardhurave tatimore dhe jo</w:t>
      </w:r>
      <w:r w:rsidRPr="00D7447D">
        <w:rPr>
          <w:rFonts w:ascii="Times New Roman" w:eastAsiaTheme="minorHAnsi" w:hAnsi="Times New Roman" w:cs="Times New Roman"/>
          <w:sz w:val="24"/>
          <w:szCs w:val="24"/>
          <w:lang w:val="sq-AL"/>
        </w:rPr>
        <w:t xml:space="preserve">tatimore përgjatë periudhës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004E5DAE" w:rsidRPr="00D7447D">
        <w:rPr>
          <w:rFonts w:ascii="Times New Roman" w:eastAsiaTheme="minorHAnsi" w:hAnsi="Times New Roman" w:cs="Times New Roman"/>
          <w:sz w:val="24"/>
          <w:szCs w:val="24"/>
          <w:lang w:val="sq-AL"/>
        </w:rPr>
        <w:t>;</w:t>
      </w:r>
    </w:p>
    <w:p w14:paraId="033F2E19" w14:textId="77777777"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raportit të zbulueshmërisë nga kontrollet e kryera nga administrata tatimore tek bizneset;</w:t>
      </w:r>
    </w:p>
    <w:p w14:paraId="29D816BA" w14:textId="5EC393BA"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Zgjerimin e kontrollit të verifikimit në terren nëpërmjet strukturave të hetimit tatimor, nga </w:t>
      </w:r>
      <w:r w:rsidR="0096336E" w:rsidRPr="00D7447D">
        <w:rPr>
          <w:rFonts w:ascii="Times New Roman" w:eastAsiaTheme="minorHAnsi" w:hAnsi="Times New Roman" w:cs="Times New Roman"/>
          <w:sz w:val="24"/>
          <w:szCs w:val="24"/>
          <w:lang w:val="sq-AL"/>
        </w:rPr>
        <w:t xml:space="preserve">60 mijë inspektime në vitin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r w:rsidR="0096336E" w:rsidRPr="00D7447D">
        <w:rPr>
          <w:rFonts w:ascii="Times New Roman" w:eastAsiaTheme="minorHAnsi" w:hAnsi="Times New Roman" w:cs="Times New Roman"/>
          <w:sz w:val="24"/>
          <w:szCs w:val="24"/>
          <w:lang w:val="sq-AL"/>
        </w:rPr>
        <w:t xml:space="preserve"> në 65 mijë në vitin </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61ECA667" w14:textId="1C2429C9" w:rsidR="00370A20" w:rsidRPr="00D7447D" w:rsidRDefault="00370A20"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lastRenderedPageBreak/>
        <w:t>Nd</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rgjegj</w:t>
      </w:r>
      <w:r w:rsidR="00622057" w:rsidRPr="00D7447D">
        <w:rPr>
          <w:rFonts w:ascii="Times New Roman" w:eastAsiaTheme="minorHAnsi" w:hAnsi="Times New Roman" w:cs="Times New Roman"/>
          <w:sz w:val="24"/>
          <w:szCs w:val="24"/>
          <w:lang w:val="sq-AL"/>
        </w:rPr>
        <w:t>ë</w:t>
      </w:r>
      <w:r w:rsidR="00DD7795" w:rsidRPr="00D7447D">
        <w:rPr>
          <w:rFonts w:ascii="Times New Roman" w:eastAsiaTheme="minorHAnsi" w:hAnsi="Times New Roman" w:cs="Times New Roman"/>
          <w:sz w:val="24"/>
          <w:szCs w:val="24"/>
          <w:lang w:val="sq-AL"/>
        </w:rPr>
        <w:t>simi i bi</w:t>
      </w:r>
      <w:r w:rsidRPr="00D7447D">
        <w:rPr>
          <w:rFonts w:ascii="Times New Roman" w:eastAsiaTheme="minorHAnsi" w:hAnsi="Times New Roman" w:cs="Times New Roman"/>
          <w:sz w:val="24"/>
          <w:szCs w:val="24"/>
          <w:lang w:val="sq-AL"/>
        </w:rPr>
        <w:t>zneseve ndaj fushatave t</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shumta p</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 luft</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n kund</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 informalitetit, duke tentuar ul</w:t>
      </w:r>
      <w:r w:rsidR="00DD7795" w:rsidRPr="00D7447D">
        <w:rPr>
          <w:rFonts w:ascii="Times New Roman" w:eastAsiaTheme="minorHAnsi" w:hAnsi="Times New Roman" w:cs="Times New Roman"/>
          <w:sz w:val="24"/>
          <w:szCs w:val="24"/>
          <w:lang w:val="sq-AL"/>
        </w:rPr>
        <w:t>jen</w:t>
      </w:r>
      <w:r w:rsidRPr="00D7447D">
        <w:rPr>
          <w:rFonts w:ascii="Times New Roman" w:eastAsiaTheme="minorHAnsi" w:hAnsi="Times New Roman" w:cs="Times New Roman"/>
          <w:sz w:val="24"/>
          <w:szCs w:val="24"/>
          <w:lang w:val="sq-AL"/>
        </w:rPr>
        <w:t xml:space="preserve"> n</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180 raste t</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evazi</w:t>
      </w:r>
      <w:r w:rsidR="00DD7795" w:rsidRPr="00D7447D">
        <w:rPr>
          <w:rFonts w:ascii="Times New Roman" w:eastAsiaTheme="minorHAnsi" w:hAnsi="Times New Roman" w:cs="Times New Roman"/>
          <w:sz w:val="24"/>
          <w:szCs w:val="24"/>
          <w:lang w:val="sq-AL"/>
        </w:rPr>
        <w:t>o</w:t>
      </w:r>
      <w:r w:rsidRPr="00D7447D">
        <w:rPr>
          <w:rFonts w:ascii="Times New Roman" w:eastAsiaTheme="minorHAnsi" w:hAnsi="Times New Roman" w:cs="Times New Roman"/>
          <w:sz w:val="24"/>
          <w:szCs w:val="24"/>
          <w:lang w:val="sq-AL"/>
        </w:rPr>
        <w:t>nit fiskal t</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rcjella n</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Prokurori n</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w:t>
      </w:r>
      <w:r w:rsidR="00D65A8F"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 xml:space="preserve"> nga 260 t</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tilla t</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 parashikuara p</w:t>
      </w:r>
      <w:r w:rsidR="00622057" w:rsidRPr="00D7447D">
        <w:rPr>
          <w:rFonts w:ascii="Times New Roman" w:eastAsiaTheme="minorHAnsi" w:hAnsi="Times New Roman" w:cs="Times New Roman"/>
          <w:sz w:val="24"/>
          <w:szCs w:val="24"/>
          <w:lang w:val="sq-AL"/>
        </w:rPr>
        <w:t>ë</w:t>
      </w:r>
      <w:r w:rsidRPr="00D7447D">
        <w:rPr>
          <w:rFonts w:ascii="Times New Roman" w:eastAsiaTheme="minorHAnsi" w:hAnsi="Times New Roman" w:cs="Times New Roman"/>
          <w:sz w:val="24"/>
          <w:szCs w:val="24"/>
          <w:lang w:val="sq-AL"/>
        </w:rPr>
        <w:t xml:space="preserve">r </w:t>
      </w:r>
      <w:r w:rsidR="00C630D9" w:rsidRPr="00D7447D">
        <w:rPr>
          <w:rFonts w:ascii="Times New Roman" w:eastAsiaTheme="minorHAnsi" w:hAnsi="Times New Roman" w:cs="Times New Roman"/>
          <w:sz w:val="24"/>
          <w:szCs w:val="24"/>
          <w:lang w:val="sq-AL"/>
        </w:rPr>
        <w:t>202</w:t>
      </w:r>
      <w:r w:rsidR="00E404EF" w:rsidRPr="00D7447D">
        <w:rPr>
          <w:rFonts w:ascii="Times New Roman" w:eastAsiaTheme="minorHAnsi" w:hAnsi="Times New Roman" w:cs="Times New Roman"/>
          <w:sz w:val="24"/>
          <w:szCs w:val="24"/>
          <w:lang w:val="sq-AL"/>
        </w:rPr>
        <w:t>2</w:t>
      </w:r>
    </w:p>
    <w:p w14:paraId="4EB89D2D" w14:textId="77777777" w:rsidR="005A5BDC" w:rsidRPr="00D7447D" w:rsidRDefault="005A5BDC" w:rsidP="000B3CCC">
      <w:pPr>
        <w:spacing w:after="0" w:line="276" w:lineRule="auto"/>
        <w:ind w:left="774"/>
        <w:contextualSpacing/>
        <w:jc w:val="both"/>
        <w:rPr>
          <w:rFonts w:ascii="Times New Roman" w:eastAsiaTheme="minorHAnsi" w:hAnsi="Times New Roman" w:cs="Times New Roman"/>
          <w:sz w:val="24"/>
          <w:szCs w:val="24"/>
          <w:lang w:val="sq-AL"/>
        </w:rPr>
      </w:pPr>
    </w:p>
    <w:p w14:paraId="1B72A66F" w14:textId="565855E4" w:rsidR="004E5DAE" w:rsidRPr="00D7447D" w:rsidRDefault="004E5DAE" w:rsidP="000B3CCC">
      <w:pPr>
        <w:spacing w:before="120"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Programi “Menaxhimi i të Ardhurave Do</w:t>
      </w:r>
      <w:r w:rsidR="00C8547E" w:rsidRPr="00D7447D">
        <w:rPr>
          <w:rFonts w:ascii="Times New Roman" w:eastAsiaTheme="minorHAnsi" w:hAnsi="Times New Roman" w:cs="Times New Roman"/>
          <w:sz w:val="24"/>
          <w:szCs w:val="24"/>
          <w:lang w:val="sq-AL"/>
        </w:rPr>
        <w:t xml:space="preserve">ganore”, përgjatë periudhës </w:t>
      </w:r>
      <w:r w:rsidR="00C630D9"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2</w:t>
      </w:r>
      <w:r w:rsidR="00C8547E"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 xml:space="preserve">, synon: </w:t>
      </w:r>
    </w:p>
    <w:p w14:paraId="1867B70F" w14:textId="085E1DC5"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numrit të deklaratave doganore të procesuara n</w:t>
      </w:r>
      <w:r w:rsidR="00C8547E" w:rsidRPr="00D7447D">
        <w:rPr>
          <w:rFonts w:ascii="Times New Roman" w:eastAsiaTheme="minorHAnsi" w:hAnsi="Times New Roman" w:cs="Times New Roman"/>
          <w:sz w:val="24"/>
          <w:szCs w:val="24"/>
          <w:lang w:val="sq-AL"/>
        </w:rPr>
        <w:t>ë kanalin Blu (në import) nga 12</w:t>
      </w:r>
      <w:r w:rsidRPr="00D7447D">
        <w:rPr>
          <w:rFonts w:ascii="Times New Roman" w:eastAsiaTheme="minorHAnsi" w:hAnsi="Times New Roman" w:cs="Times New Roman"/>
          <w:sz w:val="24"/>
          <w:szCs w:val="24"/>
          <w:lang w:val="sq-AL"/>
        </w:rPr>
        <w:t xml:space="preserve">% e totalit të deklaratave </w:t>
      </w:r>
      <w:r w:rsidR="00C8547E" w:rsidRPr="00D7447D">
        <w:rPr>
          <w:rFonts w:ascii="Times New Roman" w:eastAsiaTheme="minorHAnsi" w:hAnsi="Times New Roman" w:cs="Times New Roman"/>
          <w:sz w:val="24"/>
          <w:szCs w:val="24"/>
          <w:lang w:val="sq-AL"/>
        </w:rPr>
        <w:t xml:space="preserve">doganore të parashikuara në </w:t>
      </w:r>
      <w:r w:rsidR="00C630D9"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r w:rsidR="00C8547E" w:rsidRPr="00D7447D">
        <w:rPr>
          <w:rFonts w:ascii="Times New Roman" w:eastAsiaTheme="minorHAnsi" w:hAnsi="Times New Roman" w:cs="Times New Roman"/>
          <w:sz w:val="24"/>
          <w:szCs w:val="24"/>
          <w:lang w:val="sq-AL"/>
        </w:rPr>
        <w:t xml:space="preserve"> në 17% të parashikuara për </w:t>
      </w:r>
      <w:r w:rsidR="00D65A8F"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5DE67FE8" w14:textId="75D87220"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numrit të deklaratave doganore të procesuara në k</w:t>
      </w:r>
      <w:r w:rsidR="00C8547E" w:rsidRPr="00D7447D">
        <w:rPr>
          <w:rFonts w:ascii="Times New Roman" w:eastAsiaTheme="minorHAnsi" w:hAnsi="Times New Roman" w:cs="Times New Roman"/>
          <w:sz w:val="24"/>
          <w:szCs w:val="24"/>
          <w:lang w:val="sq-AL"/>
        </w:rPr>
        <w:t>analin Jeshil (në eksport) nga 10</w:t>
      </w:r>
      <w:r w:rsidRPr="00D7447D">
        <w:rPr>
          <w:rFonts w:ascii="Times New Roman" w:eastAsiaTheme="minorHAnsi" w:hAnsi="Times New Roman" w:cs="Times New Roman"/>
          <w:sz w:val="24"/>
          <w:szCs w:val="24"/>
          <w:lang w:val="sq-AL"/>
        </w:rPr>
        <w:t>% e totalit të deklaratave doganore për</w:t>
      </w:r>
      <w:r w:rsidR="00C8547E" w:rsidRPr="00D7447D">
        <w:rPr>
          <w:rFonts w:ascii="Times New Roman" w:eastAsiaTheme="minorHAnsi" w:hAnsi="Times New Roman" w:cs="Times New Roman"/>
          <w:sz w:val="24"/>
          <w:szCs w:val="24"/>
          <w:lang w:val="sq-AL"/>
        </w:rPr>
        <w:t xml:space="preserve"> eksport të parashikuara në </w:t>
      </w:r>
      <w:r w:rsidR="00C630D9"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2</w:t>
      </w:r>
      <w:r w:rsidR="00C8547E" w:rsidRPr="00D7447D">
        <w:rPr>
          <w:rFonts w:ascii="Times New Roman" w:eastAsiaTheme="minorHAnsi" w:hAnsi="Times New Roman" w:cs="Times New Roman"/>
          <w:sz w:val="24"/>
          <w:szCs w:val="24"/>
          <w:lang w:val="sq-AL"/>
        </w:rPr>
        <w:t xml:space="preserve"> në 14% të parashikuara për </w:t>
      </w:r>
      <w:r w:rsidR="00D65A8F"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6EC5CFBB" w14:textId="06C9FB12"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Shkurtimin e kohës mesatare së shpenzuar për 1 zhdoganim </w:t>
      </w:r>
      <w:r w:rsidR="00C8547E" w:rsidRPr="00D7447D">
        <w:rPr>
          <w:rFonts w:ascii="Times New Roman" w:eastAsiaTheme="minorHAnsi" w:hAnsi="Times New Roman" w:cs="Times New Roman"/>
          <w:sz w:val="24"/>
          <w:szCs w:val="24"/>
          <w:lang w:val="sq-AL"/>
        </w:rPr>
        <w:t xml:space="preserve">me rreth 6% më pak në vitin </w:t>
      </w:r>
      <w:r w:rsidR="00D65A8F"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5</w:t>
      </w:r>
      <w:r w:rsidR="00C8547E" w:rsidRPr="00D7447D">
        <w:rPr>
          <w:rFonts w:ascii="Times New Roman" w:eastAsiaTheme="minorHAnsi" w:hAnsi="Times New Roman" w:cs="Times New Roman"/>
          <w:sz w:val="24"/>
          <w:szCs w:val="24"/>
          <w:lang w:val="sq-AL"/>
        </w:rPr>
        <w:t xml:space="preserve"> krahasuar me vitin </w:t>
      </w:r>
      <w:r w:rsidR="00C630D9"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 xml:space="preserve">; </w:t>
      </w:r>
    </w:p>
    <w:p w14:paraId="35BF1AB7" w14:textId="22602863" w:rsidR="004E5DAE" w:rsidRPr="00D7447D" w:rsidRDefault="00C8547E" w:rsidP="000B3CCC">
      <w:pPr>
        <w:spacing w:before="120" w:after="120" w:line="276" w:lineRule="auto"/>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 xml:space="preserve">Gjatë periudhës </w:t>
      </w:r>
      <w:r w:rsidR="00C630D9"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w:t>
      </w:r>
      <w:r w:rsidR="00D65A8F"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5</w:t>
      </w:r>
      <w:r w:rsidR="004E5DAE" w:rsidRPr="00D7447D">
        <w:rPr>
          <w:rFonts w:ascii="Times New Roman" w:eastAsiaTheme="minorHAnsi" w:hAnsi="Times New Roman" w:cs="Times New Roman"/>
          <w:sz w:val="24"/>
          <w:szCs w:val="24"/>
          <w:lang w:val="sq-AL"/>
        </w:rPr>
        <w:t xml:space="preserve">, programi “Sigurimi Shoqëror” synon: </w:t>
      </w:r>
    </w:p>
    <w:p w14:paraId="7F70B9F7" w14:textId="47B238C7"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Rritjen e raportit të të ardhurave nga kontributet e sigurimeve shoqërore ndaj mbështetjes buxhetore për skemën e sigurimeve s</w:t>
      </w:r>
      <w:r w:rsidR="00C8547E" w:rsidRPr="00D7447D">
        <w:rPr>
          <w:rFonts w:ascii="Times New Roman" w:eastAsiaTheme="minorHAnsi" w:hAnsi="Times New Roman" w:cs="Times New Roman"/>
          <w:sz w:val="24"/>
          <w:szCs w:val="24"/>
          <w:lang w:val="sq-AL"/>
        </w:rPr>
        <w:t xml:space="preserve">hoqërore nga 61:39 në vitin </w:t>
      </w:r>
      <w:r w:rsidR="00C630D9"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2</w:t>
      </w:r>
      <w:r w:rsidR="00C8547E" w:rsidRPr="00D7447D">
        <w:rPr>
          <w:rFonts w:ascii="Times New Roman" w:eastAsiaTheme="minorHAnsi" w:hAnsi="Times New Roman" w:cs="Times New Roman"/>
          <w:sz w:val="24"/>
          <w:szCs w:val="24"/>
          <w:lang w:val="sq-AL"/>
        </w:rPr>
        <w:t xml:space="preserve"> në 62:38 në vitin </w:t>
      </w:r>
      <w:r w:rsidR="00D65A8F"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 xml:space="preserve">; </w:t>
      </w:r>
    </w:p>
    <w:p w14:paraId="229B309E" w14:textId="3CCA25FB" w:rsidR="004E5DAE" w:rsidRPr="00D7447D" w:rsidRDefault="004E5DAE" w:rsidP="000B3CCC">
      <w:pPr>
        <w:numPr>
          <w:ilvl w:val="0"/>
          <w:numId w:val="4"/>
        </w:numPr>
        <w:spacing w:after="0" w:line="276" w:lineRule="auto"/>
        <w:contextualSpacing/>
        <w:jc w:val="both"/>
        <w:rPr>
          <w:rFonts w:ascii="Times New Roman" w:eastAsiaTheme="minorHAnsi" w:hAnsi="Times New Roman" w:cs="Times New Roman"/>
          <w:sz w:val="24"/>
          <w:szCs w:val="24"/>
          <w:lang w:val="sq-AL"/>
        </w:rPr>
      </w:pPr>
      <w:r w:rsidRPr="00D7447D">
        <w:rPr>
          <w:rFonts w:ascii="Times New Roman" w:eastAsiaTheme="minorHAnsi" w:hAnsi="Times New Roman" w:cs="Times New Roman"/>
          <w:sz w:val="24"/>
          <w:szCs w:val="24"/>
          <w:lang w:val="sq-AL"/>
        </w:rPr>
        <w:t>Përmirësimi i raportit të punësuar (kontribues) për pensionist (përfitues) nga 1.21 të punës</w:t>
      </w:r>
      <w:r w:rsidR="00C8547E" w:rsidRPr="00D7447D">
        <w:rPr>
          <w:rFonts w:ascii="Times New Roman" w:eastAsiaTheme="minorHAnsi" w:hAnsi="Times New Roman" w:cs="Times New Roman"/>
          <w:sz w:val="24"/>
          <w:szCs w:val="24"/>
          <w:lang w:val="sq-AL"/>
        </w:rPr>
        <w:t xml:space="preserve">uar për pensionist në vitin </w:t>
      </w:r>
      <w:r w:rsidR="00C630D9"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2</w:t>
      </w:r>
      <w:r w:rsidRPr="00D7447D">
        <w:rPr>
          <w:rFonts w:ascii="Times New Roman" w:eastAsiaTheme="minorHAnsi" w:hAnsi="Times New Roman" w:cs="Times New Roman"/>
          <w:sz w:val="24"/>
          <w:szCs w:val="24"/>
          <w:lang w:val="sq-AL"/>
        </w:rPr>
        <w:t xml:space="preserve"> në 1.26 të punës</w:t>
      </w:r>
      <w:r w:rsidR="00C8547E" w:rsidRPr="00D7447D">
        <w:rPr>
          <w:rFonts w:ascii="Times New Roman" w:eastAsiaTheme="minorHAnsi" w:hAnsi="Times New Roman" w:cs="Times New Roman"/>
          <w:sz w:val="24"/>
          <w:szCs w:val="24"/>
          <w:lang w:val="sq-AL"/>
        </w:rPr>
        <w:t xml:space="preserve">uar për pensionist në vitin </w:t>
      </w:r>
      <w:r w:rsidR="00D65A8F" w:rsidRPr="00D7447D">
        <w:rPr>
          <w:rFonts w:ascii="Times New Roman" w:eastAsiaTheme="minorHAnsi" w:hAnsi="Times New Roman" w:cs="Times New Roman"/>
          <w:sz w:val="24"/>
          <w:szCs w:val="24"/>
          <w:lang w:val="sq-AL"/>
        </w:rPr>
        <w:t>202</w:t>
      </w:r>
      <w:r w:rsidR="00707D8A" w:rsidRPr="00D7447D">
        <w:rPr>
          <w:rFonts w:ascii="Times New Roman" w:eastAsiaTheme="minorHAnsi" w:hAnsi="Times New Roman" w:cs="Times New Roman"/>
          <w:sz w:val="24"/>
          <w:szCs w:val="24"/>
          <w:lang w:val="sq-AL"/>
        </w:rPr>
        <w:t>5</w:t>
      </w:r>
      <w:r w:rsidRPr="00D7447D">
        <w:rPr>
          <w:rFonts w:ascii="Times New Roman" w:eastAsiaTheme="minorHAnsi" w:hAnsi="Times New Roman" w:cs="Times New Roman"/>
          <w:sz w:val="24"/>
          <w:szCs w:val="24"/>
          <w:lang w:val="sq-AL"/>
        </w:rPr>
        <w:t>.</w:t>
      </w:r>
    </w:p>
    <w:p w14:paraId="6F85C9A9" w14:textId="77777777" w:rsidR="006B76CA" w:rsidRPr="00D7447D" w:rsidRDefault="006B76CA" w:rsidP="000B3CCC">
      <w:pPr>
        <w:pStyle w:val="Default"/>
        <w:spacing w:line="276" w:lineRule="auto"/>
        <w:jc w:val="both"/>
        <w:rPr>
          <w:rFonts w:ascii="Times New Roman" w:hAnsi="Times New Roman" w:cs="Times New Roman"/>
          <w:color w:val="auto"/>
        </w:rPr>
      </w:pPr>
    </w:p>
    <w:p w14:paraId="7A9649C2" w14:textId="77777777" w:rsidR="00D9433C" w:rsidRPr="00D7447D" w:rsidRDefault="00D9433C" w:rsidP="000B3CCC">
      <w:pPr>
        <w:pStyle w:val="Heading1"/>
        <w:spacing w:line="276" w:lineRule="auto"/>
        <w:rPr>
          <w:rFonts w:ascii="Times New Roman" w:hAnsi="Times New Roman" w:cs="Times New Roman"/>
          <w:b/>
          <w:color w:val="auto"/>
          <w:sz w:val="24"/>
          <w:szCs w:val="24"/>
          <w:lang w:eastAsia="sq-AL"/>
        </w:rPr>
      </w:pPr>
      <w:bookmarkStart w:id="1027" w:name="_Toc115701064"/>
      <w:r w:rsidRPr="00D7447D">
        <w:rPr>
          <w:rFonts w:ascii="Times New Roman" w:hAnsi="Times New Roman" w:cs="Times New Roman"/>
          <w:b/>
          <w:color w:val="auto"/>
          <w:sz w:val="24"/>
          <w:szCs w:val="24"/>
        </w:rPr>
        <w:t>Anekse</w:t>
      </w:r>
      <w:bookmarkEnd w:id="1027"/>
    </w:p>
    <w:p w14:paraId="729890EF" w14:textId="01DCBDC5" w:rsidR="00D9433C" w:rsidRPr="00D7447D" w:rsidRDefault="00D9433C" w:rsidP="000B3CCC">
      <w:pPr>
        <w:spacing w:line="276" w:lineRule="auto"/>
        <w:jc w:val="both"/>
        <w:rPr>
          <w:rFonts w:ascii="Times New Roman" w:hAnsi="Times New Roman" w:cs="Times New Roman"/>
          <w:sz w:val="24"/>
          <w:szCs w:val="24"/>
          <w:lang w:eastAsia="sq-AL"/>
        </w:rPr>
      </w:pPr>
      <w:r w:rsidRPr="00D7447D">
        <w:rPr>
          <w:rFonts w:ascii="Times New Roman" w:hAnsi="Times New Roman" w:cs="Times New Roman"/>
          <w:sz w:val="24"/>
          <w:szCs w:val="24"/>
          <w:lang w:eastAsia="sq-AL"/>
        </w:rPr>
        <w:t xml:space="preserve">Bashkëlidhur këtij materiali gjendet informacioni i detajuar mbi kërkesat buxhetore të ministrive të linjës dhe institucioneve qendrore i strukturuar sipas </w:t>
      </w:r>
      <w:r w:rsidR="002F3799">
        <w:rPr>
          <w:rFonts w:ascii="Times New Roman" w:hAnsi="Times New Roman" w:cs="Times New Roman"/>
          <w:sz w:val="24"/>
          <w:szCs w:val="24"/>
          <w:lang w:eastAsia="sq-AL"/>
        </w:rPr>
        <w:t>tre</w:t>
      </w:r>
      <w:r w:rsidRPr="00D7447D">
        <w:rPr>
          <w:rFonts w:ascii="Times New Roman" w:hAnsi="Times New Roman" w:cs="Times New Roman"/>
          <w:sz w:val="24"/>
          <w:szCs w:val="24"/>
          <w:lang w:eastAsia="sq-AL"/>
        </w:rPr>
        <w:t xml:space="preserve"> anekseve mëposhtë:</w:t>
      </w:r>
    </w:p>
    <w:p w14:paraId="61FD0B98" w14:textId="1E6E8F5A" w:rsidR="004F6BD8" w:rsidRPr="00D7447D" w:rsidRDefault="00F03EF5" w:rsidP="000B3CCC">
      <w:pPr>
        <w:numPr>
          <w:ilvl w:val="0"/>
          <w:numId w:val="19"/>
        </w:numPr>
        <w:spacing w:line="276" w:lineRule="auto"/>
        <w:jc w:val="both"/>
        <w:rPr>
          <w:rFonts w:ascii="Times New Roman" w:hAnsi="Times New Roman" w:cs="Times New Roman"/>
          <w:sz w:val="24"/>
          <w:szCs w:val="24"/>
          <w:lang w:eastAsia="sq-AL"/>
        </w:rPr>
      </w:pPr>
      <w:r w:rsidRPr="00D7447D">
        <w:rPr>
          <w:rFonts w:ascii="Times New Roman" w:hAnsi="Times New Roman" w:cs="Times New Roman"/>
          <w:b/>
          <w:i/>
          <w:sz w:val="24"/>
          <w:szCs w:val="24"/>
          <w:lang w:eastAsia="sq-AL"/>
        </w:rPr>
        <w:t>Aneksi nr.</w:t>
      </w:r>
      <w:r w:rsidR="004F6BD8" w:rsidRPr="00D7447D">
        <w:rPr>
          <w:rFonts w:ascii="Times New Roman" w:hAnsi="Times New Roman" w:cs="Times New Roman"/>
          <w:b/>
          <w:i/>
          <w:sz w:val="24"/>
          <w:szCs w:val="24"/>
          <w:lang w:eastAsia="sq-AL"/>
        </w:rPr>
        <w:t xml:space="preserve"> 1</w:t>
      </w:r>
      <w:r w:rsidRPr="00D7447D">
        <w:rPr>
          <w:rFonts w:ascii="Times New Roman" w:hAnsi="Times New Roman" w:cs="Times New Roman"/>
          <w:sz w:val="24"/>
          <w:szCs w:val="24"/>
          <w:lang w:eastAsia="sq-AL"/>
        </w:rPr>
        <w:t>:</w:t>
      </w:r>
      <w:r w:rsidRPr="00D7447D">
        <w:rPr>
          <w:rFonts w:ascii="Times New Roman" w:hAnsi="Times New Roman" w:cs="Times New Roman"/>
          <w:sz w:val="24"/>
          <w:szCs w:val="24"/>
          <w:lang w:eastAsia="sq-AL"/>
        </w:rPr>
        <w:tab/>
      </w:r>
      <w:r w:rsidR="001D2AC6" w:rsidRPr="00D7447D">
        <w:rPr>
          <w:rFonts w:ascii="Times New Roman" w:hAnsi="Times New Roman" w:cs="Times New Roman"/>
          <w:sz w:val="24"/>
          <w:szCs w:val="24"/>
          <w:lang w:eastAsia="sq-AL"/>
        </w:rPr>
        <w:t>“Kërkesat buxhetore 202</w:t>
      </w:r>
      <w:r w:rsidR="000F4B7A" w:rsidRPr="00D7447D">
        <w:rPr>
          <w:rFonts w:ascii="Times New Roman" w:hAnsi="Times New Roman" w:cs="Times New Roman"/>
          <w:sz w:val="24"/>
          <w:szCs w:val="24"/>
          <w:lang w:eastAsia="sq-AL"/>
        </w:rPr>
        <w:t>3</w:t>
      </w:r>
      <w:r w:rsidR="00276849" w:rsidRPr="00D7447D">
        <w:rPr>
          <w:rFonts w:ascii="Times New Roman" w:hAnsi="Times New Roman" w:cs="Times New Roman"/>
          <w:sz w:val="24"/>
          <w:szCs w:val="24"/>
          <w:lang w:eastAsia="sq-AL"/>
        </w:rPr>
        <w:t>-</w:t>
      </w:r>
      <w:r w:rsidR="001D2AC6" w:rsidRPr="00D7447D">
        <w:rPr>
          <w:rFonts w:ascii="Times New Roman" w:hAnsi="Times New Roman" w:cs="Times New Roman"/>
          <w:sz w:val="24"/>
          <w:szCs w:val="24"/>
          <w:lang w:eastAsia="sq-AL"/>
        </w:rPr>
        <w:t>202</w:t>
      </w:r>
      <w:r w:rsidR="000F4B7A" w:rsidRPr="00D7447D">
        <w:rPr>
          <w:rFonts w:ascii="Times New Roman" w:hAnsi="Times New Roman" w:cs="Times New Roman"/>
          <w:sz w:val="24"/>
          <w:szCs w:val="24"/>
          <w:lang w:eastAsia="sq-AL"/>
        </w:rPr>
        <w:t>5</w:t>
      </w:r>
      <w:r w:rsidR="004F6BD8" w:rsidRPr="00D7447D">
        <w:rPr>
          <w:rFonts w:ascii="Times New Roman" w:hAnsi="Times New Roman" w:cs="Times New Roman"/>
          <w:sz w:val="24"/>
          <w:szCs w:val="24"/>
          <w:lang w:eastAsia="sq-AL"/>
        </w:rPr>
        <w:t xml:space="preserve"> për çdo njësi të qeverisjes qendrore”, në të cilin paraqitet në mënyrë të përmbledhur informacioni i siguruar nga ministritë e linjës dhe institucionet qendrore lidhur me Kër</w:t>
      </w:r>
      <w:r w:rsidR="00295F45" w:rsidRPr="00D7447D">
        <w:rPr>
          <w:rFonts w:ascii="Times New Roman" w:hAnsi="Times New Roman" w:cs="Times New Roman"/>
          <w:sz w:val="24"/>
          <w:szCs w:val="24"/>
          <w:lang w:eastAsia="sq-AL"/>
        </w:rPr>
        <w:t>kesat Buxhetore Afatmesme 202</w:t>
      </w:r>
      <w:r w:rsidR="000F4B7A" w:rsidRPr="00D7447D">
        <w:rPr>
          <w:rFonts w:ascii="Times New Roman" w:hAnsi="Times New Roman" w:cs="Times New Roman"/>
          <w:sz w:val="24"/>
          <w:szCs w:val="24"/>
          <w:lang w:eastAsia="sq-AL"/>
        </w:rPr>
        <w:t>3</w:t>
      </w:r>
      <w:r w:rsidR="004F6BD8" w:rsidRPr="00D7447D">
        <w:rPr>
          <w:rFonts w:ascii="Times New Roman" w:hAnsi="Times New Roman" w:cs="Times New Roman"/>
          <w:sz w:val="24"/>
          <w:szCs w:val="24"/>
          <w:lang w:eastAsia="sq-AL"/>
        </w:rPr>
        <w:t>–</w:t>
      </w:r>
      <w:r w:rsidR="001D2AC6" w:rsidRPr="00D7447D">
        <w:rPr>
          <w:rFonts w:ascii="Times New Roman" w:hAnsi="Times New Roman" w:cs="Times New Roman"/>
          <w:sz w:val="24"/>
          <w:szCs w:val="24"/>
          <w:lang w:eastAsia="sq-AL"/>
        </w:rPr>
        <w:t>202</w:t>
      </w:r>
      <w:r w:rsidR="000F4B7A" w:rsidRPr="00D7447D">
        <w:rPr>
          <w:rFonts w:ascii="Times New Roman" w:hAnsi="Times New Roman" w:cs="Times New Roman"/>
          <w:sz w:val="24"/>
          <w:szCs w:val="24"/>
          <w:lang w:eastAsia="sq-AL"/>
        </w:rPr>
        <w:t>5</w:t>
      </w:r>
      <w:r w:rsidR="004F6BD8" w:rsidRPr="00D7447D">
        <w:rPr>
          <w:rFonts w:ascii="Times New Roman" w:hAnsi="Times New Roman" w:cs="Times New Roman"/>
          <w:sz w:val="24"/>
          <w:szCs w:val="24"/>
          <w:lang w:eastAsia="sq-AL"/>
        </w:rPr>
        <w:t>, të paraqitura në përputhje me tavanet përfundimtare në nivel qëllimi të politikës, objektivave dhe produkteve për secilin prej p</w:t>
      </w:r>
      <w:r w:rsidR="001D2AC6" w:rsidRPr="00D7447D">
        <w:rPr>
          <w:rFonts w:ascii="Times New Roman" w:hAnsi="Times New Roman" w:cs="Times New Roman"/>
          <w:sz w:val="24"/>
          <w:szCs w:val="24"/>
          <w:lang w:eastAsia="sq-AL"/>
        </w:rPr>
        <w:t>rogrameve të tyre për vitet 202</w:t>
      </w:r>
      <w:r w:rsidR="002F3799">
        <w:rPr>
          <w:rFonts w:ascii="Times New Roman" w:hAnsi="Times New Roman" w:cs="Times New Roman"/>
          <w:sz w:val="24"/>
          <w:szCs w:val="24"/>
          <w:lang w:eastAsia="sq-AL"/>
        </w:rPr>
        <w:t>3</w:t>
      </w:r>
      <w:r w:rsidR="00276849" w:rsidRPr="00D7447D">
        <w:rPr>
          <w:rFonts w:ascii="Times New Roman" w:hAnsi="Times New Roman" w:cs="Times New Roman"/>
          <w:sz w:val="24"/>
          <w:szCs w:val="24"/>
          <w:lang w:eastAsia="sq-AL"/>
        </w:rPr>
        <w:t xml:space="preserve">, </w:t>
      </w:r>
      <w:r w:rsidR="001D2AC6" w:rsidRPr="00D7447D">
        <w:rPr>
          <w:rFonts w:ascii="Times New Roman" w:hAnsi="Times New Roman" w:cs="Times New Roman"/>
          <w:sz w:val="24"/>
          <w:szCs w:val="24"/>
          <w:lang w:eastAsia="sq-AL"/>
        </w:rPr>
        <w:t>202</w:t>
      </w:r>
      <w:r w:rsidR="002F3799">
        <w:rPr>
          <w:rFonts w:ascii="Times New Roman" w:hAnsi="Times New Roman" w:cs="Times New Roman"/>
          <w:sz w:val="24"/>
          <w:szCs w:val="24"/>
          <w:lang w:eastAsia="sq-AL"/>
        </w:rPr>
        <w:t>4</w:t>
      </w:r>
      <w:r w:rsidR="00276849" w:rsidRPr="00D7447D">
        <w:rPr>
          <w:rFonts w:ascii="Times New Roman" w:hAnsi="Times New Roman" w:cs="Times New Roman"/>
          <w:sz w:val="24"/>
          <w:szCs w:val="24"/>
          <w:lang w:eastAsia="sq-AL"/>
        </w:rPr>
        <w:t xml:space="preserve"> dhe </w:t>
      </w:r>
      <w:r w:rsidR="00D65A8F" w:rsidRPr="00D7447D">
        <w:rPr>
          <w:rFonts w:ascii="Times New Roman" w:hAnsi="Times New Roman" w:cs="Times New Roman"/>
          <w:sz w:val="24"/>
          <w:szCs w:val="24"/>
          <w:lang w:eastAsia="sq-AL"/>
        </w:rPr>
        <w:t>202</w:t>
      </w:r>
      <w:r w:rsidR="002F3799">
        <w:rPr>
          <w:rFonts w:ascii="Times New Roman" w:hAnsi="Times New Roman" w:cs="Times New Roman"/>
          <w:sz w:val="24"/>
          <w:szCs w:val="24"/>
          <w:lang w:eastAsia="sq-AL"/>
        </w:rPr>
        <w:t>5</w:t>
      </w:r>
      <w:r w:rsidRPr="00D7447D">
        <w:rPr>
          <w:rFonts w:ascii="Times New Roman" w:hAnsi="Times New Roman" w:cs="Times New Roman"/>
          <w:sz w:val="24"/>
          <w:szCs w:val="24"/>
          <w:lang w:eastAsia="sq-AL"/>
        </w:rPr>
        <w:t>;</w:t>
      </w:r>
    </w:p>
    <w:p w14:paraId="43B2C047" w14:textId="77777777" w:rsidR="001E6241" w:rsidRPr="00D7447D" w:rsidRDefault="00F03EF5" w:rsidP="000B3CCC">
      <w:pPr>
        <w:numPr>
          <w:ilvl w:val="0"/>
          <w:numId w:val="19"/>
        </w:numPr>
        <w:spacing w:line="276" w:lineRule="auto"/>
        <w:jc w:val="both"/>
        <w:rPr>
          <w:rFonts w:ascii="Times New Roman" w:hAnsi="Times New Roman" w:cs="Times New Roman"/>
          <w:sz w:val="24"/>
          <w:szCs w:val="24"/>
          <w:lang w:eastAsia="sq-AL"/>
        </w:rPr>
      </w:pPr>
      <w:r w:rsidRPr="00D7447D">
        <w:rPr>
          <w:rFonts w:ascii="Times New Roman" w:hAnsi="Times New Roman" w:cs="Times New Roman"/>
          <w:b/>
          <w:i/>
          <w:sz w:val="24"/>
          <w:szCs w:val="24"/>
          <w:lang w:eastAsia="sq-AL"/>
        </w:rPr>
        <w:t xml:space="preserve">Aneksi nr. 2: </w:t>
      </w:r>
      <w:r w:rsidRPr="00D7447D">
        <w:rPr>
          <w:rFonts w:ascii="Times New Roman" w:hAnsi="Times New Roman" w:cs="Times New Roman"/>
          <w:b/>
          <w:i/>
          <w:sz w:val="24"/>
          <w:szCs w:val="24"/>
          <w:lang w:eastAsia="sq-AL"/>
        </w:rPr>
        <w:tab/>
        <w:t>“</w:t>
      </w:r>
      <w:r w:rsidR="001E6241" w:rsidRPr="00D7447D">
        <w:rPr>
          <w:rFonts w:ascii="Times New Roman" w:hAnsi="Times New Roman" w:cs="Times New Roman"/>
          <w:sz w:val="24"/>
          <w:szCs w:val="24"/>
          <w:lang w:eastAsia="sq-AL"/>
        </w:rPr>
        <w:t>Buxhetimi i Përgjigjshëm Gjinor”;</w:t>
      </w:r>
    </w:p>
    <w:p w14:paraId="3B873983" w14:textId="77777777" w:rsidR="00DD7795" w:rsidRPr="00D7447D" w:rsidRDefault="00F03EF5" w:rsidP="000B3CCC">
      <w:pPr>
        <w:numPr>
          <w:ilvl w:val="0"/>
          <w:numId w:val="19"/>
        </w:numPr>
        <w:spacing w:line="276" w:lineRule="auto"/>
        <w:jc w:val="both"/>
        <w:rPr>
          <w:rFonts w:ascii="Times New Roman" w:hAnsi="Times New Roman" w:cs="Times New Roman"/>
          <w:sz w:val="24"/>
          <w:szCs w:val="24"/>
          <w:lang w:eastAsia="sq-AL"/>
        </w:rPr>
      </w:pPr>
      <w:r w:rsidRPr="00D7447D">
        <w:rPr>
          <w:rFonts w:ascii="Times New Roman" w:hAnsi="Times New Roman" w:cs="Times New Roman"/>
          <w:b/>
          <w:i/>
          <w:sz w:val="24"/>
          <w:szCs w:val="24"/>
          <w:lang w:eastAsia="sq-AL"/>
        </w:rPr>
        <w:t>Aneksi n</w:t>
      </w:r>
      <w:r w:rsidR="00AB7013" w:rsidRPr="00D7447D">
        <w:rPr>
          <w:rFonts w:ascii="Times New Roman" w:hAnsi="Times New Roman" w:cs="Times New Roman"/>
          <w:b/>
          <w:i/>
          <w:sz w:val="24"/>
          <w:szCs w:val="24"/>
          <w:lang w:eastAsia="sq-AL"/>
        </w:rPr>
        <w:t>r</w:t>
      </w:r>
      <w:r w:rsidRPr="00D7447D">
        <w:rPr>
          <w:rFonts w:ascii="Times New Roman" w:hAnsi="Times New Roman" w:cs="Times New Roman"/>
          <w:b/>
          <w:i/>
          <w:sz w:val="24"/>
          <w:szCs w:val="24"/>
          <w:lang w:eastAsia="sq-AL"/>
        </w:rPr>
        <w:t>.</w:t>
      </w:r>
      <w:r w:rsidR="00AB7013" w:rsidRPr="00D7447D">
        <w:rPr>
          <w:rFonts w:ascii="Times New Roman" w:hAnsi="Times New Roman" w:cs="Times New Roman"/>
          <w:b/>
          <w:i/>
          <w:sz w:val="24"/>
          <w:szCs w:val="24"/>
          <w:lang w:eastAsia="sq-AL"/>
        </w:rPr>
        <w:t xml:space="preserve"> 3</w:t>
      </w:r>
      <w:r w:rsidRPr="00D7447D">
        <w:rPr>
          <w:rFonts w:ascii="Times New Roman" w:hAnsi="Times New Roman" w:cs="Times New Roman"/>
          <w:b/>
          <w:i/>
          <w:sz w:val="24"/>
          <w:szCs w:val="24"/>
          <w:lang w:eastAsia="sq-AL"/>
        </w:rPr>
        <w:t xml:space="preserve">: </w:t>
      </w:r>
      <w:r w:rsidRPr="00D7447D">
        <w:rPr>
          <w:rFonts w:ascii="Times New Roman" w:hAnsi="Times New Roman" w:cs="Times New Roman"/>
          <w:b/>
          <w:i/>
          <w:sz w:val="24"/>
          <w:szCs w:val="24"/>
          <w:lang w:eastAsia="sq-AL"/>
        </w:rPr>
        <w:tab/>
      </w:r>
      <w:r w:rsidR="00DD7795" w:rsidRPr="00D7447D">
        <w:rPr>
          <w:rFonts w:ascii="Times New Roman" w:hAnsi="Times New Roman" w:cs="Times New Roman"/>
          <w:b/>
          <w:i/>
          <w:sz w:val="24"/>
          <w:szCs w:val="24"/>
          <w:lang w:eastAsia="sq-AL"/>
        </w:rPr>
        <w:t xml:space="preserve"> </w:t>
      </w:r>
      <w:r w:rsidR="00DD7795" w:rsidRPr="00D7447D">
        <w:rPr>
          <w:rFonts w:ascii="Times New Roman" w:hAnsi="Times New Roman" w:cs="Times New Roman"/>
          <w:sz w:val="24"/>
          <w:szCs w:val="24"/>
          <w:lang w:eastAsia="sq-AL"/>
        </w:rPr>
        <w:t xml:space="preserve">“Transferta </w:t>
      </w:r>
      <w:r w:rsidR="00FA0246" w:rsidRPr="00D7447D">
        <w:rPr>
          <w:rFonts w:ascii="Times New Roman" w:hAnsi="Times New Roman" w:cs="Times New Roman"/>
          <w:sz w:val="24"/>
          <w:szCs w:val="24"/>
          <w:lang w:eastAsia="sq-AL"/>
        </w:rPr>
        <w:t>ndaj njësive të vetëqeverisjes vendore”</w:t>
      </w:r>
      <w:r w:rsidRPr="00D7447D">
        <w:rPr>
          <w:rFonts w:ascii="Times New Roman" w:hAnsi="Times New Roman" w:cs="Times New Roman"/>
          <w:sz w:val="24"/>
          <w:szCs w:val="24"/>
          <w:lang w:eastAsia="sq-AL"/>
        </w:rPr>
        <w:t>;</w:t>
      </w:r>
    </w:p>
    <w:p w14:paraId="4DB628A3" w14:textId="77777777" w:rsidR="00B2102B" w:rsidRPr="00D7447D" w:rsidRDefault="00B2102B" w:rsidP="000B3CCC">
      <w:pPr>
        <w:spacing w:line="276" w:lineRule="auto"/>
        <w:ind w:left="720"/>
        <w:jc w:val="both"/>
        <w:rPr>
          <w:rFonts w:ascii="Times New Roman" w:hAnsi="Times New Roman" w:cs="Times New Roman"/>
          <w:sz w:val="24"/>
          <w:szCs w:val="24"/>
          <w:lang w:eastAsia="sq-AL"/>
        </w:rPr>
      </w:pPr>
    </w:p>
    <w:sectPr w:rsidR="00B2102B" w:rsidRPr="00D7447D" w:rsidSect="00304C97">
      <w:footerReference w:type="default" r:id="rId42"/>
      <w:pgSz w:w="12240" w:h="15840"/>
      <w:pgMar w:top="1166"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C1D9" w14:textId="77777777" w:rsidR="005F6417" w:rsidRDefault="005F6417" w:rsidP="002C567D">
      <w:pPr>
        <w:spacing w:after="0" w:line="240" w:lineRule="auto"/>
      </w:pPr>
      <w:r>
        <w:separator/>
      </w:r>
    </w:p>
  </w:endnote>
  <w:endnote w:type="continuationSeparator" w:id="0">
    <w:p w14:paraId="0F529F1A" w14:textId="77777777" w:rsidR="005F6417" w:rsidRDefault="005F6417"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953183"/>
      <w:docPartObj>
        <w:docPartGallery w:val="Page Numbers (Bottom of Page)"/>
        <w:docPartUnique/>
      </w:docPartObj>
    </w:sdtPr>
    <w:sdtEndPr>
      <w:rPr>
        <w:noProof/>
      </w:rPr>
    </w:sdtEndPr>
    <w:sdtContent>
      <w:p w14:paraId="672F888C" w14:textId="77777777" w:rsidR="00D7447D" w:rsidRDefault="00D744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6598C" w14:textId="77777777" w:rsidR="00D7447D" w:rsidRDefault="00D74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9C52" w14:textId="77777777" w:rsidR="00D7447D" w:rsidRDefault="00D7447D" w:rsidP="00D7447D">
    <w:pPr>
      <w:pStyle w:val="Footer"/>
      <w:jc w:val="center"/>
    </w:pPr>
  </w:p>
  <w:p w14:paraId="52D5E129" w14:textId="77777777" w:rsidR="00D7447D" w:rsidRDefault="00D74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099754"/>
      <w:docPartObj>
        <w:docPartGallery w:val="Page Numbers (Bottom of Page)"/>
        <w:docPartUnique/>
      </w:docPartObj>
    </w:sdtPr>
    <w:sdtEndPr>
      <w:rPr>
        <w:noProof/>
      </w:rPr>
    </w:sdtEndPr>
    <w:sdtContent>
      <w:p w14:paraId="35212147" w14:textId="08925CF3" w:rsidR="00D7447D" w:rsidRDefault="00D7447D" w:rsidP="009B79CF">
        <w:pPr>
          <w:pStyle w:val="Footer"/>
        </w:pPr>
        <w:r>
          <w:tab/>
        </w:r>
        <w:r>
          <w:tab/>
        </w:r>
        <w:r>
          <w:fldChar w:fldCharType="begin"/>
        </w:r>
        <w:r>
          <w:instrText xml:space="preserve"> PAGE   \* MERGEFORMAT </w:instrText>
        </w:r>
        <w:r>
          <w:fldChar w:fldCharType="separate"/>
        </w:r>
        <w:r>
          <w:rPr>
            <w:noProof/>
          </w:rPr>
          <w:t>21</w:t>
        </w:r>
        <w:r>
          <w:rPr>
            <w:noProof/>
          </w:rPr>
          <w:fldChar w:fldCharType="end"/>
        </w:r>
      </w:p>
    </w:sdtContent>
  </w:sdt>
  <w:p w14:paraId="53066833" w14:textId="77777777" w:rsidR="00D7447D" w:rsidRDefault="00D7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4B4B1" w14:textId="77777777" w:rsidR="005F6417" w:rsidRDefault="005F6417" w:rsidP="002C567D">
      <w:pPr>
        <w:spacing w:after="0" w:line="240" w:lineRule="auto"/>
      </w:pPr>
      <w:r>
        <w:separator/>
      </w:r>
    </w:p>
  </w:footnote>
  <w:footnote w:type="continuationSeparator" w:id="0">
    <w:p w14:paraId="17367A37" w14:textId="77777777" w:rsidR="005F6417" w:rsidRDefault="005F6417" w:rsidP="002C567D">
      <w:pPr>
        <w:spacing w:after="0" w:line="240" w:lineRule="auto"/>
      </w:pPr>
      <w:r>
        <w:continuationSeparator/>
      </w:r>
    </w:p>
  </w:footnote>
  <w:footnote w:id="1">
    <w:p w14:paraId="65076160" w14:textId="77777777" w:rsidR="00D7447D" w:rsidRPr="00D3402E" w:rsidRDefault="00D7447D" w:rsidP="007D4292">
      <w:pPr>
        <w:pStyle w:val="FootnoteText"/>
        <w:jc w:val="both"/>
        <w:rPr>
          <w:rFonts w:cstheme="minorHAnsi"/>
          <w:lang w:val="en-GB"/>
        </w:rPr>
      </w:pPr>
      <w:r w:rsidRPr="00D3402E">
        <w:rPr>
          <w:rStyle w:val="FootnoteReference"/>
          <w:rFonts w:cstheme="minorHAnsi"/>
        </w:rPr>
        <w:footnoteRef/>
      </w:r>
      <w:r w:rsidRPr="00D3402E">
        <w:rPr>
          <w:rFonts w:cstheme="minorHAnsi"/>
        </w:rPr>
        <w:t xml:space="preserve"> </w:t>
      </w:r>
      <w:r w:rsidRPr="00D3402E">
        <w:rPr>
          <w:rFonts w:cstheme="minorHAnsi"/>
          <w:lang w:val="sq-AL"/>
        </w:rPr>
        <w:t xml:space="preserve">Rregulli origjinal sanksiononte “që prej 2023”, por më pas kjo u ndryshua sërish në Korrik të 2021 dhe u bë “që prej  2024”.  </w:t>
      </w:r>
    </w:p>
  </w:footnote>
  <w:footnote w:id="2">
    <w:p w14:paraId="0892B5C4" w14:textId="77777777" w:rsidR="00D7447D" w:rsidRDefault="00D7447D" w:rsidP="00EF5076">
      <w:pPr>
        <w:pStyle w:val="FootnoteText"/>
      </w:pPr>
      <w:r>
        <w:rPr>
          <w:rStyle w:val="FootnoteReference"/>
        </w:rPr>
        <w:footnoteRef/>
      </w:r>
      <w:r>
        <w:t xml:space="preserve"> </w:t>
      </w:r>
      <w:r w:rsidRPr="00FA2F2A">
        <w:t>Sipas vlerësimeve nga EUROSTAT- Agregatët kryesorë të PBB-së dhe vlerësimet e punësimit për tremujorin e dytë të 2022 publikuar më 7 Shtator 2022.</w:t>
      </w:r>
    </w:p>
  </w:footnote>
  <w:footnote w:id="3">
    <w:p w14:paraId="7F53C510" w14:textId="77777777" w:rsidR="00D7447D" w:rsidRDefault="00D7447D" w:rsidP="00EF5076">
      <w:pPr>
        <w:pStyle w:val="FootnoteText"/>
      </w:pPr>
      <w:r>
        <w:rPr>
          <w:rStyle w:val="FootnoteReference"/>
        </w:rPr>
        <w:footnoteRef/>
      </w:r>
      <w:r>
        <w:t xml:space="preserve"> </w:t>
      </w:r>
      <w:r w:rsidRPr="00FA2F2A">
        <w:t>Sipas vlerësimeve nga EUROSTAT- Papunësia në Eurozonë dhe BE publikuar më 1 Shtator 2022.</w:t>
      </w:r>
    </w:p>
  </w:footnote>
  <w:footnote w:id="4">
    <w:p w14:paraId="4BBC051A" w14:textId="77777777" w:rsidR="00D7447D" w:rsidRDefault="00D7447D" w:rsidP="00EF5076">
      <w:pPr>
        <w:pStyle w:val="FootnoteText"/>
      </w:pPr>
      <w:r>
        <w:rPr>
          <w:rStyle w:val="FootnoteReference"/>
        </w:rPr>
        <w:footnoteRef/>
      </w:r>
      <w:r>
        <w:t xml:space="preserve"> </w:t>
      </w:r>
      <w:r w:rsidRPr="00FA2F2A">
        <w:t>Sipas vlerësimeve nga EUROSTAT-Inflacioni vjetor ne Eurozonë dhe BE publikuar më 18 Gusht 2022.</w:t>
      </w:r>
    </w:p>
  </w:footnote>
  <w:footnote w:id="5">
    <w:p w14:paraId="071C8DE4" w14:textId="77777777" w:rsidR="00D7447D" w:rsidRDefault="00D7447D" w:rsidP="00EF5076">
      <w:pPr>
        <w:pStyle w:val="FootnoteText"/>
      </w:pPr>
      <w:r>
        <w:rPr>
          <w:rStyle w:val="FootnoteReference"/>
        </w:rPr>
        <w:footnoteRef/>
      </w:r>
      <w:r>
        <w:t xml:space="preserve"> </w:t>
      </w:r>
      <w:r w:rsidRPr="00FA2F2A">
        <w:t>Sipas vlerësimit nga BQE- publikuar më 22 Shtator 2022.</w:t>
      </w:r>
    </w:p>
  </w:footnote>
  <w:footnote w:id="6">
    <w:p w14:paraId="6D7C1654" w14:textId="77777777" w:rsidR="00D7447D" w:rsidRDefault="00D7447D" w:rsidP="00EF5076">
      <w:pPr>
        <w:pStyle w:val="FootnoteText"/>
        <w:jc w:val="both"/>
      </w:pPr>
      <w:r w:rsidRPr="00D3402E">
        <w:rPr>
          <w:rStyle w:val="FootnoteReference"/>
          <w:rFonts w:cstheme="minorHAnsi"/>
          <w:sz w:val="18"/>
          <w:szCs w:val="18"/>
        </w:rPr>
        <w:footnoteRef/>
      </w:r>
      <w:r>
        <w:rPr>
          <w:rFonts w:cstheme="minorHAnsi"/>
          <w:sz w:val="18"/>
          <w:szCs w:val="18"/>
        </w:rPr>
        <w:t xml:space="preserve"> </w:t>
      </w:r>
      <w:r w:rsidRPr="00D3402E">
        <w:rPr>
          <w:rFonts w:cstheme="minorHAnsi"/>
          <w:sz w:val="18"/>
          <w:szCs w:val="18"/>
        </w:rPr>
        <w:t>Analiza e zhvillimeve ekonomike në ketë seksion, bazohet në statistikat/informacionin më të fundit zyrtar të disponueshëm, në momentin e hartimit të këtij raporti.</w:t>
      </w:r>
    </w:p>
  </w:footnote>
  <w:footnote w:id="7">
    <w:p w14:paraId="4C717EB0" w14:textId="77777777" w:rsidR="00D7447D" w:rsidRDefault="00D7447D" w:rsidP="00EF5076">
      <w:pPr>
        <w:pStyle w:val="FootnoteText"/>
        <w:rPr>
          <w:sz w:val="16"/>
          <w:szCs w:val="16"/>
        </w:rPr>
      </w:pPr>
      <w:r>
        <w:rPr>
          <w:rStyle w:val="FootnoteReference"/>
        </w:rPr>
        <w:footnoteRef/>
      </w:r>
      <w:r>
        <w:t xml:space="preserve"> </w:t>
      </w:r>
      <w:r w:rsidRPr="007B0E2C">
        <w:rPr>
          <w:sz w:val="16"/>
          <w:szCs w:val="16"/>
        </w:rPr>
        <w:t xml:space="preserve">Norma e papunësisë e regjistruar për grupmoshën 15-64 vjeç sipas klasifikimit të Anketës së Tregut të Forcës së Punës (ATFP të INSTAT) për </w:t>
      </w:r>
    </w:p>
    <w:p w14:paraId="39160E9D" w14:textId="77777777" w:rsidR="00D7447D" w:rsidRPr="00155FDB" w:rsidRDefault="00D7447D" w:rsidP="00EF5076">
      <w:pPr>
        <w:pStyle w:val="FootnoteText"/>
        <w:rPr>
          <w:lang w:val="it-IT"/>
        </w:rPr>
      </w:pPr>
      <w:r w:rsidRPr="00155FDB">
        <w:rPr>
          <w:sz w:val="16"/>
          <w:szCs w:val="16"/>
          <w:lang w:val="it-IT"/>
        </w:rPr>
        <w:t xml:space="preserve">tremujorin e </w:t>
      </w:r>
      <w:r>
        <w:rPr>
          <w:sz w:val="16"/>
          <w:szCs w:val="16"/>
          <w:lang w:val="it-IT"/>
        </w:rPr>
        <w:t>dyt</w:t>
      </w:r>
      <w:r>
        <w:rPr>
          <w:rFonts w:ascii="Arial" w:hAnsi="Arial" w:cs="Arial"/>
          <w:sz w:val="16"/>
          <w:szCs w:val="16"/>
          <w:lang w:val="it-IT"/>
        </w:rPr>
        <w:t>ë</w:t>
      </w:r>
      <w:r w:rsidRPr="00155FDB">
        <w:rPr>
          <w:sz w:val="16"/>
          <w:szCs w:val="16"/>
          <w:lang w:val="it-IT"/>
        </w:rPr>
        <w:t xml:space="preserve"> të vitit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DB7"/>
    <w:multiLevelType w:val="hybridMultilevel"/>
    <w:tmpl w:val="54C4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D460A"/>
    <w:multiLevelType w:val="hybridMultilevel"/>
    <w:tmpl w:val="4E5CA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876B76"/>
    <w:multiLevelType w:val="hybridMultilevel"/>
    <w:tmpl w:val="B8B6A178"/>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15:restartNumberingAfterBreak="0">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E1811"/>
    <w:multiLevelType w:val="hybridMultilevel"/>
    <w:tmpl w:val="6E12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6623F"/>
    <w:multiLevelType w:val="hybridMultilevel"/>
    <w:tmpl w:val="AAA62724"/>
    <w:lvl w:ilvl="0" w:tplc="3A286D7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8E84002"/>
    <w:multiLevelType w:val="hybridMultilevel"/>
    <w:tmpl w:val="B8564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F31B5"/>
    <w:multiLevelType w:val="hybridMultilevel"/>
    <w:tmpl w:val="DDC089DA"/>
    <w:lvl w:ilvl="0" w:tplc="0409000D">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1F3C7E20"/>
    <w:multiLevelType w:val="hybridMultilevel"/>
    <w:tmpl w:val="B33A5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3" w15:restartNumberingAfterBreak="0">
    <w:nsid w:val="295D0484"/>
    <w:multiLevelType w:val="hybridMultilevel"/>
    <w:tmpl w:val="DEA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129E5"/>
    <w:multiLevelType w:val="hybridMultilevel"/>
    <w:tmpl w:val="5C5A86F6"/>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5489A"/>
    <w:multiLevelType w:val="hybridMultilevel"/>
    <w:tmpl w:val="A9361C1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E45E3"/>
    <w:multiLevelType w:val="multilevel"/>
    <w:tmpl w:val="523AF6A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9" w15:restartNumberingAfterBreak="0">
    <w:nsid w:val="37D81077"/>
    <w:multiLevelType w:val="hybridMultilevel"/>
    <w:tmpl w:val="91BA28CC"/>
    <w:lvl w:ilvl="0" w:tplc="04090001">
      <w:start w:val="1"/>
      <w:numFmt w:val="bullet"/>
      <w:lvlText w:val=""/>
      <w:lvlJc w:val="left"/>
      <w:pPr>
        <w:ind w:left="630" w:hanging="360"/>
      </w:pPr>
      <w:rPr>
        <w:rFonts w:ascii="Symbol" w:hAnsi="Symbol"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20" w15:restartNumberingAfterBreak="0">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86A96"/>
    <w:multiLevelType w:val="hybridMultilevel"/>
    <w:tmpl w:val="A9489A2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D0521"/>
    <w:multiLevelType w:val="hybridMultilevel"/>
    <w:tmpl w:val="E1F29BBE"/>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3" w15:restartNumberingAfterBreak="0">
    <w:nsid w:val="43345F84"/>
    <w:multiLevelType w:val="hybridMultilevel"/>
    <w:tmpl w:val="0590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D6E5C"/>
    <w:multiLevelType w:val="hybridMultilevel"/>
    <w:tmpl w:val="AD5C4F5C"/>
    <w:lvl w:ilvl="0" w:tplc="23C8360E">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E34BB"/>
    <w:multiLevelType w:val="hybridMultilevel"/>
    <w:tmpl w:val="59A46F8C"/>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0206F"/>
    <w:multiLevelType w:val="hybridMultilevel"/>
    <w:tmpl w:val="D1C2A9D2"/>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025979"/>
    <w:multiLevelType w:val="hybridMultilevel"/>
    <w:tmpl w:val="7728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FA1BAF"/>
    <w:multiLevelType w:val="hybridMultilevel"/>
    <w:tmpl w:val="A23C6BA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C2163"/>
    <w:multiLevelType w:val="hybridMultilevel"/>
    <w:tmpl w:val="400C8832"/>
    <w:lvl w:ilvl="0" w:tplc="AD2015B6">
      <w:start w:val="1"/>
      <w:numFmt w:val="bullet"/>
      <w:lvlText w:val="•"/>
      <w:lvlJc w:val="left"/>
      <w:pPr>
        <w:tabs>
          <w:tab w:val="num" w:pos="720"/>
        </w:tabs>
        <w:ind w:left="720" w:hanging="360"/>
      </w:pPr>
      <w:rPr>
        <w:rFonts w:ascii="Times New Roman" w:hAnsi="Times New Roman" w:hint="default"/>
      </w:rPr>
    </w:lvl>
    <w:lvl w:ilvl="1" w:tplc="27869B7A" w:tentative="1">
      <w:start w:val="1"/>
      <w:numFmt w:val="bullet"/>
      <w:lvlText w:val="•"/>
      <w:lvlJc w:val="left"/>
      <w:pPr>
        <w:tabs>
          <w:tab w:val="num" w:pos="1440"/>
        </w:tabs>
        <w:ind w:left="1440" w:hanging="360"/>
      </w:pPr>
      <w:rPr>
        <w:rFonts w:ascii="Times New Roman" w:hAnsi="Times New Roman" w:hint="default"/>
      </w:rPr>
    </w:lvl>
    <w:lvl w:ilvl="2" w:tplc="015C8DC6" w:tentative="1">
      <w:start w:val="1"/>
      <w:numFmt w:val="bullet"/>
      <w:lvlText w:val="•"/>
      <w:lvlJc w:val="left"/>
      <w:pPr>
        <w:tabs>
          <w:tab w:val="num" w:pos="2160"/>
        </w:tabs>
        <w:ind w:left="2160" w:hanging="360"/>
      </w:pPr>
      <w:rPr>
        <w:rFonts w:ascii="Times New Roman" w:hAnsi="Times New Roman" w:hint="default"/>
      </w:rPr>
    </w:lvl>
    <w:lvl w:ilvl="3" w:tplc="81AC4CFE" w:tentative="1">
      <w:start w:val="1"/>
      <w:numFmt w:val="bullet"/>
      <w:lvlText w:val="•"/>
      <w:lvlJc w:val="left"/>
      <w:pPr>
        <w:tabs>
          <w:tab w:val="num" w:pos="2880"/>
        </w:tabs>
        <w:ind w:left="2880" w:hanging="360"/>
      </w:pPr>
      <w:rPr>
        <w:rFonts w:ascii="Times New Roman" w:hAnsi="Times New Roman" w:hint="default"/>
      </w:rPr>
    </w:lvl>
    <w:lvl w:ilvl="4" w:tplc="2A1AB1A8" w:tentative="1">
      <w:start w:val="1"/>
      <w:numFmt w:val="bullet"/>
      <w:lvlText w:val="•"/>
      <w:lvlJc w:val="left"/>
      <w:pPr>
        <w:tabs>
          <w:tab w:val="num" w:pos="3600"/>
        </w:tabs>
        <w:ind w:left="3600" w:hanging="360"/>
      </w:pPr>
      <w:rPr>
        <w:rFonts w:ascii="Times New Roman" w:hAnsi="Times New Roman" w:hint="default"/>
      </w:rPr>
    </w:lvl>
    <w:lvl w:ilvl="5" w:tplc="21E2237E" w:tentative="1">
      <w:start w:val="1"/>
      <w:numFmt w:val="bullet"/>
      <w:lvlText w:val="•"/>
      <w:lvlJc w:val="left"/>
      <w:pPr>
        <w:tabs>
          <w:tab w:val="num" w:pos="4320"/>
        </w:tabs>
        <w:ind w:left="4320" w:hanging="360"/>
      </w:pPr>
      <w:rPr>
        <w:rFonts w:ascii="Times New Roman" w:hAnsi="Times New Roman" w:hint="default"/>
      </w:rPr>
    </w:lvl>
    <w:lvl w:ilvl="6" w:tplc="FBB8486A" w:tentative="1">
      <w:start w:val="1"/>
      <w:numFmt w:val="bullet"/>
      <w:lvlText w:val="•"/>
      <w:lvlJc w:val="left"/>
      <w:pPr>
        <w:tabs>
          <w:tab w:val="num" w:pos="5040"/>
        </w:tabs>
        <w:ind w:left="5040" w:hanging="360"/>
      </w:pPr>
      <w:rPr>
        <w:rFonts w:ascii="Times New Roman" w:hAnsi="Times New Roman" w:hint="default"/>
      </w:rPr>
    </w:lvl>
    <w:lvl w:ilvl="7" w:tplc="9DC65F4C" w:tentative="1">
      <w:start w:val="1"/>
      <w:numFmt w:val="bullet"/>
      <w:lvlText w:val="•"/>
      <w:lvlJc w:val="left"/>
      <w:pPr>
        <w:tabs>
          <w:tab w:val="num" w:pos="5760"/>
        </w:tabs>
        <w:ind w:left="5760" w:hanging="360"/>
      </w:pPr>
      <w:rPr>
        <w:rFonts w:ascii="Times New Roman" w:hAnsi="Times New Roman" w:hint="default"/>
      </w:rPr>
    </w:lvl>
    <w:lvl w:ilvl="8" w:tplc="567E9CE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1282136"/>
    <w:multiLevelType w:val="hybridMultilevel"/>
    <w:tmpl w:val="AE72D5C0"/>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185BF1"/>
    <w:multiLevelType w:val="hybridMultilevel"/>
    <w:tmpl w:val="D22C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93379E"/>
    <w:multiLevelType w:val="multilevel"/>
    <w:tmpl w:val="F4423758"/>
    <w:lvl w:ilvl="0">
      <w:start w:val="1"/>
      <w:numFmt w:val="decimal"/>
      <w:lvlText w:val="%1."/>
      <w:lvlJc w:val="left"/>
      <w:pPr>
        <w:ind w:left="936" w:hanging="360"/>
      </w:pPr>
      <w:rPr>
        <w:rFonts w:hint="default"/>
      </w:rPr>
    </w:lvl>
    <w:lvl w:ilvl="1">
      <w:start w:val="1"/>
      <w:numFmt w:val="decimal"/>
      <w:isLgl/>
      <w:lvlText w:val="%1.%2"/>
      <w:lvlJc w:val="left"/>
      <w:pPr>
        <w:ind w:left="936" w:hanging="360"/>
      </w:pPr>
      <w:rPr>
        <w:rFonts w:hint="default"/>
        <w:color w:val="auto"/>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34" w15:restartNumberingAfterBreak="0">
    <w:nsid w:val="56D91DAA"/>
    <w:multiLevelType w:val="hybridMultilevel"/>
    <w:tmpl w:val="58788C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47148A"/>
    <w:multiLevelType w:val="hybridMultilevel"/>
    <w:tmpl w:val="5A0AC0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15:restartNumberingAfterBreak="0">
    <w:nsid w:val="5BF22D5E"/>
    <w:multiLevelType w:val="hybridMultilevel"/>
    <w:tmpl w:val="D26AA1E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B1431D"/>
    <w:multiLevelType w:val="multilevel"/>
    <w:tmpl w:val="F54AC83E"/>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2227935"/>
    <w:multiLevelType w:val="hybridMultilevel"/>
    <w:tmpl w:val="9E083B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D16C5"/>
    <w:multiLevelType w:val="hybridMultilevel"/>
    <w:tmpl w:val="8154FA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1" w15:restartNumberingAfterBreak="0">
    <w:nsid w:val="666A4134"/>
    <w:multiLevelType w:val="hybridMultilevel"/>
    <w:tmpl w:val="70C0F7CE"/>
    <w:lvl w:ilvl="0" w:tplc="0F323D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0F30C4"/>
    <w:multiLevelType w:val="hybridMultilevel"/>
    <w:tmpl w:val="0B48091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15:restartNumberingAfterBreak="0">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21432F8"/>
    <w:multiLevelType w:val="hybridMultilevel"/>
    <w:tmpl w:val="49827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3D4DAE"/>
    <w:multiLevelType w:val="hybridMultilevel"/>
    <w:tmpl w:val="B462A522"/>
    <w:lvl w:ilvl="0" w:tplc="FABEDB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467C08"/>
    <w:multiLevelType w:val="hybridMultilevel"/>
    <w:tmpl w:val="2D26576A"/>
    <w:lvl w:ilvl="0" w:tplc="23C8360E">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43"/>
  </w:num>
  <w:num w:numId="4">
    <w:abstractNumId w:val="8"/>
  </w:num>
  <w:num w:numId="5">
    <w:abstractNumId w:val="16"/>
  </w:num>
  <w:num w:numId="6">
    <w:abstractNumId w:val="1"/>
  </w:num>
  <w:num w:numId="7">
    <w:abstractNumId w:val="29"/>
  </w:num>
  <w:num w:numId="8">
    <w:abstractNumId w:val="15"/>
  </w:num>
  <w:num w:numId="9">
    <w:abstractNumId w:val="38"/>
  </w:num>
  <w:num w:numId="10">
    <w:abstractNumId w:val="48"/>
  </w:num>
  <w:num w:numId="11">
    <w:abstractNumId w:val="45"/>
  </w:num>
  <w:num w:numId="12">
    <w:abstractNumId w:val="5"/>
  </w:num>
  <w:num w:numId="13">
    <w:abstractNumId w:val="49"/>
  </w:num>
  <w:num w:numId="14">
    <w:abstractNumId w:val="12"/>
  </w:num>
  <w:num w:numId="15">
    <w:abstractNumId w:val="18"/>
  </w:num>
  <w:num w:numId="16">
    <w:abstractNumId w:val="44"/>
  </w:num>
  <w:num w:numId="17">
    <w:abstractNumId w:val="37"/>
  </w:num>
  <w:num w:numId="18">
    <w:abstractNumId w:val="37"/>
  </w:num>
  <w:num w:numId="19">
    <w:abstractNumId w:val="20"/>
  </w:num>
  <w:num w:numId="20">
    <w:abstractNumId w:val="37"/>
    <w:lvlOverride w:ilvl="0">
      <w:startOverride w:val="3"/>
    </w:lvlOverride>
    <w:lvlOverride w:ilvl="1">
      <w:startOverride w:val="6"/>
    </w:lvlOverride>
  </w:num>
  <w:num w:numId="21">
    <w:abstractNumId w:val="37"/>
    <w:lvlOverride w:ilvl="0">
      <w:startOverride w:val="3"/>
    </w:lvlOverride>
    <w:lvlOverride w:ilvl="1">
      <w:startOverride w:val="5"/>
    </w:lvlOverride>
    <w:lvlOverride w:ilvl="2">
      <w:startOverride w:val="2"/>
    </w:lvlOverride>
  </w:num>
  <w:num w:numId="22">
    <w:abstractNumId w:val="37"/>
    <w:lvlOverride w:ilvl="0">
      <w:startOverride w:val="3"/>
    </w:lvlOverride>
    <w:lvlOverride w:ilvl="1">
      <w:startOverride w:val="9"/>
    </w:lvlOverride>
  </w:num>
  <w:num w:numId="23">
    <w:abstractNumId w:val="28"/>
  </w:num>
  <w:num w:numId="24">
    <w:abstractNumId w:val="13"/>
  </w:num>
  <w:num w:numId="25">
    <w:abstractNumId w:val="27"/>
  </w:num>
  <w:num w:numId="26">
    <w:abstractNumId w:val="11"/>
  </w:num>
  <w:num w:numId="27">
    <w:abstractNumId w:val="46"/>
  </w:num>
  <w:num w:numId="28">
    <w:abstractNumId w:val="6"/>
  </w:num>
  <w:num w:numId="29">
    <w:abstractNumId w:val="39"/>
  </w:num>
  <w:num w:numId="30">
    <w:abstractNumId w:val="36"/>
  </w:num>
  <w:num w:numId="31">
    <w:abstractNumId w:val="10"/>
  </w:num>
  <w:num w:numId="32">
    <w:abstractNumId w:val="3"/>
  </w:num>
  <w:num w:numId="33">
    <w:abstractNumId w:val="22"/>
  </w:num>
  <w:num w:numId="34">
    <w:abstractNumId w:val="19"/>
  </w:num>
  <w:num w:numId="35">
    <w:abstractNumId w:val="25"/>
  </w:num>
  <w:num w:numId="36">
    <w:abstractNumId w:val="7"/>
  </w:num>
  <w:num w:numId="37">
    <w:abstractNumId w:val="14"/>
  </w:num>
  <w:num w:numId="38">
    <w:abstractNumId w:val="41"/>
  </w:num>
  <w:num w:numId="39">
    <w:abstractNumId w:val="26"/>
  </w:num>
  <w:num w:numId="40">
    <w:abstractNumId w:val="31"/>
  </w:num>
  <w:num w:numId="41">
    <w:abstractNumId w:val="21"/>
  </w:num>
  <w:num w:numId="42">
    <w:abstractNumId w:val="35"/>
  </w:num>
  <w:num w:numId="43">
    <w:abstractNumId w:val="9"/>
  </w:num>
  <w:num w:numId="44">
    <w:abstractNumId w:val="34"/>
  </w:num>
  <w:num w:numId="45">
    <w:abstractNumId w:val="33"/>
  </w:num>
  <w:num w:numId="46">
    <w:abstractNumId w:val="17"/>
  </w:num>
  <w:num w:numId="47">
    <w:abstractNumId w:val="42"/>
  </w:num>
  <w:num w:numId="48">
    <w:abstractNumId w:val="40"/>
  </w:num>
  <w:num w:numId="49">
    <w:abstractNumId w:val="23"/>
  </w:num>
  <w:num w:numId="50">
    <w:abstractNumId w:val="47"/>
  </w:num>
  <w:num w:numId="51">
    <w:abstractNumId w:val="32"/>
  </w:num>
  <w:num w:numId="52">
    <w:abstractNumId w:val="2"/>
  </w:num>
  <w:num w:numId="53">
    <w:abstractNumId w:val="30"/>
  </w:num>
  <w:num w:numId="54">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43"/>
    <w:rsid w:val="00000EA1"/>
    <w:rsid w:val="00005E5E"/>
    <w:rsid w:val="00005EE8"/>
    <w:rsid w:val="00013F3F"/>
    <w:rsid w:val="000232B2"/>
    <w:rsid w:val="00025AC5"/>
    <w:rsid w:val="00025DD5"/>
    <w:rsid w:val="00026B3F"/>
    <w:rsid w:val="00032E7D"/>
    <w:rsid w:val="00034019"/>
    <w:rsid w:val="00034C18"/>
    <w:rsid w:val="00034D99"/>
    <w:rsid w:val="000353B5"/>
    <w:rsid w:val="00036D11"/>
    <w:rsid w:val="00037B71"/>
    <w:rsid w:val="000440F2"/>
    <w:rsid w:val="00045D8D"/>
    <w:rsid w:val="00046B8F"/>
    <w:rsid w:val="00046CE4"/>
    <w:rsid w:val="000475B1"/>
    <w:rsid w:val="00050ED5"/>
    <w:rsid w:val="0006675D"/>
    <w:rsid w:val="00085F1A"/>
    <w:rsid w:val="00086998"/>
    <w:rsid w:val="00091245"/>
    <w:rsid w:val="000918F0"/>
    <w:rsid w:val="000950C4"/>
    <w:rsid w:val="00097E12"/>
    <w:rsid w:val="000A5314"/>
    <w:rsid w:val="000A7E56"/>
    <w:rsid w:val="000B396A"/>
    <w:rsid w:val="000B3CCC"/>
    <w:rsid w:val="000B73CD"/>
    <w:rsid w:val="000B7D61"/>
    <w:rsid w:val="000C571F"/>
    <w:rsid w:val="000D17E8"/>
    <w:rsid w:val="000D4B11"/>
    <w:rsid w:val="000D5696"/>
    <w:rsid w:val="000D6665"/>
    <w:rsid w:val="000E2D1E"/>
    <w:rsid w:val="000E30BB"/>
    <w:rsid w:val="000F34EC"/>
    <w:rsid w:val="000F4B7A"/>
    <w:rsid w:val="000F62DD"/>
    <w:rsid w:val="001003FE"/>
    <w:rsid w:val="00100B6D"/>
    <w:rsid w:val="00101579"/>
    <w:rsid w:val="00102017"/>
    <w:rsid w:val="00105E0A"/>
    <w:rsid w:val="00111D17"/>
    <w:rsid w:val="00112463"/>
    <w:rsid w:val="001128BB"/>
    <w:rsid w:val="00113F47"/>
    <w:rsid w:val="00116F1B"/>
    <w:rsid w:val="001209F6"/>
    <w:rsid w:val="00123073"/>
    <w:rsid w:val="001233A6"/>
    <w:rsid w:val="00125F43"/>
    <w:rsid w:val="0012634D"/>
    <w:rsid w:val="001266C9"/>
    <w:rsid w:val="00127E4C"/>
    <w:rsid w:val="00131D5D"/>
    <w:rsid w:val="001339C8"/>
    <w:rsid w:val="001342AE"/>
    <w:rsid w:val="0013465C"/>
    <w:rsid w:val="00134E01"/>
    <w:rsid w:val="001378EB"/>
    <w:rsid w:val="00143BFA"/>
    <w:rsid w:val="001449B8"/>
    <w:rsid w:val="001479FD"/>
    <w:rsid w:val="00147FC6"/>
    <w:rsid w:val="00151678"/>
    <w:rsid w:val="00152490"/>
    <w:rsid w:val="001561DF"/>
    <w:rsid w:val="001626AA"/>
    <w:rsid w:val="00163061"/>
    <w:rsid w:val="00163849"/>
    <w:rsid w:val="001641AA"/>
    <w:rsid w:val="00172503"/>
    <w:rsid w:val="00173B87"/>
    <w:rsid w:val="00174A05"/>
    <w:rsid w:val="00174CFE"/>
    <w:rsid w:val="00182426"/>
    <w:rsid w:val="00185105"/>
    <w:rsid w:val="001903D9"/>
    <w:rsid w:val="00194D04"/>
    <w:rsid w:val="001A500B"/>
    <w:rsid w:val="001B35EC"/>
    <w:rsid w:val="001B61E7"/>
    <w:rsid w:val="001C0012"/>
    <w:rsid w:val="001C0DE9"/>
    <w:rsid w:val="001C0E26"/>
    <w:rsid w:val="001C742F"/>
    <w:rsid w:val="001D1219"/>
    <w:rsid w:val="001D173E"/>
    <w:rsid w:val="001D2AC6"/>
    <w:rsid w:val="001D4397"/>
    <w:rsid w:val="001D7C40"/>
    <w:rsid w:val="001E00CB"/>
    <w:rsid w:val="001E1601"/>
    <w:rsid w:val="001E37C9"/>
    <w:rsid w:val="001E6241"/>
    <w:rsid w:val="001F091A"/>
    <w:rsid w:val="001F1729"/>
    <w:rsid w:val="001F1D06"/>
    <w:rsid w:val="001F37CD"/>
    <w:rsid w:val="001F404A"/>
    <w:rsid w:val="001F5B8A"/>
    <w:rsid w:val="001F6A93"/>
    <w:rsid w:val="0020065A"/>
    <w:rsid w:val="00204B7F"/>
    <w:rsid w:val="0021192E"/>
    <w:rsid w:val="00211F4E"/>
    <w:rsid w:val="00213AB0"/>
    <w:rsid w:val="0021671A"/>
    <w:rsid w:val="0022018F"/>
    <w:rsid w:val="002303E3"/>
    <w:rsid w:val="00234828"/>
    <w:rsid w:val="00234A75"/>
    <w:rsid w:val="0023580B"/>
    <w:rsid w:val="00235F49"/>
    <w:rsid w:val="00237A80"/>
    <w:rsid w:val="00241566"/>
    <w:rsid w:val="0024373D"/>
    <w:rsid w:val="00245BFE"/>
    <w:rsid w:val="00251438"/>
    <w:rsid w:val="00255EED"/>
    <w:rsid w:val="00255FDD"/>
    <w:rsid w:val="002606AF"/>
    <w:rsid w:val="002644AD"/>
    <w:rsid w:val="0026632E"/>
    <w:rsid w:val="0026689B"/>
    <w:rsid w:val="00267743"/>
    <w:rsid w:val="00270334"/>
    <w:rsid w:val="00270917"/>
    <w:rsid w:val="002724DF"/>
    <w:rsid w:val="00273E5B"/>
    <w:rsid w:val="00275AA0"/>
    <w:rsid w:val="00276384"/>
    <w:rsid w:val="00276849"/>
    <w:rsid w:val="00277146"/>
    <w:rsid w:val="00281D38"/>
    <w:rsid w:val="00281EB9"/>
    <w:rsid w:val="0029391C"/>
    <w:rsid w:val="00293EDC"/>
    <w:rsid w:val="00294A46"/>
    <w:rsid w:val="00295DFA"/>
    <w:rsid w:val="00295F45"/>
    <w:rsid w:val="0029651F"/>
    <w:rsid w:val="002A1F58"/>
    <w:rsid w:val="002B19E7"/>
    <w:rsid w:val="002B3FD6"/>
    <w:rsid w:val="002B480F"/>
    <w:rsid w:val="002B59E3"/>
    <w:rsid w:val="002B6DD2"/>
    <w:rsid w:val="002B6FD8"/>
    <w:rsid w:val="002C0FCB"/>
    <w:rsid w:val="002C1723"/>
    <w:rsid w:val="002C2ED5"/>
    <w:rsid w:val="002C3141"/>
    <w:rsid w:val="002C3547"/>
    <w:rsid w:val="002C48D2"/>
    <w:rsid w:val="002C4E46"/>
    <w:rsid w:val="002C567D"/>
    <w:rsid w:val="002C6BAF"/>
    <w:rsid w:val="002C71A1"/>
    <w:rsid w:val="002D54E0"/>
    <w:rsid w:val="002D6F76"/>
    <w:rsid w:val="002D7997"/>
    <w:rsid w:val="002E21C1"/>
    <w:rsid w:val="002E460A"/>
    <w:rsid w:val="002E4F29"/>
    <w:rsid w:val="002E5B23"/>
    <w:rsid w:val="002E5F28"/>
    <w:rsid w:val="002F3799"/>
    <w:rsid w:val="002F7214"/>
    <w:rsid w:val="00300EA0"/>
    <w:rsid w:val="003015AC"/>
    <w:rsid w:val="00304C97"/>
    <w:rsid w:val="0031069E"/>
    <w:rsid w:val="00312376"/>
    <w:rsid w:val="00313236"/>
    <w:rsid w:val="00330341"/>
    <w:rsid w:val="0033140E"/>
    <w:rsid w:val="00331914"/>
    <w:rsid w:val="00333F96"/>
    <w:rsid w:val="00342F45"/>
    <w:rsid w:val="00343DDC"/>
    <w:rsid w:val="003440D1"/>
    <w:rsid w:val="003456BF"/>
    <w:rsid w:val="00351E31"/>
    <w:rsid w:val="00352314"/>
    <w:rsid w:val="00353C58"/>
    <w:rsid w:val="003618F9"/>
    <w:rsid w:val="00363EF1"/>
    <w:rsid w:val="0036526A"/>
    <w:rsid w:val="003658A5"/>
    <w:rsid w:val="00365B67"/>
    <w:rsid w:val="00366807"/>
    <w:rsid w:val="00367FE1"/>
    <w:rsid w:val="00370A20"/>
    <w:rsid w:val="003726D1"/>
    <w:rsid w:val="00372C7D"/>
    <w:rsid w:val="00374DF6"/>
    <w:rsid w:val="003803EE"/>
    <w:rsid w:val="003819FA"/>
    <w:rsid w:val="003841B4"/>
    <w:rsid w:val="00386493"/>
    <w:rsid w:val="003901D0"/>
    <w:rsid w:val="003908E3"/>
    <w:rsid w:val="00390DC9"/>
    <w:rsid w:val="003A68BD"/>
    <w:rsid w:val="003B425C"/>
    <w:rsid w:val="003B6868"/>
    <w:rsid w:val="003B7710"/>
    <w:rsid w:val="003C07D5"/>
    <w:rsid w:val="003C1670"/>
    <w:rsid w:val="003C23EF"/>
    <w:rsid w:val="003C2F95"/>
    <w:rsid w:val="003C34F7"/>
    <w:rsid w:val="003C5751"/>
    <w:rsid w:val="003C74A3"/>
    <w:rsid w:val="003D4FA2"/>
    <w:rsid w:val="003D7D0E"/>
    <w:rsid w:val="003E1FC0"/>
    <w:rsid w:val="003E283B"/>
    <w:rsid w:val="003E78B3"/>
    <w:rsid w:val="003E7F2B"/>
    <w:rsid w:val="003F6F7D"/>
    <w:rsid w:val="004011BB"/>
    <w:rsid w:val="00403424"/>
    <w:rsid w:val="0040453A"/>
    <w:rsid w:val="00405A65"/>
    <w:rsid w:val="004117B5"/>
    <w:rsid w:val="004155D5"/>
    <w:rsid w:val="00416DDF"/>
    <w:rsid w:val="00420999"/>
    <w:rsid w:val="00422BEA"/>
    <w:rsid w:val="004238DB"/>
    <w:rsid w:val="0043046F"/>
    <w:rsid w:val="00432B4C"/>
    <w:rsid w:val="004343A0"/>
    <w:rsid w:val="0044198B"/>
    <w:rsid w:val="00441EF6"/>
    <w:rsid w:val="0044390D"/>
    <w:rsid w:val="00445EE9"/>
    <w:rsid w:val="0044693D"/>
    <w:rsid w:val="004476BC"/>
    <w:rsid w:val="00451644"/>
    <w:rsid w:val="00455CAE"/>
    <w:rsid w:val="00457718"/>
    <w:rsid w:val="00457895"/>
    <w:rsid w:val="0046415E"/>
    <w:rsid w:val="00470114"/>
    <w:rsid w:val="0047066D"/>
    <w:rsid w:val="00472061"/>
    <w:rsid w:val="00473BD7"/>
    <w:rsid w:val="00474C3F"/>
    <w:rsid w:val="0048061C"/>
    <w:rsid w:val="004834F3"/>
    <w:rsid w:val="00483738"/>
    <w:rsid w:val="00485548"/>
    <w:rsid w:val="004863D1"/>
    <w:rsid w:val="00486D88"/>
    <w:rsid w:val="00496E86"/>
    <w:rsid w:val="004A0C53"/>
    <w:rsid w:val="004A1288"/>
    <w:rsid w:val="004A42ED"/>
    <w:rsid w:val="004A75AE"/>
    <w:rsid w:val="004B32CB"/>
    <w:rsid w:val="004B437F"/>
    <w:rsid w:val="004B5AF4"/>
    <w:rsid w:val="004B6031"/>
    <w:rsid w:val="004B6EF1"/>
    <w:rsid w:val="004B6FDE"/>
    <w:rsid w:val="004B79B3"/>
    <w:rsid w:val="004C219D"/>
    <w:rsid w:val="004C3C56"/>
    <w:rsid w:val="004C594C"/>
    <w:rsid w:val="004D3DD6"/>
    <w:rsid w:val="004D4245"/>
    <w:rsid w:val="004D5FB3"/>
    <w:rsid w:val="004D63DB"/>
    <w:rsid w:val="004D6987"/>
    <w:rsid w:val="004E1115"/>
    <w:rsid w:val="004E5DAE"/>
    <w:rsid w:val="004F0191"/>
    <w:rsid w:val="004F02CE"/>
    <w:rsid w:val="004F141F"/>
    <w:rsid w:val="004F1B34"/>
    <w:rsid w:val="004F3764"/>
    <w:rsid w:val="004F56F2"/>
    <w:rsid w:val="004F5E69"/>
    <w:rsid w:val="004F6406"/>
    <w:rsid w:val="004F6ACC"/>
    <w:rsid w:val="004F6BD8"/>
    <w:rsid w:val="00507D19"/>
    <w:rsid w:val="005119BD"/>
    <w:rsid w:val="00512D00"/>
    <w:rsid w:val="00513C44"/>
    <w:rsid w:val="005171AA"/>
    <w:rsid w:val="00520989"/>
    <w:rsid w:val="00520B44"/>
    <w:rsid w:val="00521ADB"/>
    <w:rsid w:val="005234A6"/>
    <w:rsid w:val="00524235"/>
    <w:rsid w:val="00524304"/>
    <w:rsid w:val="00524BE3"/>
    <w:rsid w:val="00533829"/>
    <w:rsid w:val="00534895"/>
    <w:rsid w:val="005430AF"/>
    <w:rsid w:val="00543A56"/>
    <w:rsid w:val="00546D52"/>
    <w:rsid w:val="0055038C"/>
    <w:rsid w:val="005537DE"/>
    <w:rsid w:val="00553F36"/>
    <w:rsid w:val="00557B05"/>
    <w:rsid w:val="00557CBD"/>
    <w:rsid w:val="00564CA7"/>
    <w:rsid w:val="0056717D"/>
    <w:rsid w:val="00570F53"/>
    <w:rsid w:val="00585337"/>
    <w:rsid w:val="0059086E"/>
    <w:rsid w:val="005918A8"/>
    <w:rsid w:val="005920F2"/>
    <w:rsid w:val="005A1938"/>
    <w:rsid w:val="005A3FFC"/>
    <w:rsid w:val="005A5BDC"/>
    <w:rsid w:val="005A6457"/>
    <w:rsid w:val="005A7E49"/>
    <w:rsid w:val="005B2B86"/>
    <w:rsid w:val="005B3E89"/>
    <w:rsid w:val="005B4523"/>
    <w:rsid w:val="005B55EE"/>
    <w:rsid w:val="005C0A98"/>
    <w:rsid w:val="005C39CB"/>
    <w:rsid w:val="005C439F"/>
    <w:rsid w:val="005D3405"/>
    <w:rsid w:val="005E154F"/>
    <w:rsid w:val="005E32BB"/>
    <w:rsid w:val="005E3B6F"/>
    <w:rsid w:val="005F27F4"/>
    <w:rsid w:val="005F3C85"/>
    <w:rsid w:val="005F50E5"/>
    <w:rsid w:val="005F6191"/>
    <w:rsid w:val="005F6417"/>
    <w:rsid w:val="006019A2"/>
    <w:rsid w:val="006019C1"/>
    <w:rsid w:val="006038DB"/>
    <w:rsid w:val="00605992"/>
    <w:rsid w:val="00605F24"/>
    <w:rsid w:val="0061081E"/>
    <w:rsid w:val="00614C0A"/>
    <w:rsid w:val="00616260"/>
    <w:rsid w:val="006202EF"/>
    <w:rsid w:val="00622057"/>
    <w:rsid w:val="0062221F"/>
    <w:rsid w:val="00626CF7"/>
    <w:rsid w:val="00630AF5"/>
    <w:rsid w:val="006327E0"/>
    <w:rsid w:val="00636DD6"/>
    <w:rsid w:val="00642AF5"/>
    <w:rsid w:val="00643776"/>
    <w:rsid w:val="006457C4"/>
    <w:rsid w:val="006526B3"/>
    <w:rsid w:val="006535D5"/>
    <w:rsid w:val="00656466"/>
    <w:rsid w:val="00656E3E"/>
    <w:rsid w:val="00663516"/>
    <w:rsid w:val="00665DC3"/>
    <w:rsid w:val="0066641F"/>
    <w:rsid w:val="006666D5"/>
    <w:rsid w:val="00670D99"/>
    <w:rsid w:val="006754AA"/>
    <w:rsid w:val="006754C7"/>
    <w:rsid w:val="0068139B"/>
    <w:rsid w:val="00687504"/>
    <w:rsid w:val="00693D57"/>
    <w:rsid w:val="006B035F"/>
    <w:rsid w:val="006B0BD3"/>
    <w:rsid w:val="006B76CA"/>
    <w:rsid w:val="006D3391"/>
    <w:rsid w:val="006D343C"/>
    <w:rsid w:val="006D4221"/>
    <w:rsid w:val="006D5A3B"/>
    <w:rsid w:val="006D65FA"/>
    <w:rsid w:val="006E1F7F"/>
    <w:rsid w:val="006E54D7"/>
    <w:rsid w:val="006F2263"/>
    <w:rsid w:val="0070347B"/>
    <w:rsid w:val="00705074"/>
    <w:rsid w:val="007068DD"/>
    <w:rsid w:val="007072D7"/>
    <w:rsid w:val="00707D8A"/>
    <w:rsid w:val="00710211"/>
    <w:rsid w:val="00710ECC"/>
    <w:rsid w:val="00712788"/>
    <w:rsid w:val="007133FB"/>
    <w:rsid w:val="007146EE"/>
    <w:rsid w:val="00714C84"/>
    <w:rsid w:val="007157CD"/>
    <w:rsid w:val="007233AE"/>
    <w:rsid w:val="00727B85"/>
    <w:rsid w:val="007316A8"/>
    <w:rsid w:val="00737EA7"/>
    <w:rsid w:val="00740D1B"/>
    <w:rsid w:val="007425B2"/>
    <w:rsid w:val="007427B0"/>
    <w:rsid w:val="007457E2"/>
    <w:rsid w:val="00746B1F"/>
    <w:rsid w:val="00746D8D"/>
    <w:rsid w:val="00750902"/>
    <w:rsid w:val="00751E16"/>
    <w:rsid w:val="00763996"/>
    <w:rsid w:val="0076409D"/>
    <w:rsid w:val="00765616"/>
    <w:rsid w:val="0076734E"/>
    <w:rsid w:val="00771AE7"/>
    <w:rsid w:val="00772340"/>
    <w:rsid w:val="0077356C"/>
    <w:rsid w:val="0077603B"/>
    <w:rsid w:val="0078273F"/>
    <w:rsid w:val="00785FDB"/>
    <w:rsid w:val="00790FBF"/>
    <w:rsid w:val="007944B0"/>
    <w:rsid w:val="007A0717"/>
    <w:rsid w:val="007A166C"/>
    <w:rsid w:val="007A33AA"/>
    <w:rsid w:val="007B0023"/>
    <w:rsid w:val="007B048F"/>
    <w:rsid w:val="007B0F73"/>
    <w:rsid w:val="007B4374"/>
    <w:rsid w:val="007B54EB"/>
    <w:rsid w:val="007C7C76"/>
    <w:rsid w:val="007D0813"/>
    <w:rsid w:val="007D1247"/>
    <w:rsid w:val="007D2E23"/>
    <w:rsid w:val="007D34E9"/>
    <w:rsid w:val="007D4292"/>
    <w:rsid w:val="007E0F72"/>
    <w:rsid w:val="007E4D69"/>
    <w:rsid w:val="007E5B2E"/>
    <w:rsid w:val="007F0957"/>
    <w:rsid w:val="007F3817"/>
    <w:rsid w:val="007F4598"/>
    <w:rsid w:val="007F561B"/>
    <w:rsid w:val="007F5C16"/>
    <w:rsid w:val="007F76DA"/>
    <w:rsid w:val="008039B7"/>
    <w:rsid w:val="00804E12"/>
    <w:rsid w:val="00806C43"/>
    <w:rsid w:val="00814271"/>
    <w:rsid w:val="00817209"/>
    <w:rsid w:val="00822311"/>
    <w:rsid w:val="00822990"/>
    <w:rsid w:val="00831157"/>
    <w:rsid w:val="00832AD0"/>
    <w:rsid w:val="00833CB9"/>
    <w:rsid w:val="00834945"/>
    <w:rsid w:val="00835E97"/>
    <w:rsid w:val="00836A0D"/>
    <w:rsid w:val="008473C8"/>
    <w:rsid w:val="00852931"/>
    <w:rsid w:val="00864172"/>
    <w:rsid w:val="008763FA"/>
    <w:rsid w:val="008777B3"/>
    <w:rsid w:val="008851DA"/>
    <w:rsid w:val="00885822"/>
    <w:rsid w:val="00887735"/>
    <w:rsid w:val="00894DEB"/>
    <w:rsid w:val="00894FA0"/>
    <w:rsid w:val="00895B00"/>
    <w:rsid w:val="008A7EAD"/>
    <w:rsid w:val="008B1FDF"/>
    <w:rsid w:val="008B2968"/>
    <w:rsid w:val="008C19F6"/>
    <w:rsid w:val="008D06FF"/>
    <w:rsid w:val="008E2068"/>
    <w:rsid w:val="008E4A0F"/>
    <w:rsid w:val="008E72C9"/>
    <w:rsid w:val="008F1340"/>
    <w:rsid w:val="008F1C4F"/>
    <w:rsid w:val="008F1DF6"/>
    <w:rsid w:val="008F345A"/>
    <w:rsid w:val="008F5641"/>
    <w:rsid w:val="008F741B"/>
    <w:rsid w:val="00900CBB"/>
    <w:rsid w:val="00902EC1"/>
    <w:rsid w:val="009033D0"/>
    <w:rsid w:val="00904E14"/>
    <w:rsid w:val="00906602"/>
    <w:rsid w:val="00917AAB"/>
    <w:rsid w:val="009203B7"/>
    <w:rsid w:val="0093285F"/>
    <w:rsid w:val="009329A2"/>
    <w:rsid w:val="00935110"/>
    <w:rsid w:val="00940DD7"/>
    <w:rsid w:val="00941F70"/>
    <w:rsid w:val="00943048"/>
    <w:rsid w:val="009447D3"/>
    <w:rsid w:val="00944916"/>
    <w:rsid w:val="009466FD"/>
    <w:rsid w:val="00946AB9"/>
    <w:rsid w:val="009504E0"/>
    <w:rsid w:val="00951804"/>
    <w:rsid w:val="0095236E"/>
    <w:rsid w:val="00956460"/>
    <w:rsid w:val="0096068F"/>
    <w:rsid w:val="00960732"/>
    <w:rsid w:val="0096336E"/>
    <w:rsid w:val="00966334"/>
    <w:rsid w:val="00967890"/>
    <w:rsid w:val="00973A1D"/>
    <w:rsid w:val="0097432A"/>
    <w:rsid w:val="00976F4D"/>
    <w:rsid w:val="009774D9"/>
    <w:rsid w:val="009776B8"/>
    <w:rsid w:val="00977B6F"/>
    <w:rsid w:val="00980048"/>
    <w:rsid w:val="00980192"/>
    <w:rsid w:val="00982DB9"/>
    <w:rsid w:val="00982EED"/>
    <w:rsid w:val="00982FAE"/>
    <w:rsid w:val="00985595"/>
    <w:rsid w:val="00991C11"/>
    <w:rsid w:val="00994DD2"/>
    <w:rsid w:val="00995259"/>
    <w:rsid w:val="009977DC"/>
    <w:rsid w:val="009A13B5"/>
    <w:rsid w:val="009A5C99"/>
    <w:rsid w:val="009A63D4"/>
    <w:rsid w:val="009A6538"/>
    <w:rsid w:val="009A7221"/>
    <w:rsid w:val="009A776F"/>
    <w:rsid w:val="009B1982"/>
    <w:rsid w:val="009B39F2"/>
    <w:rsid w:val="009B4111"/>
    <w:rsid w:val="009B6247"/>
    <w:rsid w:val="009B68D1"/>
    <w:rsid w:val="009B79CF"/>
    <w:rsid w:val="009C35F6"/>
    <w:rsid w:val="009C3927"/>
    <w:rsid w:val="009C4DBA"/>
    <w:rsid w:val="009C504D"/>
    <w:rsid w:val="009D37F5"/>
    <w:rsid w:val="009D7404"/>
    <w:rsid w:val="009E2068"/>
    <w:rsid w:val="009E4923"/>
    <w:rsid w:val="009E4C89"/>
    <w:rsid w:val="009E526F"/>
    <w:rsid w:val="009E7030"/>
    <w:rsid w:val="009F4233"/>
    <w:rsid w:val="009F6936"/>
    <w:rsid w:val="00A01F1E"/>
    <w:rsid w:val="00A03518"/>
    <w:rsid w:val="00A04044"/>
    <w:rsid w:val="00A04472"/>
    <w:rsid w:val="00A058D9"/>
    <w:rsid w:val="00A060E9"/>
    <w:rsid w:val="00A10E68"/>
    <w:rsid w:val="00A11ADA"/>
    <w:rsid w:val="00A13FDB"/>
    <w:rsid w:val="00A15CBC"/>
    <w:rsid w:val="00A164E3"/>
    <w:rsid w:val="00A231D0"/>
    <w:rsid w:val="00A232A2"/>
    <w:rsid w:val="00A238FB"/>
    <w:rsid w:val="00A248CF"/>
    <w:rsid w:val="00A256A5"/>
    <w:rsid w:val="00A25D21"/>
    <w:rsid w:val="00A27733"/>
    <w:rsid w:val="00A3016C"/>
    <w:rsid w:val="00A33246"/>
    <w:rsid w:val="00A3613D"/>
    <w:rsid w:val="00A375AC"/>
    <w:rsid w:val="00A41BC5"/>
    <w:rsid w:val="00A42233"/>
    <w:rsid w:val="00A42ADE"/>
    <w:rsid w:val="00A433D6"/>
    <w:rsid w:val="00A4349F"/>
    <w:rsid w:val="00A47CD7"/>
    <w:rsid w:val="00A50D8E"/>
    <w:rsid w:val="00A529B5"/>
    <w:rsid w:val="00A53719"/>
    <w:rsid w:val="00A54CB7"/>
    <w:rsid w:val="00A60F36"/>
    <w:rsid w:val="00A65701"/>
    <w:rsid w:val="00A66935"/>
    <w:rsid w:val="00A72BF9"/>
    <w:rsid w:val="00A770C5"/>
    <w:rsid w:val="00A825CD"/>
    <w:rsid w:val="00A84552"/>
    <w:rsid w:val="00A84A04"/>
    <w:rsid w:val="00A871B8"/>
    <w:rsid w:val="00A92340"/>
    <w:rsid w:val="00A94088"/>
    <w:rsid w:val="00AA04E5"/>
    <w:rsid w:val="00AA1090"/>
    <w:rsid w:val="00AB08D1"/>
    <w:rsid w:val="00AB56EC"/>
    <w:rsid w:val="00AB7013"/>
    <w:rsid w:val="00AB782C"/>
    <w:rsid w:val="00AC14F2"/>
    <w:rsid w:val="00AC73B6"/>
    <w:rsid w:val="00AD13B5"/>
    <w:rsid w:val="00AD24E4"/>
    <w:rsid w:val="00AD2DED"/>
    <w:rsid w:val="00AD5414"/>
    <w:rsid w:val="00AF2757"/>
    <w:rsid w:val="00AF7574"/>
    <w:rsid w:val="00AF7F2B"/>
    <w:rsid w:val="00B03C6A"/>
    <w:rsid w:val="00B178AF"/>
    <w:rsid w:val="00B2102B"/>
    <w:rsid w:val="00B21BDB"/>
    <w:rsid w:val="00B260BA"/>
    <w:rsid w:val="00B35115"/>
    <w:rsid w:val="00B36E0A"/>
    <w:rsid w:val="00B37195"/>
    <w:rsid w:val="00B40468"/>
    <w:rsid w:val="00B45886"/>
    <w:rsid w:val="00B45A40"/>
    <w:rsid w:val="00B45AD5"/>
    <w:rsid w:val="00B461E0"/>
    <w:rsid w:val="00B502F8"/>
    <w:rsid w:val="00B50A95"/>
    <w:rsid w:val="00B515B7"/>
    <w:rsid w:val="00B711F9"/>
    <w:rsid w:val="00B75541"/>
    <w:rsid w:val="00B75EBA"/>
    <w:rsid w:val="00B82D59"/>
    <w:rsid w:val="00B84830"/>
    <w:rsid w:val="00B85635"/>
    <w:rsid w:val="00B86AF9"/>
    <w:rsid w:val="00B879FA"/>
    <w:rsid w:val="00B91140"/>
    <w:rsid w:val="00B926F6"/>
    <w:rsid w:val="00BA2EA1"/>
    <w:rsid w:val="00BA4C42"/>
    <w:rsid w:val="00BA5656"/>
    <w:rsid w:val="00BC0573"/>
    <w:rsid w:val="00BC0DE7"/>
    <w:rsid w:val="00BC1F3E"/>
    <w:rsid w:val="00BC3C46"/>
    <w:rsid w:val="00BD0979"/>
    <w:rsid w:val="00BD2FAF"/>
    <w:rsid w:val="00BD536C"/>
    <w:rsid w:val="00BD63F0"/>
    <w:rsid w:val="00BD7309"/>
    <w:rsid w:val="00BE2832"/>
    <w:rsid w:val="00BE3B59"/>
    <w:rsid w:val="00BE4FAB"/>
    <w:rsid w:val="00BE5DC8"/>
    <w:rsid w:val="00BF4816"/>
    <w:rsid w:val="00BF5B59"/>
    <w:rsid w:val="00BF5C94"/>
    <w:rsid w:val="00BF603E"/>
    <w:rsid w:val="00BF67D8"/>
    <w:rsid w:val="00C04A81"/>
    <w:rsid w:val="00C04AB3"/>
    <w:rsid w:val="00C11732"/>
    <w:rsid w:val="00C12D9F"/>
    <w:rsid w:val="00C13510"/>
    <w:rsid w:val="00C15523"/>
    <w:rsid w:val="00C21AC1"/>
    <w:rsid w:val="00C220A4"/>
    <w:rsid w:val="00C234C9"/>
    <w:rsid w:val="00C2361E"/>
    <w:rsid w:val="00C24FEC"/>
    <w:rsid w:val="00C25C51"/>
    <w:rsid w:val="00C31266"/>
    <w:rsid w:val="00C32F68"/>
    <w:rsid w:val="00C338BB"/>
    <w:rsid w:val="00C37122"/>
    <w:rsid w:val="00C42624"/>
    <w:rsid w:val="00C452FD"/>
    <w:rsid w:val="00C45318"/>
    <w:rsid w:val="00C477E6"/>
    <w:rsid w:val="00C51DFA"/>
    <w:rsid w:val="00C53753"/>
    <w:rsid w:val="00C543E4"/>
    <w:rsid w:val="00C56E02"/>
    <w:rsid w:val="00C57D10"/>
    <w:rsid w:val="00C60685"/>
    <w:rsid w:val="00C608E8"/>
    <w:rsid w:val="00C630D9"/>
    <w:rsid w:val="00C74A45"/>
    <w:rsid w:val="00C76096"/>
    <w:rsid w:val="00C839F0"/>
    <w:rsid w:val="00C8547E"/>
    <w:rsid w:val="00C858F5"/>
    <w:rsid w:val="00C86151"/>
    <w:rsid w:val="00C8713C"/>
    <w:rsid w:val="00C87CB2"/>
    <w:rsid w:val="00C9048C"/>
    <w:rsid w:val="00C91043"/>
    <w:rsid w:val="00C9261C"/>
    <w:rsid w:val="00C945C2"/>
    <w:rsid w:val="00C95BF4"/>
    <w:rsid w:val="00CA0036"/>
    <w:rsid w:val="00CA1A31"/>
    <w:rsid w:val="00CA5573"/>
    <w:rsid w:val="00CA72C2"/>
    <w:rsid w:val="00CA7CC3"/>
    <w:rsid w:val="00CB0B43"/>
    <w:rsid w:val="00CB2FD9"/>
    <w:rsid w:val="00CB33F5"/>
    <w:rsid w:val="00CB4E98"/>
    <w:rsid w:val="00CB66C7"/>
    <w:rsid w:val="00CB6846"/>
    <w:rsid w:val="00CC0372"/>
    <w:rsid w:val="00CC1525"/>
    <w:rsid w:val="00CC385D"/>
    <w:rsid w:val="00CC4943"/>
    <w:rsid w:val="00CC67FD"/>
    <w:rsid w:val="00CD1416"/>
    <w:rsid w:val="00CD1F19"/>
    <w:rsid w:val="00CD4350"/>
    <w:rsid w:val="00CE15CE"/>
    <w:rsid w:val="00CF0D18"/>
    <w:rsid w:val="00CF1211"/>
    <w:rsid w:val="00CF2536"/>
    <w:rsid w:val="00CF27FD"/>
    <w:rsid w:val="00D0092D"/>
    <w:rsid w:val="00D00CEF"/>
    <w:rsid w:val="00D01D3A"/>
    <w:rsid w:val="00D05DE2"/>
    <w:rsid w:val="00D1010A"/>
    <w:rsid w:val="00D11FCB"/>
    <w:rsid w:val="00D156ED"/>
    <w:rsid w:val="00D3167B"/>
    <w:rsid w:val="00D36FC9"/>
    <w:rsid w:val="00D378D6"/>
    <w:rsid w:val="00D37A59"/>
    <w:rsid w:val="00D4007C"/>
    <w:rsid w:val="00D41015"/>
    <w:rsid w:val="00D43C02"/>
    <w:rsid w:val="00D45E6A"/>
    <w:rsid w:val="00D52E33"/>
    <w:rsid w:val="00D542C4"/>
    <w:rsid w:val="00D54F24"/>
    <w:rsid w:val="00D65A8F"/>
    <w:rsid w:val="00D71090"/>
    <w:rsid w:val="00D7139A"/>
    <w:rsid w:val="00D717E4"/>
    <w:rsid w:val="00D72122"/>
    <w:rsid w:val="00D7447D"/>
    <w:rsid w:val="00D7737D"/>
    <w:rsid w:val="00D80ABB"/>
    <w:rsid w:val="00D80DFD"/>
    <w:rsid w:val="00D90DE1"/>
    <w:rsid w:val="00D9146A"/>
    <w:rsid w:val="00D92241"/>
    <w:rsid w:val="00D9319F"/>
    <w:rsid w:val="00D93CBE"/>
    <w:rsid w:val="00D94137"/>
    <w:rsid w:val="00D9433C"/>
    <w:rsid w:val="00D95374"/>
    <w:rsid w:val="00DA24FB"/>
    <w:rsid w:val="00DA2538"/>
    <w:rsid w:val="00DA2E56"/>
    <w:rsid w:val="00DA33E7"/>
    <w:rsid w:val="00DA593F"/>
    <w:rsid w:val="00DB3A6F"/>
    <w:rsid w:val="00DB460A"/>
    <w:rsid w:val="00DB5A96"/>
    <w:rsid w:val="00DC2922"/>
    <w:rsid w:val="00DC2CCD"/>
    <w:rsid w:val="00DC669F"/>
    <w:rsid w:val="00DC69B1"/>
    <w:rsid w:val="00DC7649"/>
    <w:rsid w:val="00DC7799"/>
    <w:rsid w:val="00DD257F"/>
    <w:rsid w:val="00DD2692"/>
    <w:rsid w:val="00DD3EEB"/>
    <w:rsid w:val="00DD59A3"/>
    <w:rsid w:val="00DD7795"/>
    <w:rsid w:val="00DE0093"/>
    <w:rsid w:val="00DE1080"/>
    <w:rsid w:val="00DE4518"/>
    <w:rsid w:val="00DE4E7D"/>
    <w:rsid w:val="00DE636E"/>
    <w:rsid w:val="00DE73AA"/>
    <w:rsid w:val="00DF2C1C"/>
    <w:rsid w:val="00DF5525"/>
    <w:rsid w:val="00E03BBD"/>
    <w:rsid w:val="00E04455"/>
    <w:rsid w:val="00E0706E"/>
    <w:rsid w:val="00E07695"/>
    <w:rsid w:val="00E07F38"/>
    <w:rsid w:val="00E109DC"/>
    <w:rsid w:val="00E1667B"/>
    <w:rsid w:val="00E16AB6"/>
    <w:rsid w:val="00E17778"/>
    <w:rsid w:val="00E17F58"/>
    <w:rsid w:val="00E205B1"/>
    <w:rsid w:val="00E219DE"/>
    <w:rsid w:val="00E24B02"/>
    <w:rsid w:val="00E25612"/>
    <w:rsid w:val="00E3208E"/>
    <w:rsid w:val="00E32C9F"/>
    <w:rsid w:val="00E3361A"/>
    <w:rsid w:val="00E34B2D"/>
    <w:rsid w:val="00E35720"/>
    <w:rsid w:val="00E37C7E"/>
    <w:rsid w:val="00E404EF"/>
    <w:rsid w:val="00E43F5C"/>
    <w:rsid w:val="00E46054"/>
    <w:rsid w:val="00E51258"/>
    <w:rsid w:val="00E536B1"/>
    <w:rsid w:val="00E554D0"/>
    <w:rsid w:val="00E66750"/>
    <w:rsid w:val="00E77404"/>
    <w:rsid w:val="00E80310"/>
    <w:rsid w:val="00E83F61"/>
    <w:rsid w:val="00E85712"/>
    <w:rsid w:val="00E85A8E"/>
    <w:rsid w:val="00E957D9"/>
    <w:rsid w:val="00E95A42"/>
    <w:rsid w:val="00E970D7"/>
    <w:rsid w:val="00E97635"/>
    <w:rsid w:val="00EA0465"/>
    <w:rsid w:val="00EA1429"/>
    <w:rsid w:val="00EA54EE"/>
    <w:rsid w:val="00EA5CD6"/>
    <w:rsid w:val="00EA782C"/>
    <w:rsid w:val="00EA78FF"/>
    <w:rsid w:val="00EB152C"/>
    <w:rsid w:val="00EB31C8"/>
    <w:rsid w:val="00EB7039"/>
    <w:rsid w:val="00EC2D43"/>
    <w:rsid w:val="00EC32D4"/>
    <w:rsid w:val="00EC65E8"/>
    <w:rsid w:val="00EC77EA"/>
    <w:rsid w:val="00ED1B9F"/>
    <w:rsid w:val="00ED2D02"/>
    <w:rsid w:val="00ED3399"/>
    <w:rsid w:val="00ED359C"/>
    <w:rsid w:val="00ED383F"/>
    <w:rsid w:val="00ED616E"/>
    <w:rsid w:val="00EE2BFD"/>
    <w:rsid w:val="00EE2DB0"/>
    <w:rsid w:val="00EE4B1D"/>
    <w:rsid w:val="00EE5824"/>
    <w:rsid w:val="00EF204D"/>
    <w:rsid w:val="00EF21E9"/>
    <w:rsid w:val="00EF3D70"/>
    <w:rsid w:val="00EF3D80"/>
    <w:rsid w:val="00EF5076"/>
    <w:rsid w:val="00EF593E"/>
    <w:rsid w:val="00EF63E4"/>
    <w:rsid w:val="00F01681"/>
    <w:rsid w:val="00F03EF5"/>
    <w:rsid w:val="00F044CC"/>
    <w:rsid w:val="00F04D27"/>
    <w:rsid w:val="00F111B2"/>
    <w:rsid w:val="00F11F1C"/>
    <w:rsid w:val="00F125C8"/>
    <w:rsid w:val="00F210D9"/>
    <w:rsid w:val="00F22823"/>
    <w:rsid w:val="00F25CA3"/>
    <w:rsid w:val="00F26EDD"/>
    <w:rsid w:val="00F337A5"/>
    <w:rsid w:val="00F338EC"/>
    <w:rsid w:val="00F376DE"/>
    <w:rsid w:val="00F414A1"/>
    <w:rsid w:val="00F41DCD"/>
    <w:rsid w:val="00F42E99"/>
    <w:rsid w:val="00F43826"/>
    <w:rsid w:val="00F43FCA"/>
    <w:rsid w:val="00F44610"/>
    <w:rsid w:val="00F44959"/>
    <w:rsid w:val="00F4617B"/>
    <w:rsid w:val="00F46B38"/>
    <w:rsid w:val="00F50FEB"/>
    <w:rsid w:val="00F51715"/>
    <w:rsid w:val="00F51B2F"/>
    <w:rsid w:val="00F53FC4"/>
    <w:rsid w:val="00F55465"/>
    <w:rsid w:val="00F56F37"/>
    <w:rsid w:val="00F5774D"/>
    <w:rsid w:val="00F57A6D"/>
    <w:rsid w:val="00F62E76"/>
    <w:rsid w:val="00F6409B"/>
    <w:rsid w:val="00F6572A"/>
    <w:rsid w:val="00F67FC0"/>
    <w:rsid w:val="00F71A13"/>
    <w:rsid w:val="00F7609B"/>
    <w:rsid w:val="00F772AE"/>
    <w:rsid w:val="00F77642"/>
    <w:rsid w:val="00F77A19"/>
    <w:rsid w:val="00F802FC"/>
    <w:rsid w:val="00F86495"/>
    <w:rsid w:val="00F875C1"/>
    <w:rsid w:val="00F9649D"/>
    <w:rsid w:val="00F96D2E"/>
    <w:rsid w:val="00F978FE"/>
    <w:rsid w:val="00FA0246"/>
    <w:rsid w:val="00FA0D65"/>
    <w:rsid w:val="00FA256C"/>
    <w:rsid w:val="00FA53B8"/>
    <w:rsid w:val="00FA5408"/>
    <w:rsid w:val="00FA6638"/>
    <w:rsid w:val="00FA6B95"/>
    <w:rsid w:val="00FB3DCA"/>
    <w:rsid w:val="00FB423F"/>
    <w:rsid w:val="00FB4F57"/>
    <w:rsid w:val="00FB718D"/>
    <w:rsid w:val="00FC0580"/>
    <w:rsid w:val="00FC262D"/>
    <w:rsid w:val="00FC35E2"/>
    <w:rsid w:val="00FC3E39"/>
    <w:rsid w:val="00FD15FB"/>
    <w:rsid w:val="00FD7A65"/>
    <w:rsid w:val="00FE2CF8"/>
    <w:rsid w:val="00FE3D9D"/>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6FC2"/>
  <w15:docId w15:val="{43A7CC99-3FD4-4A9D-AAC0-588822EE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FC"/>
  </w:style>
  <w:style w:type="paragraph" w:styleId="Heading1">
    <w:name w:val="heading 1"/>
    <w:basedOn w:val="Normal"/>
    <w:next w:val="Normal"/>
    <w:link w:val="Heading1Char"/>
    <w:uiPriority w:val="9"/>
    <w:qFormat/>
    <w:rsid w:val="00C04AB3"/>
    <w:pPr>
      <w:keepNext/>
      <w:keepLines/>
      <w:numPr>
        <w:numId w:val="1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17"/>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semiHidden/>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semiHidden/>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uiPriority w:val="34"/>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uiPriority w:val="34"/>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 Cha,C,Footnote text"/>
    <w:basedOn w:val="Normal"/>
    <w:link w:val="FootnoteTextChar"/>
    <w:unhideWhenUsed/>
    <w:rsid w:val="002C567D"/>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rsid w:val="002C567D"/>
    <w:rPr>
      <w:rFonts w:eastAsiaTheme="minorEastAsia"/>
      <w:sz w:val="20"/>
      <w:szCs w:val="20"/>
    </w:rPr>
  </w:style>
  <w:style w:type="character" w:styleId="FootnoteReference">
    <w:name w:val="footnote reference"/>
    <w:aliases w:val="BVI fnr,16 Point,Superscript 6 Point,ftref,fr,Footnote symbol,Footnote Reference Arial,nota pié di pagina,Footnote reference number,Times 10 Point,Exposant 3 Point,EN Footnote Reference,note TESI,Footnote Reference Char Char Char"/>
    <w:basedOn w:val="DefaultParagraphFont"/>
    <w:uiPriority w:val="99"/>
    <w:unhideWhenUsed/>
    <w:qFormat/>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2"/>
    <w:uiPriority w:val="50"/>
    <w:rsid w:val="003658A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uiPriority w:val="50"/>
    <w:rsid w:val="003658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1">
    <w:name w:val="Grid Table 5 Dark - Accent 121"/>
    <w:basedOn w:val="TableNormal"/>
    <w:next w:val="GridTable5Dark-Accent12"/>
    <w:uiPriority w:val="50"/>
    <w:rsid w:val="00C04AB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2"/>
    <w:uiPriority w:val="50"/>
    <w:rsid w:val="00C04AB3"/>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customStyle="1" w:styleId="GridTable5Dark-Accent51">
    <w:name w:val="Grid Table 5 Dark - Accent 51"/>
    <w:basedOn w:val="TableNormal"/>
    <w:uiPriority w:val="50"/>
    <w:rsid w:val="00C04A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2"/>
    <w:uiPriority w:val="50"/>
    <w:rsid w:val="0076734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447D3"/>
    <w:pPr>
      <w:tabs>
        <w:tab w:val="left" w:pos="1100"/>
        <w:tab w:val="right" w:leader="dot" w:pos="9350"/>
      </w:tabs>
      <w:spacing w:after="100"/>
      <w:ind w:left="220"/>
    </w:pPr>
    <w:rPr>
      <w:rFonts w:ascii="Cambria" w:eastAsia="Calibri" w:hAnsi="Cambria" w:cs="Arial"/>
      <w:b/>
      <w:bCs/>
      <w:iCs/>
      <w:noProof/>
      <w:lang w:val="sq-AL" w:eastAsia="sq-AL"/>
    </w:rPr>
  </w:style>
  <w:style w:type="paragraph" w:styleId="TOC3">
    <w:name w:val="toc 3"/>
    <w:basedOn w:val="Normal"/>
    <w:next w:val="Normal"/>
    <w:autoRedefine/>
    <w:uiPriority w:val="39"/>
    <w:unhideWhenUsed/>
    <w:rsid w:val="009B79CF"/>
    <w:pPr>
      <w:spacing w:after="100"/>
      <w:ind w:left="440"/>
    </w:pPr>
  </w:style>
  <w:style w:type="paragraph" w:styleId="CommentSubject">
    <w:name w:val="annotation subject"/>
    <w:basedOn w:val="CommentText"/>
    <w:next w:val="CommentText"/>
    <w:link w:val="CommentSubjectChar"/>
    <w:uiPriority w:val="99"/>
    <w:semiHidden/>
    <w:unhideWhenUsed/>
    <w:rsid w:val="00772340"/>
    <w:rPr>
      <w:b/>
      <w:bCs/>
    </w:rPr>
  </w:style>
  <w:style w:type="character" w:customStyle="1" w:styleId="CommentSubjectChar">
    <w:name w:val="Comment Subject Char"/>
    <w:basedOn w:val="CommentTextChar"/>
    <w:link w:val="CommentSubject"/>
    <w:uiPriority w:val="99"/>
    <w:semiHidden/>
    <w:rsid w:val="00772340"/>
    <w:rPr>
      <w:b/>
      <w:bCs/>
      <w:sz w:val="20"/>
      <w:szCs w:val="20"/>
    </w:rPr>
  </w:style>
  <w:style w:type="paragraph" w:styleId="Caption">
    <w:name w:val="caption"/>
    <w:basedOn w:val="Normal"/>
    <w:next w:val="Normal"/>
    <w:unhideWhenUsed/>
    <w:qFormat/>
    <w:rsid w:val="001B61E7"/>
    <w:pPr>
      <w:spacing w:after="200" w:line="240" w:lineRule="auto"/>
    </w:pPr>
    <w:rPr>
      <w:b/>
      <w:bCs/>
      <w:color w:val="5B9BD5" w:themeColor="accent1"/>
      <w:sz w:val="18"/>
      <w:szCs w:val="18"/>
    </w:rPr>
  </w:style>
  <w:style w:type="table" w:customStyle="1" w:styleId="GridTable5Dark-Accent15">
    <w:name w:val="Grid Table 5 Dark - Accent 15"/>
    <w:basedOn w:val="TableNormal"/>
    <w:uiPriority w:val="50"/>
    <w:rsid w:val="004E5DAE"/>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1211">
    <w:name w:val="Grid Table 5 Dark - Accent 1211"/>
    <w:basedOn w:val="TableNormal"/>
    <w:next w:val="GridTable5Dark-Accent12"/>
    <w:uiPriority w:val="50"/>
    <w:rsid w:val="00557B0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1">
    <w:name w:val="Grid Table 5 Dark - Accent 131"/>
    <w:basedOn w:val="TableNormal"/>
    <w:next w:val="GridTable5Dark-Accent12"/>
    <w:uiPriority w:val="50"/>
    <w:rsid w:val="00E07F38"/>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511">
    <w:name w:val="Grid Table 5 Dark - Accent 511"/>
    <w:basedOn w:val="TableNormal"/>
    <w:uiPriority w:val="50"/>
    <w:rsid w:val="00BE28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51">
    <w:name w:val="Grid Table 5 Dark - Accent 151"/>
    <w:basedOn w:val="TableNormal"/>
    <w:uiPriority w:val="50"/>
    <w:rsid w:val="00EC65E8"/>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Spacing">
    <w:name w:val="No Spacing"/>
    <w:link w:val="NoSpacingChar"/>
    <w:uiPriority w:val="1"/>
    <w:qFormat/>
    <w:rsid w:val="00C234C9"/>
    <w:pPr>
      <w:spacing w:after="0" w:line="240" w:lineRule="auto"/>
    </w:pPr>
    <w:rPr>
      <w:rFonts w:ascii="Times New Roman" w:eastAsia="Times New Roman" w:hAnsi="Times New Roman" w:cs="Times New Roman"/>
      <w:szCs w:val="20"/>
      <w:lang w:val="en-GB" w:eastAsia="it-IT"/>
    </w:rPr>
  </w:style>
  <w:style w:type="character" w:customStyle="1" w:styleId="NoSpacingChar">
    <w:name w:val="No Spacing Char"/>
    <w:link w:val="NoSpacing"/>
    <w:uiPriority w:val="1"/>
    <w:locked/>
    <w:rsid w:val="00C234C9"/>
    <w:rPr>
      <w:rFonts w:ascii="Times New Roman" w:eastAsia="Times New Roman" w:hAnsi="Times New Roman" w:cs="Times New Roman"/>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513">
      <w:bodyDiv w:val="1"/>
      <w:marLeft w:val="0"/>
      <w:marRight w:val="0"/>
      <w:marTop w:val="0"/>
      <w:marBottom w:val="0"/>
      <w:divBdr>
        <w:top w:val="none" w:sz="0" w:space="0" w:color="auto"/>
        <w:left w:val="none" w:sz="0" w:space="0" w:color="auto"/>
        <w:bottom w:val="none" w:sz="0" w:space="0" w:color="auto"/>
        <w:right w:val="none" w:sz="0" w:space="0" w:color="auto"/>
      </w:divBdr>
    </w:div>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sChild>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1606111522">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179778467">
          <w:marLeft w:val="0"/>
          <w:marRight w:val="0"/>
          <w:marTop w:val="0"/>
          <w:marBottom w:val="0"/>
          <w:divBdr>
            <w:top w:val="none" w:sz="0" w:space="0" w:color="auto"/>
            <w:left w:val="none" w:sz="0" w:space="0" w:color="auto"/>
            <w:bottom w:val="none" w:sz="0" w:space="0" w:color="auto"/>
            <w:right w:val="none" w:sz="0" w:space="0" w:color="auto"/>
          </w:divBdr>
        </w:div>
        <w:div w:id="49410508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69337177">
      <w:bodyDiv w:val="1"/>
      <w:marLeft w:val="0"/>
      <w:marRight w:val="0"/>
      <w:marTop w:val="0"/>
      <w:marBottom w:val="0"/>
      <w:divBdr>
        <w:top w:val="none" w:sz="0" w:space="0" w:color="auto"/>
        <w:left w:val="none" w:sz="0" w:space="0" w:color="auto"/>
        <w:bottom w:val="none" w:sz="0" w:space="0" w:color="auto"/>
        <w:right w:val="none" w:sz="0" w:space="0" w:color="auto"/>
      </w:divBdr>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429549785">
          <w:marLeft w:val="547"/>
          <w:marRight w:val="0"/>
          <w:marTop w:val="0"/>
          <w:marBottom w:val="0"/>
          <w:divBdr>
            <w:top w:val="none" w:sz="0" w:space="0" w:color="auto"/>
            <w:left w:val="none" w:sz="0" w:space="0" w:color="auto"/>
            <w:bottom w:val="none" w:sz="0" w:space="0" w:color="auto"/>
            <w:right w:val="none" w:sz="0" w:space="0" w:color="auto"/>
          </w:divBdr>
        </w:div>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403837542">
          <w:marLeft w:val="0"/>
          <w:marRight w:val="0"/>
          <w:marTop w:val="0"/>
          <w:marBottom w:val="0"/>
          <w:divBdr>
            <w:top w:val="none" w:sz="0" w:space="0" w:color="auto"/>
            <w:left w:val="none" w:sz="0" w:space="0" w:color="auto"/>
            <w:bottom w:val="none" w:sz="0" w:space="0" w:color="auto"/>
            <w:right w:val="none" w:sz="0" w:space="0" w:color="auto"/>
          </w:divBdr>
        </w:div>
        <w:div w:id="928738385">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368798065">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1544439908">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3462346">
          <w:marLeft w:val="0"/>
          <w:marRight w:val="0"/>
          <w:marTop w:val="0"/>
          <w:marBottom w:val="0"/>
          <w:divBdr>
            <w:top w:val="none" w:sz="0" w:space="0" w:color="auto"/>
            <w:left w:val="none" w:sz="0" w:space="0" w:color="auto"/>
            <w:bottom w:val="none" w:sz="0" w:space="0" w:color="auto"/>
            <w:right w:val="none" w:sz="0" w:space="0" w:color="auto"/>
          </w:divBdr>
        </w:div>
        <w:div w:id="153882750">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21" Type="http://schemas.openxmlformats.org/officeDocument/2006/relationships/image" Target="media/image12.emf"/><Relationship Id="rId34" Type="http://schemas.openxmlformats.org/officeDocument/2006/relationships/image" Target="media/image25.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emf"/><Relationship Id="rId40" Type="http://schemas.openxmlformats.org/officeDocument/2006/relationships/image" Target="media/image31.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png"/><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96F03-B79A-461D-B8A4-3A14E49E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58</Pages>
  <Words>16064</Words>
  <Characters>91570</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Jakupi</dc:creator>
  <cp:lastModifiedBy>Ina Dhaskali</cp:lastModifiedBy>
  <cp:revision>99</cp:revision>
  <cp:lastPrinted>2022-10-24T09:53:00Z</cp:lastPrinted>
  <dcterms:created xsi:type="dcterms:W3CDTF">2021-11-04T09:54:00Z</dcterms:created>
  <dcterms:modified xsi:type="dcterms:W3CDTF">2022-10-24T09:56:00Z</dcterms:modified>
</cp:coreProperties>
</file>