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D3" w:rsidRDefault="001E5FE4">
      <w:pPr>
        <w:spacing w:after="442" w:line="240" w:lineRule="auto"/>
        <w:ind w:left="0" w:firstLine="0"/>
        <w:jc w:val="left"/>
      </w:pPr>
      <w:bookmarkStart w:id="0" w:name="_GoBack"/>
      <w:bookmarkEnd w:id="0"/>
      <w:r>
        <w:rPr>
          <w:rFonts w:ascii="Calibri" w:eastAsia="Calibri" w:hAnsi="Calibri" w:cs="Calibri"/>
          <w:sz w:val="22"/>
        </w:rPr>
        <w:t xml:space="preserve"> </w:t>
      </w:r>
    </w:p>
    <w:p w:rsidR="00AC30D3" w:rsidRDefault="001E5FE4">
      <w:pPr>
        <w:spacing w:line="240" w:lineRule="auto"/>
        <w:ind w:left="0" w:firstLine="0"/>
        <w:jc w:val="center"/>
      </w:pPr>
      <w:r>
        <w:rPr>
          <w:rFonts w:ascii="Berlin Sans FB" w:eastAsia="Berlin Sans FB" w:hAnsi="Berlin Sans FB" w:cs="Berlin Sans FB"/>
          <w:sz w:val="22"/>
        </w:rPr>
        <w:t xml:space="preserve"> </w:t>
      </w:r>
    </w:p>
    <w:p w:rsidR="00145ACB" w:rsidRDefault="00145ACB">
      <w:pPr>
        <w:spacing w:after="0" w:line="240" w:lineRule="auto"/>
        <w:ind w:left="0" w:firstLine="0"/>
        <w:jc w:val="center"/>
        <w:rPr>
          <w:b/>
          <w:sz w:val="40"/>
          <w:szCs w:val="40"/>
        </w:rPr>
      </w:pPr>
    </w:p>
    <w:p w:rsidR="00145ACB" w:rsidRDefault="00145ACB">
      <w:pPr>
        <w:spacing w:after="0" w:line="240" w:lineRule="auto"/>
        <w:ind w:left="0" w:firstLine="0"/>
        <w:jc w:val="center"/>
        <w:rPr>
          <w:b/>
          <w:sz w:val="40"/>
          <w:szCs w:val="40"/>
        </w:rPr>
      </w:pPr>
    </w:p>
    <w:p w:rsidR="00145ACB" w:rsidRDefault="00145ACB">
      <w:pPr>
        <w:spacing w:after="0" w:line="240" w:lineRule="auto"/>
        <w:ind w:left="0" w:firstLine="0"/>
        <w:jc w:val="center"/>
        <w:rPr>
          <w:b/>
          <w:sz w:val="40"/>
          <w:szCs w:val="40"/>
        </w:rPr>
      </w:pPr>
    </w:p>
    <w:p w:rsidR="00145ACB" w:rsidRDefault="00145ACB">
      <w:pPr>
        <w:spacing w:after="0" w:line="240" w:lineRule="auto"/>
        <w:ind w:left="0" w:firstLine="0"/>
        <w:jc w:val="center"/>
        <w:rPr>
          <w:b/>
          <w:sz w:val="40"/>
          <w:szCs w:val="40"/>
        </w:rPr>
      </w:pPr>
    </w:p>
    <w:p w:rsidR="00145ACB" w:rsidRDefault="00145ACB">
      <w:pPr>
        <w:spacing w:after="0" w:line="240" w:lineRule="auto"/>
        <w:ind w:left="0" w:firstLine="0"/>
        <w:jc w:val="center"/>
        <w:rPr>
          <w:b/>
          <w:sz w:val="40"/>
          <w:szCs w:val="40"/>
        </w:rPr>
      </w:pPr>
    </w:p>
    <w:p w:rsidR="00145ACB" w:rsidRDefault="00145ACB">
      <w:pPr>
        <w:spacing w:after="0" w:line="240" w:lineRule="auto"/>
        <w:ind w:left="0" w:firstLine="0"/>
        <w:jc w:val="center"/>
        <w:rPr>
          <w:b/>
          <w:sz w:val="40"/>
          <w:szCs w:val="40"/>
        </w:rPr>
      </w:pPr>
    </w:p>
    <w:p w:rsidR="00145ACB" w:rsidRDefault="00145ACB">
      <w:pPr>
        <w:spacing w:after="0" w:line="240" w:lineRule="auto"/>
        <w:ind w:left="0" w:firstLine="0"/>
        <w:jc w:val="center"/>
        <w:rPr>
          <w:b/>
          <w:sz w:val="40"/>
          <w:szCs w:val="40"/>
        </w:rPr>
      </w:pPr>
    </w:p>
    <w:p w:rsidR="00145ACB" w:rsidRDefault="00145ACB">
      <w:pPr>
        <w:spacing w:after="0" w:line="240" w:lineRule="auto"/>
        <w:ind w:left="0" w:firstLine="0"/>
        <w:jc w:val="center"/>
        <w:rPr>
          <w:b/>
          <w:sz w:val="40"/>
          <w:szCs w:val="40"/>
        </w:rPr>
      </w:pPr>
      <w:r w:rsidRPr="00145ACB">
        <w:rPr>
          <w:b/>
          <w:sz w:val="40"/>
          <w:szCs w:val="40"/>
        </w:rPr>
        <w:t>RAPORT MONITORIMI</w:t>
      </w:r>
    </w:p>
    <w:p w:rsidR="00145ACB" w:rsidRDefault="00145ACB">
      <w:pPr>
        <w:spacing w:after="0" w:line="240" w:lineRule="auto"/>
        <w:ind w:left="0" w:firstLine="0"/>
        <w:jc w:val="center"/>
        <w:rPr>
          <w:b/>
          <w:sz w:val="40"/>
          <w:szCs w:val="40"/>
        </w:rPr>
      </w:pPr>
    </w:p>
    <w:p w:rsidR="00145ACB" w:rsidRPr="00145ACB" w:rsidRDefault="00145ACB">
      <w:pPr>
        <w:spacing w:after="0" w:line="240" w:lineRule="auto"/>
        <w:ind w:left="0" w:firstLine="0"/>
        <w:jc w:val="center"/>
        <w:rPr>
          <w:b/>
          <w:sz w:val="40"/>
          <w:szCs w:val="40"/>
        </w:rPr>
      </w:pPr>
    </w:p>
    <w:p w:rsidR="00145ACB" w:rsidRDefault="00145ACB">
      <w:pPr>
        <w:spacing w:after="0" w:line="240" w:lineRule="auto"/>
        <w:ind w:left="0" w:firstLine="0"/>
        <w:jc w:val="center"/>
        <w:rPr>
          <w:b/>
          <w:sz w:val="40"/>
          <w:szCs w:val="40"/>
        </w:rPr>
      </w:pPr>
      <w:r w:rsidRPr="00145ACB">
        <w:rPr>
          <w:b/>
          <w:sz w:val="40"/>
          <w:szCs w:val="40"/>
        </w:rPr>
        <w:t>ZBATIM I PLANIT TË INTEGRITETIT</w:t>
      </w:r>
    </w:p>
    <w:p w:rsidR="00145ACB" w:rsidRDefault="00145ACB">
      <w:pPr>
        <w:spacing w:after="0" w:line="240" w:lineRule="auto"/>
        <w:ind w:left="0" w:firstLine="0"/>
        <w:jc w:val="center"/>
        <w:rPr>
          <w:b/>
          <w:sz w:val="40"/>
          <w:szCs w:val="40"/>
        </w:rPr>
      </w:pPr>
    </w:p>
    <w:p w:rsidR="00145ACB" w:rsidRPr="00145ACB" w:rsidRDefault="00145ACB">
      <w:pPr>
        <w:spacing w:after="0" w:line="240" w:lineRule="auto"/>
        <w:ind w:left="0" w:firstLine="0"/>
        <w:jc w:val="center"/>
        <w:rPr>
          <w:b/>
          <w:sz w:val="40"/>
          <w:szCs w:val="40"/>
        </w:rPr>
      </w:pPr>
    </w:p>
    <w:p w:rsidR="00145ACB" w:rsidRDefault="00832B75">
      <w:pPr>
        <w:spacing w:after="0" w:line="240" w:lineRule="auto"/>
        <w:ind w:left="0" w:firstLine="0"/>
        <w:jc w:val="center"/>
        <w:rPr>
          <w:b/>
          <w:sz w:val="40"/>
          <w:szCs w:val="40"/>
        </w:rPr>
      </w:pPr>
      <w:r w:rsidRPr="00145ACB">
        <w:rPr>
          <w:b/>
          <w:sz w:val="40"/>
          <w:szCs w:val="40"/>
        </w:rPr>
        <w:t>MINISTRIA E FINANCAVE DHE EKONOMISË</w:t>
      </w:r>
      <w:r w:rsidR="001E5FE4" w:rsidRPr="00145ACB">
        <w:rPr>
          <w:b/>
          <w:sz w:val="40"/>
          <w:szCs w:val="40"/>
        </w:rPr>
        <w:t xml:space="preserve"> </w:t>
      </w:r>
    </w:p>
    <w:p w:rsidR="00145ACB" w:rsidRDefault="00145ACB">
      <w:pPr>
        <w:spacing w:after="0" w:line="240" w:lineRule="auto"/>
        <w:ind w:left="0" w:firstLine="0"/>
        <w:jc w:val="center"/>
        <w:rPr>
          <w:b/>
          <w:sz w:val="40"/>
          <w:szCs w:val="40"/>
        </w:rPr>
      </w:pPr>
    </w:p>
    <w:p w:rsidR="00145ACB" w:rsidRDefault="00145ACB">
      <w:pPr>
        <w:spacing w:after="0" w:line="240" w:lineRule="auto"/>
        <w:ind w:left="0" w:firstLine="0"/>
        <w:jc w:val="center"/>
        <w:rPr>
          <w:b/>
          <w:sz w:val="40"/>
          <w:szCs w:val="40"/>
        </w:rPr>
      </w:pPr>
    </w:p>
    <w:p w:rsidR="00145ACB" w:rsidRDefault="00145ACB">
      <w:pPr>
        <w:spacing w:after="0" w:line="240" w:lineRule="auto"/>
        <w:ind w:left="0" w:firstLine="0"/>
        <w:jc w:val="center"/>
        <w:rPr>
          <w:b/>
          <w:sz w:val="40"/>
          <w:szCs w:val="40"/>
        </w:rPr>
      </w:pPr>
    </w:p>
    <w:p w:rsidR="00AC30D3" w:rsidRPr="00145ACB" w:rsidRDefault="00145ACB">
      <w:pPr>
        <w:spacing w:after="0" w:line="240" w:lineRule="auto"/>
        <w:ind w:left="0" w:firstLine="0"/>
        <w:jc w:val="center"/>
        <w:rPr>
          <w:sz w:val="40"/>
          <w:szCs w:val="40"/>
        </w:rPr>
      </w:pPr>
      <w:r w:rsidRPr="00145ACB">
        <w:rPr>
          <w:b/>
          <w:sz w:val="40"/>
          <w:szCs w:val="40"/>
        </w:rPr>
        <w:t>202</w:t>
      </w:r>
      <w:r w:rsidR="006220CE">
        <w:rPr>
          <w:b/>
          <w:sz w:val="40"/>
          <w:szCs w:val="40"/>
        </w:rPr>
        <w:t>2</w:t>
      </w:r>
    </w:p>
    <w:p w:rsidR="00AC30D3" w:rsidRDefault="001E5FE4">
      <w:pPr>
        <w:spacing w:after="168" w:line="240" w:lineRule="auto"/>
        <w:ind w:left="0" w:firstLine="0"/>
        <w:jc w:val="center"/>
      </w:pPr>
      <w:r>
        <w:rPr>
          <w:rFonts w:ascii="Berlin Sans FB" w:eastAsia="Berlin Sans FB" w:hAnsi="Berlin Sans FB" w:cs="Berlin Sans FB"/>
          <w:sz w:val="22"/>
        </w:rPr>
        <w:t xml:space="preserve"> </w:t>
      </w:r>
    </w:p>
    <w:p w:rsidR="00AC30D3" w:rsidRDefault="001E5FE4">
      <w:pPr>
        <w:spacing w:after="165" w:line="240" w:lineRule="auto"/>
        <w:ind w:left="0" w:firstLine="0"/>
        <w:jc w:val="left"/>
      </w:pPr>
      <w:r>
        <w:rPr>
          <w:rFonts w:ascii="Berlin Sans FB" w:eastAsia="Berlin Sans FB" w:hAnsi="Berlin Sans FB" w:cs="Berlin Sans FB"/>
          <w:sz w:val="22"/>
        </w:rPr>
        <w:t xml:space="preserve"> </w:t>
      </w:r>
    </w:p>
    <w:p w:rsidR="00AC30D3" w:rsidRDefault="001E5FE4">
      <w:pPr>
        <w:spacing w:after="165" w:line="240" w:lineRule="auto"/>
        <w:ind w:left="0" w:firstLine="0"/>
        <w:jc w:val="left"/>
      </w:pPr>
      <w:r>
        <w:rPr>
          <w:rFonts w:ascii="Berlin Sans FB" w:eastAsia="Berlin Sans FB" w:hAnsi="Berlin Sans FB" w:cs="Berlin Sans FB"/>
          <w:sz w:val="22"/>
        </w:rPr>
        <w:t xml:space="preserve"> </w:t>
      </w:r>
    </w:p>
    <w:p w:rsidR="00AC30D3" w:rsidRDefault="001E5FE4">
      <w:pPr>
        <w:spacing w:after="202" w:line="240" w:lineRule="auto"/>
        <w:ind w:left="0" w:firstLine="0"/>
        <w:jc w:val="right"/>
      </w:pPr>
      <w:r>
        <w:rPr>
          <w:rFonts w:ascii="Berlin Sans FB" w:eastAsia="Berlin Sans FB" w:hAnsi="Berlin Sans FB" w:cs="Berlin Sans FB"/>
          <w:sz w:val="60"/>
        </w:rPr>
        <w:t xml:space="preserve"> </w:t>
      </w:r>
    </w:p>
    <w:p w:rsidR="00145ACB" w:rsidRDefault="00145ACB" w:rsidP="00145ACB">
      <w:pPr>
        <w:spacing w:after="0" w:line="240" w:lineRule="auto"/>
        <w:ind w:left="0" w:firstLine="0"/>
        <w:jc w:val="center"/>
        <w:rPr>
          <w:rFonts w:ascii="Berlin Sans FB" w:eastAsia="Berlin Sans FB" w:hAnsi="Berlin Sans FB" w:cs="Berlin Sans FB"/>
          <w:sz w:val="60"/>
        </w:rPr>
      </w:pPr>
    </w:p>
    <w:p w:rsidR="00145ACB" w:rsidRDefault="00145ACB" w:rsidP="00145ACB">
      <w:pPr>
        <w:spacing w:after="0" w:line="240" w:lineRule="auto"/>
        <w:ind w:left="0" w:firstLine="0"/>
        <w:jc w:val="center"/>
        <w:rPr>
          <w:rFonts w:ascii="Berlin Sans FB" w:eastAsia="Berlin Sans FB" w:hAnsi="Berlin Sans FB" w:cs="Berlin Sans FB"/>
          <w:sz w:val="60"/>
        </w:rPr>
      </w:pPr>
    </w:p>
    <w:p w:rsidR="007A464E" w:rsidRDefault="007A464E" w:rsidP="00145ACB">
      <w:pPr>
        <w:spacing w:after="0" w:line="240" w:lineRule="auto"/>
        <w:ind w:left="0" w:firstLine="0"/>
        <w:jc w:val="center"/>
        <w:rPr>
          <w:rFonts w:ascii="Berlin Sans FB" w:eastAsia="Berlin Sans FB" w:hAnsi="Berlin Sans FB" w:cs="Berlin Sans FB"/>
          <w:sz w:val="60"/>
        </w:rPr>
      </w:pPr>
    </w:p>
    <w:p w:rsidR="00AC30D3" w:rsidRDefault="001E5FE4">
      <w:pPr>
        <w:spacing w:after="0" w:line="240" w:lineRule="auto"/>
        <w:ind w:left="0" w:firstLine="0"/>
        <w:jc w:val="right"/>
      </w:pPr>
      <w:r>
        <w:rPr>
          <w:rFonts w:ascii="Berlin Sans FB" w:eastAsia="Berlin Sans FB" w:hAnsi="Berlin Sans FB" w:cs="Berlin Sans FB"/>
          <w:sz w:val="60"/>
        </w:rPr>
        <w:t xml:space="preserve"> </w:t>
      </w:r>
    </w:p>
    <w:p w:rsidR="00EA0830" w:rsidRPr="00EA0830" w:rsidRDefault="00EA0830" w:rsidP="00EA0830">
      <w:pPr>
        <w:spacing w:after="177" w:line="237" w:lineRule="auto"/>
        <w:ind w:left="-5" w:right="-15"/>
        <w:jc w:val="center"/>
        <w:rPr>
          <w:b/>
        </w:rPr>
      </w:pPr>
      <w:r w:rsidRPr="00EA0830">
        <w:rPr>
          <w:b/>
        </w:rPr>
        <w:t>TABELA E PËRMBAJTJES</w:t>
      </w:r>
    </w:p>
    <w:p w:rsidR="00EA0830" w:rsidRDefault="00EA0830">
      <w:pPr>
        <w:spacing w:after="177" w:line="237" w:lineRule="auto"/>
        <w:ind w:left="-5" w:right="-15"/>
        <w:jc w:val="left"/>
        <w:rPr>
          <w:b/>
        </w:rPr>
      </w:pPr>
    </w:p>
    <w:p w:rsidR="00EA0830" w:rsidRPr="00EA0830" w:rsidRDefault="00EA0830" w:rsidP="00EA0830">
      <w:pPr>
        <w:pStyle w:val="ListParagraph"/>
        <w:numPr>
          <w:ilvl w:val="0"/>
          <w:numId w:val="7"/>
        </w:numPr>
        <w:spacing w:after="177" w:line="237" w:lineRule="auto"/>
        <w:ind w:right="-15"/>
        <w:jc w:val="left"/>
        <w:rPr>
          <w:b/>
        </w:rPr>
      </w:pPr>
      <w:r w:rsidRPr="00EA0830">
        <w:rPr>
          <w:b/>
        </w:rPr>
        <w:t>PËRMBLEDHJE EKZEKUTIVE</w:t>
      </w:r>
    </w:p>
    <w:p w:rsidR="00EA0830" w:rsidRDefault="00EA0830">
      <w:pPr>
        <w:spacing w:after="177" w:line="237" w:lineRule="auto"/>
        <w:ind w:left="-5" w:right="-15"/>
        <w:jc w:val="left"/>
        <w:rPr>
          <w:b/>
        </w:rPr>
      </w:pPr>
    </w:p>
    <w:p w:rsidR="003216C9" w:rsidRPr="00EA0830" w:rsidRDefault="00EA0830" w:rsidP="00EA0830">
      <w:pPr>
        <w:pStyle w:val="ListParagraph"/>
        <w:numPr>
          <w:ilvl w:val="0"/>
          <w:numId w:val="7"/>
        </w:numPr>
        <w:spacing w:after="177" w:line="237" w:lineRule="auto"/>
        <w:ind w:right="-15"/>
        <w:jc w:val="left"/>
        <w:rPr>
          <w:b/>
        </w:rPr>
      </w:pPr>
      <w:r w:rsidRPr="00EA0830">
        <w:rPr>
          <w:b/>
        </w:rPr>
        <w:t>QASJA VLERËSUESE</w:t>
      </w:r>
    </w:p>
    <w:p w:rsidR="00AC30D3" w:rsidRDefault="00EA0830">
      <w:pPr>
        <w:spacing w:after="177" w:line="237" w:lineRule="auto"/>
        <w:ind w:left="-5" w:right="-15"/>
        <w:jc w:val="left"/>
      </w:pPr>
      <w:r>
        <w:rPr>
          <w:b/>
        </w:rPr>
        <w:t xml:space="preserve">  </w:t>
      </w:r>
    </w:p>
    <w:p w:rsidR="00AC30D3" w:rsidRPr="00EA0830" w:rsidRDefault="00EA0830" w:rsidP="00EA0830">
      <w:pPr>
        <w:pStyle w:val="ListParagraph"/>
        <w:numPr>
          <w:ilvl w:val="0"/>
          <w:numId w:val="7"/>
        </w:numPr>
        <w:spacing w:after="177" w:line="237" w:lineRule="auto"/>
        <w:ind w:right="-15"/>
        <w:jc w:val="left"/>
        <w:rPr>
          <w:b/>
        </w:rPr>
      </w:pPr>
      <w:r w:rsidRPr="00EA0830">
        <w:rPr>
          <w:b/>
        </w:rPr>
        <w:t xml:space="preserve">METODOLOGJIA E MONITORIMIT  </w:t>
      </w:r>
    </w:p>
    <w:p w:rsidR="003216C9" w:rsidRDefault="003216C9">
      <w:pPr>
        <w:spacing w:after="177" w:line="237" w:lineRule="auto"/>
        <w:ind w:left="-5" w:right="-15"/>
        <w:jc w:val="left"/>
      </w:pPr>
    </w:p>
    <w:p w:rsidR="00AC30D3" w:rsidRPr="00EA0830" w:rsidRDefault="00EA0830" w:rsidP="00EA0830">
      <w:pPr>
        <w:pStyle w:val="ListParagraph"/>
        <w:numPr>
          <w:ilvl w:val="0"/>
          <w:numId w:val="7"/>
        </w:numPr>
        <w:spacing w:after="177" w:line="237" w:lineRule="auto"/>
        <w:ind w:right="-15"/>
        <w:jc w:val="left"/>
        <w:rPr>
          <w:b/>
        </w:rPr>
      </w:pPr>
      <w:r w:rsidRPr="00EA0830">
        <w:rPr>
          <w:b/>
        </w:rPr>
        <w:t xml:space="preserve">GJETJET E RAPORTIT  </w:t>
      </w:r>
    </w:p>
    <w:p w:rsidR="003216C9" w:rsidRDefault="003216C9">
      <w:pPr>
        <w:spacing w:after="177" w:line="237" w:lineRule="auto"/>
        <w:ind w:left="-5" w:right="-15"/>
        <w:jc w:val="left"/>
      </w:pPr>
    </w:p>
    <w:p w:rsidR="00AC30D3" w:rsidRPr="00EA0830" w:rsidRDefault="00EA0830" w:rsidP="00EA0830">
      <w:pPr>
        <w:pStyle w:val="ListParagraph"/>
        <w:numPr>
          <w:ilvl w:val="0"/>
          <w:numId w:val="7"/>
        </w:numPr>
        <w:spacing w:after="177" w:line="237" w:lineRule="auto"/>
        <w:ind w:right="-15"/>
        <w:jc w:val="left"/>
        <w:rPr>
          <w:b/>
        </w:rPr>
      </w:pPr>
      <w:r w:rsidRPr="00EA0830">
        <w:rPr>
          <w:b/>
        </w:rPr>
        <w:t xml:space="preserve">KONKLUZIONE DHE REKOMANDIME </w:t>
      </w:r>
    </w:p>
    <w:p w:rsidR="003216C9" w:rsidRDefault="003216C9">
      <w:pPr>
        <w:spacing w:after="177" w:line="237" w:lineRule="auto"/>
        <w:ind w:left="-5" w:right="-15"/>
        <w:jc w:val="left"/>
      </w:pPr>
    </w:p>
    <w:p w:rsidR="00AC30D3" w:rsidRPr="00EA0830" w:rsidRDefault="00EA0830" w:rsidP="00EA0830">
      <w:pPr>
        <w:pStyle w:val="ListParagraph"/>
        <w:numPr>
          <w:ilvl w:val="0"/>
          <w:numId w:val="7"/>
        </w:numPr>
        <w:spacing w:after="177" w:line="237" w:lineRule="auto"/>
        <w:ind w:right="-15"/>
        <w:jc w:val="left"/>
        <w:rPr>
          <w:b/>
        </w:rPr>
      </w:pPr>
      <w:r w:rsidRPr="00EA0830">
        <w:rPr>
          <w:b/>
        </w:rPr>
        <w:t xml:space="preserve">HAPA TË TJERA  </w:t>
      </w:r>
    </w:p>
    <w:p w:rsidR="003216C9" w:rsidRDefault="003216C9">
      <w:pPr>
        <w:spacing w:after="177" w:line="237" w:lineRule="auto"/>
        <w:ind w:left="-5" w:right="-15"/>
        <w:jc w:val="left"/>
      </w:pPr>
    </w:p>
    <w:p w:rsidR="00AC30D3" w:rsidRDefault="00EA0830" w:rsidP="00EA0830">
      <w:pPr>
        <w:pStyle w:val="ListParagraph"/>
        <w:numPr>
          <w:ilvl w:val="0"/>
          <w:numId w:val="7"/>
        </w:numPr>
        <w:spacing w:after="177" w:line="237" w:lineRule="auto"/>
        <w:ind w:right="-15"/>
        <w:jc w:val="left"/>
      </w:pPr>
      <w:r w:rsidRPr="00EA0830">
        <w:rPr>
          <w:b/>
        </w:rPr>
        <w:t xml:space="preserve">ANEKS </w:t>
      </w:r>
    </w:p>
    <w:p w:rsidR="00AC30D3" w:rsidRDefault="001E5FE4">
      <w:pPr>
        <w:spacing w:after="181" w:line="240" w:lineRule="auto"/>
        <w:ind w:left="0" w:firstLine="0"/>
        <w:jc w:val="left"/>
      </w:pPr>
      <w:r>
        <w:t xml:space="preserve"> </w:t>
      </w:r>
    </w:p>
    <w:p w:rsidR="00AC30D3" w:rsidRDefault="001E5FE4">
      <w:pPr>
        <w:spacing w:after="178" w:line="240" w:lineRule="auto"/>
        <w:ind w:left="0" w:firstLine="0"/>
        <w:jc w:val="left"/>
      </w:pPr>
      <w:r>
        <w:t xml:space="preserve"> </w:t>
      </w:r>
    </w:p>
    <w:p w:rsidR="00AC30D3" w:rsidRDefault="001E5FE4">
      <w:pPr>
        <w:spacing w:after="0" w:line="240" w:lineRule="auto"/>
        <w:ind w:left="0" w:firstLine="0"/>
        <w:jc w:val="left"/>
      </w:pPr>
      <w:r>
        <w:t xml:space="preserve"> </w:t>
      </w:r>
      <w:r>
        <w:tab/>
        <w:t xml:space="preserve"> </w:t>
      </w:r>
    </w:p>
    <w:p w:rsidR="00AC30D3" w:rsidRDefault="00AC30D3">
      <w:pPr>
        <w:spacing w:after="0" w:line="240" w:lineRule="auto"/>
        <w:ind w:left="0" w:firstLine="0"/>
        <w:jc w:val="left"/>
        <w:rPr>
          <w:rFonts w:ascii="Berlin Sans FB" w:eastAsia="Berlin Sans FB" w:hAnsi="Berlin Sans FB" w:cs="Berlin Sans FB"/>
          <w:color w:val="142F40"/>
          <w:sz w:val="28"/>
        </w:rPr>
      </w:pPr>
    </w:p>
    <w:p w:rsidR="00832B75" w:rsidRDefault="00832B75">
      <w:pPr>
        <w:spacing w:after="0" w:line="240" w:lineRule="auto"/>
        <w:ind w:left="0" w:firstLine="0"/>
        <w:jc w:val="left"/>
        <w:rPr>
          <w:rFonts w:ascii="Berlin Sans FB" w:eastAsia="Berlin Sans FB" w:hAnsi="Berlin Sans FB" w:cs="Berlin Sans FB"/>
          <w:color w:val="142F40"/>
          <w:sz w:val="28"/>
        </w:rPr>
      </w:pPr>
    </w:p>
    <w:p w:rsidR="00832B75" w:rsidRDefault="00832B75">
      <w:pPr>
        <w:spacing w:after="0" w:line="240" w:lineRule="auto"/>
        <w:ind w:left="0" w:firstLine="0"/>
        <w:jc w:val="left"/>
        <w:rPr>
          <w:rFonts w:ascii="Berlin Sans FB" w:eastAsia="Berlin Sans FB" w:hAnsi="Berlin Sans FB" w:cs="Berlin Sans FB"/>
          <w:color w:val="142F40"/>
          <w:sz w:val="28"/>
        </w:rPr>
      </w:pPr>
    </w:p>
    <w:p w:rsidR="00832B75" w:rsidRDefault="00832B75">
      <w:pPr>
        <w:spacing w:after="0" w:line="240" w:lineRule="auto"/>
        <w:ind w:left="0" w:firstLine="0"/>
        <w:jc w:val="left"/>
        <w:rPr>
          <w:rFonts w:ascii="Berlin Sans FB" w:eastAsia="Berlin Sans FB" w:hAnsi="Berlin Sans FB" w:cs="Berlin Sans FB"/>
          <w:color w:val="142F40"/>
          <w:sz w:val="28"/>
        </w:rPr>
      </w:pPr>
    </w:p>
    <w:p w:rsidR="00832B75" w:rsidRDefault="00832B75">
      <w:pPr>
        <w:spacing w:after="0" w:line="240" w:lineRule="auto"/>
        <w:ind w:left="0" w:firstLine="0"/>
        <w:jc w:val="left"/>
        <w:rPr>
          <w:rFonts w:ascii="Berlin Sans FB" w:eastAsia="Berlin Sans FB" w:hAnsi="Berlin Sans FB" w:cs="Berlin Sans FB"/>
          <w:color w:val="142F40"/>
          <w:sz w:val="28"/>
        </w:rPr>
      </w:pPr>
    </w:p>
    <w:p w:rsidR="00832B75" w:rsidRDefault="00832B75">
      <w:pPr>
        <w:spacing w:after="0" w:line="240" w:lineRule="auto"/>
        <w:ind w:left="0" w:firstLine="0"/>
        <w:jc w:val="left"/>
        <w:rPr>
          <w:rFonts w:ascii="Berlin Sans FB" w:eastAsia="Berlin Sans FB" w:hAnsi="Berlin Sans FB" w:cs="Berlin Sans FB"/>
          <w:color w:val="142F40"/>
          <w:sz w:val="28"/>
        </w:rPr>
      </w:pPr>
    </w:p>
    <w:p w:rsidR="00832B75" w:rsidRDefault="00832B75">
      <w:pPr>
        <w:spacing w:after="0" w:line="240" w:lineRule="auto"/>
        <w:ind w:left="0" w:firstLine="0"/>
        <w:jc w:val="left"/>
        <w:rPr>
          <w:rFonts w:ascii="Berlin Sans FB" w:eastAsia="Berlin Sans FB" w:hAnsi="Berlin Sans FB" w:cs="Berlin Sans FB"/>
          <w:color w:val="142F40"/>
          <w:sz w:val="28"/>
        </w:rPr>
      </w:pPr>
    </w:p>
    <w:p w:rsidR="00832B75" w:rsidRDefault="00832B75">
      <w:pPr>
        <w:spacing w:after="0" w:line="240" w:lineRule="auto"/>
        <w:ind w:left="0" w:firstLine="0"/>
        <w:jc w:val="left"/>
        <w:rPr>
          <w:rFonts w:ascii="Berlin Sans FB" w:eastAsia="Berlin Sans FB" w:hAnsi="Berlin Sans FB" w:cs="Berlin Sans FB"/>
          <w:color w:val="142F40"/>
          <w:sz w:val="28"/>
        </w:rPr>
      </w:pPr>
    </w:p>
    <w:p w:rsidR="00832B75" w:rsidRDefault="00832B75">
      <w:pPr>
        <w:spacing w:after="0" w:line="240" w:lineRule="auto"/>
        <w:ind w:left="0" w:firstLine="0"/>
        <w:jc w:val="left"/>
        <w:rPr>
          <w:rFonts w:ascii="Berlin Sans FB" w:eastAsia="Berlin Sans FB" w:hAnsi="Berlin Sans FB" w:cs="Berlin Sans FB"/>
          <w:color w:val="142F40"/>
          <w:sz w:val="28"/>
        </w:rPr>
      </w:pPr>
    </w:p>
    <w:p w:rsidR="00832B75" w:rsidRDefault="00832B75">
      <w:pPr>
        <w:spacing w:after="0" w:line="240" w:lineRule="auto"/>
        <w:ind w:left="0" w:firstLine="0"/>
        <w:jc w:val="left"/>
        <w:rPr>
          <w:rFonts w:ascii="Berlin Sans FB" w:eastAsia="Berlin Sans FB" w:hAnsi="Berlin Sans FB" w:cs="Berlin Sans FB"/>
          <w:color w:val="142F40"/>
          <w:sz w:val="28"/>
        </w:rPr>
      </w:pPr>
    </w:p>
    <w:p w:rsidR="00832B75" w:rsidRDefault="00832B75">
      <w:pPr>
        <w:spacing w:after="0" w:line="240" w:lineRule="auto"/>
        <w:ind w:left="0" w:firstLine="0"/>
        <w:jc w:val="left"/>
        <w:rPr>
          <w:rFonts w:ascii="Berlin Sans FB" w:eastAsia="Berlin Sans FB" w:hAnsi="Berlin Sans FB" w:cs="Berlin Sans FB"/>
          <w:color w:val="142F40"/>
          <w:sz w:val="28"/>
        </w:rPr>
      </w:pPr>
    </w:p>
    <w:p w:rsidR="00EA0830" w:rsidRDefault="00EA0830" w:rsidP="00EA0830">
      <w:pPr>
        <w:tabs>
          <w:tab w:val="left" w:pos="3663"/>
        </w:tabs>
        <w:spacing w:after="350" w:line="246" w:lineRule="auto"/>
        <w:ind w:left="0" w:firstLine="0"/>
        <w:jc w:val="left"/>
        <w:rPr>
          <w:rFonts w:eastAsia="Berlin Sans FB"/>
          <w:b/>
          <w:color w:val="142F40"/>
          <w:szCs w:val="24"/>
        </w:rPr>
      </w:pPr>
    </w:p>
    <w:p w:rsidR="00C764E6" w:rsidRDefault="00C764E6" w:rsidP="00EA0830">
      <w:pPr>
        <w:tabs>
          <w:tab w:val="left" w:pos="3663"/>
        </w:tabs>
        <w:spacing w:after="350" w:line="246" w:lineRule="auto"/>
        <w:ind w:left="0" w:firstLine="0"/>
        <w:jc w:val="left"/>
        <w:rPr>
          <w:rFonts w:eastAsia="Berlin Sans FB"/>
          <w:b/>
          <w:color w:val="142F40"/>
          <w:szCs w:val="24"/>
        </w:rPr>
      </w:pPr>
    </w:p>
    <w:p w:rsidR="00AC30D3" w:rsidRPr="00261142" w:rsidRDefault="009F585E" w:rsidP="00261142">
      <w:pPr>
        <w:pStyle w:val="ListParagraph"/>
        <w:numPr>
          <w:ilvl w:val="0"/>
          <w:numId w:val="8"/>
        </w:numPr>
        <w:tabs>
          <w:tab w:val="left" w:pos="3663"/>
        </w:tabs>
        <w:spacing w:after="350" w:line="246" w:lineRule="auto"/>
        <w:jc w:val="left"/>
        <w:rPr>
          <w:b/>
          <w:szCs w:val="24"/>
        </w:rPr>
      </w:pPr>
      <w:r w:rsidRPr="00EA0830">
        <w:rPr>
          <w:rFonts w:eastAsia="Berlin Sans FB"/>
          <w:b/>
          <w:color w:val="000000" w:themeColor="text1"/>
          <w:szCs w:val="24"/>
        </w:rPr>
        <w:lastRenderedPageBreak/>
        <w:t xml:space="preserve">PËRMBLEDHJE EKZEKUTIVE </w:t>
      </w:r>
      <w:r w:rsidRPr="00EA0830">
        <w:rPr>
          <w:rFonts w:eastAsia="Berlin Sans FB"/>
          <w:b/>
          <w:color w:val="142F40"/>
          <w:szCs w:val="24"/>
        </w:rPr>
        <w:tab/>
      </w:r>
      <w:r w:rsidR="001E5FE4" w:rsidRPr="00261142">
        <w:rPr>
          <w:rFonts w:ascii="Calibri" w:eastAsia="Calibri" w:hAnsi="Calibri" w:cs="Calibri"/>
          <w:sz w:val="22"/>
        </w:rPr>
        <w:t xml:space="preserve"> </w:t>
      </w:r>
    </w:p>
    <w:p w:rsidR="00AC30D3" w:rsidRDefault="001E5FE4">
      <w:pPr>
        <w:ind w:left="10" w:right="92"/>
      </w:pPr>
      <w:r>
        <w:t xml:space="preserve">Lufta kundër korrupsionit është prioritet i qeverisë shqiptare. Angazhimi në forcimin e kuadrit institucional, strategjik, ligjor dhe operacional në fushën antikorrupsion ka çuar drejt hartimit, miratimit dhe aplikimit të instrumenteve konkrete kundër korrupsionit me qasje parandaluese dhe ndëshkuese.  </w:t>
      </w:r>
    </w:p>
    <w:p w:rsidR="00AC30D3" w:rsidRDefault="001E5FE4">
      <w:pPr>
        <w:ind w:left="10" w:right="91"/>
      </w:pPr>
      <w:r>
        <w:t xml:space="preserve">Ministria e </w:t>
      </w:r>
      <w:r w:rsidR="00EC47D1">
        <w:t>Financave dhe Ekonomis</w:t>
      </w:r>
      <w:r>
        <w:t xml:space="preserve">ë hartoi dhe miratoi </w:t>
      </w:r>
      <w:r w:rsidR="00EC47D1">
        <w:t>një instrument</w:t>
      </w:r>
      <w:r>
        <w:t xml:space="preserve"> me karakter parandalues në luftën kundër korrupsionit: Planin e Integritetit të institucionit, të miratuar me urdhrin e Ministrit të </w:t>
      </w:r>
      <w:r w:rsidR="00EC47D1">
        <w:t>Financave dhe Ekonomis</w:t>
      </w:r>
      <w:r>
        <w:t>ë nr.</w:t>
      </w:r>
      <w:r w:rsidR="00EC47D1">
        <w:t>40</w:t>
      </w:r>
      <w:r>
        <w:t>, datë 0</w:t>
      </w:r>
      <w:r w:rsidR="00EC47D1">
        <w:t>9</w:t>
      </w:r>
      <w:r>
        <w:t>.</w:t>
      </w:r>
      <w:r w:rsidR="00EC47D1">
        <w:t>02</w:t>
      </w:r>
      <w:r>
        <w:t>.202</w:t>
      </w:r>
      <w:r w:rsidR="00EC47D1">
        <w:t>2.</w:t>
      </w:r>
    </w:p>
    <w:p w:rsidR="00AC30D3" w:rsidRDefault="001E5FE4">
      <w:pPr>
        <w:ind w:left="10"/>
      </w:pPr>
      <w:r>
        <w:t xml:space="preserve">Plani i Integritetit të Ministrisë së </w:t>
      </w:r>
      <w:r w:rsidR="00EC47D1">
        <w:t>Financave dhe Ekonomis</w:t>
      </w:r>
      <w:r>
        <w:t xml:space="preserve">ë është një instrument i luftës kundër korrupsionit, i cili ka të parashikuar masa të identifikuara në </w:t>
      </w:r>
      <w:r w:rsidRPr="007C139E">
        <w:rPr>
          <w:color w:val="auto"/>
        </w:rPr>
        <w:t>1</w:t>
      </w:r>
      <w:r w:rsidR="00120232">
        <w:rPr>
          <w:color w:val="auto"/>
        </w:rPr>
        <w:t>0</w:t>
      </w:r>
      <w:r w:rsidR="0017101A">
        <w:t xml:space="preserve"> fusha </w:t>
      </w:r>
      <w:r>
        <w:t xml:space="preserve">të përgjegjësisë institucionale të ministrisë.  </w:t>
      </w:r>
    </w:p>
    <w:p w:rsidR="00AC30D3" w:rsidRDefault="001E5FE4">
      <w:pPr>
        <w:ind w:left="10" w:right="92"/>
      </w:pPr>
      <w:r>
        <w:t xml:space="preserve">Plani i Integritetit përmban </w:t>
      </w:r>
      <w:r w:rsidRPr="00120232">
        <w:rPr>
          <w:color w:val="auto"/>
        </w:rPr>
        <w:t>masa të karakterit rregullator e operacional, dhe për të cilat janë parashikuar ndërhyrje (aktivitete) përkundrejt çdo risku të evidentuar</w:t>
      </w:r>
      <w:r>
        <w:t xml:space="preserve">. Njësitë përgjegjëse për zbatimin e tyre janë drejtoritë e Ministrisë së </w:t>
      </w:r>
      <w:r w:rsidR="00EC47D1">
        <w:t>Financave dhe Ekonomis</w:t>
      </w:r>
      <w:r>
        <w:t xml:space="preserve">ë si dhe grupe institucionale pune. Afati i zbatimit të këtij Plani Integriteti është deri në vitin 2023.  </w:t>
      </w:r>
    </w:p>
    <w:p w:rsidR="00AC30D3" w:rsidRDefault="001E5FE4">
      <w:pPr>
        <w:ind w:left="10" w:right="90"/>
      </w:pPr>
      <w:r>
        <w:t xml:space="preserve">Raporti i monitorimit për zbatimin e Planit të Integritetit 2022, jep të dhëna për objektivat dhe masat institucionale të parashikuara në Planin e Integritetit të Ministrisë së </w:t>
      </w:r>
      <w:r w:rsidR="007D1E2C">
        <w:t>Financave dhe Ekonomis</w:t>
      </w:r>
      <w:r>
        <w:t>ë për periudhën e kërkuar, për statusin e zbatimit të tyre, informacionin për buxhetin, problematikat e hasura në zbatimin e tyre, përmban të dhëna për veprimtarinë operacionale të njësive (dr</w:t>
      </w:r>
      <w:r w:rsidR="00E630DB">
        <w:t>ejtorive) të brendshme kontribu</w:t>
      </w:r>
      <w:r>
        <w:t xml:space="preserve">ese, referuar hartimit dhe plotësimit të kuadrit rregullator të brendshëm rregullator, burimeve njerëzore dhe profesionale si dhe transparencën dhe komunikimin me grupet e interesuara. </w:t>
      </w:r>
    </w:p>
    <w:p w:rsidR="001B7CB7" w:rsidRDefault="001E5FE4" w:rsidP="001B7CB7">
      <w:pPr>
        <w:ind w:left="10"/>
      </w:pPr>
      <w:r>
        <w:t xml:space="preserve">Për vitin 2022, Plani i Integritetit ka të parashikuar për zbatim </w:t>
      </w:r>
      <w:r w:rsidR="00120232" w:rsidRPr="00403AFB">
        <w:rPr>
          <w:color w:val="auto"/>
        </w:rPr>
        <w:t>2</w:t>
      </w:r>
      <w:r w:rsidR="00403AFB" w:rsidRPr="00403AFB">
        <w:rPr>
          <w:color w:val="auto"/>
        </w:rPr>
        <w:t>7</w:t>
      </w:r>
      <w:r w:rsidRPr="00403AFB">
        <w:rPr>
          <w:color w:val="auto"/>
        </w:rPr>
        <w:t xml:space="preserve"> masa për të cilat janë planifikuar kryerja e </w:t>
      </w:r>
      <w:r w:rsidR="00403AFB" w:rsidRPr="00403AFB">
        <w:rPr>
          <w:color w:val="auto"/>
        </w:rPr>
        <w:t>27</w:t>
      </w:r>
      <w:r w:rsidRPr="00403AFB">
        <w:rPr>
          <w:color w:val="auto"/>
        </w:rPr>
        <w:t xml:space="preserve"> aktivitete</w:t>
      </w:r>
      <w:r w:rsidR="00C764E6">
        <w:t xml:space="preserve">, </w:t>
      </w:r>
      <w:r w:rsidR="00916629">
        <w:t>sipas fushave t</w:t>
      </w:r>
      <w:r w:rsidR="00F87CF4">
        <w:t>ë</w:t>
      </w:r>
      <w:r w:rsidR="00916629">
        <w:t xml:space="preserve"> veprimtaris</w:t>
      </w:r>
      <w:r w:rsidR="00F87CF4">
        <w:t>ë</w:t>
      </w:r>
      <w:r w:rsidR="00916629">
        <w:t xml:space="preserve"> s</w:t>
      </w:r>
      <w:r w:rsidR="00F87CF4">
        <w:t>ë</w:t>
      </w:r>
      <w:r w:rsidR="00916629">
        <w:t xml:space="preserve"> MFE.</w:t>
      </w:r>
    </w:p>
    <w:p w:rsidR="00261142" w:rsidRDefault="001B7CB7" w:rsidP="00261142">
      <w:pPr>
        <w:spacing w:after="0"/>
        <w:ind w:left="0" w:firstLine="0"/>
        <w:rPr>
          <w:color w:val="FF0000"/>
        </w:rPr>
      </w:pPr>
      <w:r>
        <w:t xml:space="preserve">Nga monitorimi rezulton se përgjatë vitit 2022, në totalin prej 27 masash, janë zbatuar </w:t>
      </w:r>
      <w:r w:rsidR="004571B9" w:rsidRPr="004571B9">
        <w:rPr>
          <w:color w:val="auto"/>
        </w:rPr>
        <w:t>21</w:t>
      </w:r>
      <w:r w:rsidRPr="004571B9">
        <w:rPr>
          <w:color w:val="auto"/>
        </w:rPr>
        <w:t xml:space="preserve"> masa, </w:t>
      </w:r>
      <w:r w:rsidR="00082926">
        <w:rPr>
          <w:color w:val="auto"/>
        </w:rPr>
        <w:t>5</w:t>
      </w:r>
      <w:r w:rsidR="005E4B65" w:rsidRPr="005E4B65">
        <w:rPr>
          <w:color w:val="auto"/>
        </w:rPr>
        <w:t xml:space="preserve"> prej tyre ka</w:t>
      </w:r>
      <w:r w:rsidR="00123E81">
        <w:rPr>
          <w:color w:val="auto"/>
        </w:rPr>
        <w:t>në</w:t>
      </w:r>
      <w:r w:rsidRPr="005E4B65">
        <w:rPr>
          <w:color w:val="auto"/>
        </w:rPr>
        <w:t xml:space="preserve"> mbetur në proces dhe </w:t>
      </w:r>
      <w:r w:rsidR="00082926">
        <w:rPr>
          <w:color w:val="auto"/>
        </w:rPr>
        <w:t>1</w:t>
      </w:r>
      <w:r w:rsidR="00123E81">
        <w:rPr>
          <w:color w:val="auto"/>
        </w:rPr>
        <w:t xml:space="preserve"> mas</w:t>
      </w:r>
      <w:r w:rsidR="00082926">
        <w:rPr>
          <w:color w:val="auto"/>
        </w:rPr>
        <w:t>ë</w:t>
      </w:r>
      <w:r w:rsidRPr="005E4B65">
        <w:rPr>
          <w:color w:val="auto"/>
        </w:rPr>
        <w:t xml:space="preserve"> nuk </w:t>
      </w:r>
      <w:r w:rsidR="00082926">
        <w:rPr>
          <w:color w:val="auto"/>
        </w:rPr>
        <w:t>ësht</w:t>
      </w:r>
      <w:r w:rsidRPr="005E4B65">
        <w:rPr>
          <w:color w:val="auto"/>
        </w:rPr>
        <w:t xml:space="preserve">ë realizuar.  </w:t>
      </w:r>
    </w:p>
    <w:p w:rsidR="00261142" w:rsidRPr="00261142" w:rsidRDefault="00261142" w:rsidP="00261142">
      <w:pPr>
        <w:spacing w:after="0"/>
        <w:ind w:left="0" w:firstLine="0"/>
        <w:rPr>
          <w:color w:val="FF0000"/>
        </w:rPr>
      </w:pPr>
    </w:p>
    <w:p w:rsidR="00261142" w:rsidRDefault="00261142" w:rsidP="00261142">
      <w:pPr>
        <w:ind w:left="0" w:firstLine="0"/>
      </w:pPr>
      <w:r>
        <w:t>Përmes këtij raporti synohet:</w:t>
      </w:r>
    </w:p>
    <w:p w:rsidR="00261142" w:rsidRDefault="00261142" w:rsidP="00261142">
      <w:pPr>
        <w:pStyle w:val="ListParagraph"/>
        <w:numPr>
          <w:ilvl w:val="0"/>
          <w:numId w:val="4"/>
        </w:numPr>
        <w:ind w:left="180" w:hanging="180"/>
      </w:pPr>
      <w:r>
        <w:t xml:space="preserve">Përmirësimi dhe forcimi i integritetit të institucionit të Ministrisë së Financave dhe Ekonomisë nëpërmjet miratimit dhe zbatimit të kuadrit të nevojshëm rregullator për çështje të veçanta të integritetit si dhe gjithashtu të miratimit dhe përmirësimit të kuadrit të brendshëm institucional në menaxhimin e integritetit në institucional.  </w:t>
      </w:r>
    </w:p>
    <w:p w:rsidR="00261142" w:rsidRDefault="00261142" w:rsidP="00261142">
      <w:pPr>
        <w:pStyle w:val="ListParagraph"/>
        <w:numPr>
          <w:ilvl w:val="0"/>
          <w:numId w:val="4"/>
        </w:numPr>
        <w:ind w:left="180" w:hanging="180"/>
      </w:pPr>
      <w:r>
        <w:t xml:space="preserve">Mirëfunksionimi i administratës të institucionit të Ministrisë së Financave dhe Ekonomisë nëpërmjet vendosjes së linjave të qarta hierarkike, sanksionimit të një procedure të qartë të të gjitha proceseve të punës në njësitë e ministrisë, forcimit të kapaciteteve njerëzore e profesionale të fushës por edhe rekrutimin e stafit në mungesë në përputhje me strukturën dhe organikën në fuqi të ministrisë.  </w:t>
      </w:r>
    </w:p>
    <w:p w:rsidR="00261142" w:rsidRDefault="00261142" w:rsidP="00261142">
      <w:pPr>
        <w:pStyle w:val="ListParagraph"/>
        <w:numPr>
          <w:ilvl w:val="0"/>
          <w:numId w:val="4"/>
        </w:numPr>
        <w:ind w:left="180" w:hanging="180"/>
      </w:pPr>
      <w:r>
        <w:t xml:space="preserve">Rritja dhe përmirësimi i transparencës dhe veprimtarisë së institucionit të Ministrisë së </w:t>
      </w:r>
      <w:r w:rsidR="00FE1C9A">
        <w:t>së Financave dhe Ekonomisë</w:t>
      </w:r>
      <w:r>
        <w:t xml:space="preserve">, kundrejt grupeve të interesit dhe publikut nëpërmjet zbatimit dhe përdorimit të instrumenteve të të drejtës së informimit, konsultimit publik, të tjera forma të bashkëveprimit aktiv institucion të interesuar.  </w:t>
      </w:r>
    </w:p>
    <w:p w:rsidR="00261142" w:rsidRDefault="00261142" w:rsidP="00345092">
      <w:pPr>
        <w:ind w:left="0" w:firstLine="0"/>
        <w:sectPr w:rsidR="00261142" w:rsidSect="00C764E6">
          <w:headerReference w:type="even" r:id="rId8"/>
          <w:footerReference w:type="even" r:id="rId9"/>
          <w:footerReference w:type="default" r:id="rId10"/>
          <w:headerReference w:type="first" r:id="rId11"/>
          <w:footerReference w:type="first" r:id="rId12"/>
          <w:footnotePr>
            <w:numRestart w:val="eachPage"/>
          </w:footnotePr>
          <w:pgSz w:w="12240" w:h="15840"/>
          <w:pgMar w:top="1260" w:right="1288" w:bottom="1350" w:left="1440" w:header="720" w:footer="441" w:gutter="0"/>
          <w:cols w:space="720"/>
          <w:titlePg/>
        </w:sectPr>
      </w:pPr>
    </w:p>
    <w:p w:rsidR="00AC30D3" w:rsidRDefault="00AC30D3" w:rsidP="00227552">
      <w:pPr>
        <w:spacing w:after="181" w:line="240" w:lineRule="auto"/>
        <w:ind w:left="0" w:firstLine="0"/>
        <w:jc w:val="left"/>
      </w:pPr>
    </w:p>
    <w:p w:rsidR="00AC30D3" w:rsidRPr="00EA0830" w:rsidRDefault="00227552" w:rsidP="00EA0830">
      <w:pPr>
        <w:pStyle w:val="ListParagraph"/>
        <w:numPr>
          <w:ilvl w:val="0"/>
          <w:numId w:val="8"/>
        </w:numPr>
        <w:spacing w:before="54" w:after="202" w:line="240" w:lineRule="auto"/>
        <w:jc w:val="left"/>
        <w:rPr>
          <w:b/>
        </w:rPr>
      </w:pPr>
      <w:r w:rsidRPr="00EA0830">
        <w:rPr>
          <w:b/>
        </w:rPr>
        <w:t>QASJA VLERËSUESE</w:t>
      </w:r>
    </w:p>
    <w:p w:rsidR="00AC30D3" w:rsidRDefault="001E5FE4" w:rsidP="00227552">
      <w:pPr>
        <w:ind w:left="0" w:firstLine="0"/>
      </w:pPr>
      <w:r>
        <w:t xml:space="preserve">Raporti i monitorimit të zbatimit të Planit të Integritetit të Ministrisë së </w:t>
      </w:r>
      <w:r w:rsidR="00BC65C0">
        <w:t>Financave dhe Ekonomis</w:t>
      </w:r>
      <w:r>
        <w:t>ë, përmban një analizë të përgjithshme të kuadrit rregullator mbi aspekte të int</w:t>
      </w:r>
      <w:r w:rsidR="00BC65C0">
        <w:t>egritetit dhe performancës në MFE</w:t>
      </w:r>
      <w:r>
        <w:t xml:space="preserve">, Raporti i monitorimit të zbatimit të Planit të Integritetit të Ministrisë së </w:t>
      </w:r>
      <w:r w:rsidR="00BC65C0">
        <w:t>Financave dhe Ekonomis</w:t>
      </w:r>
      <w:r>
        <w:t>ë, përmban një analizë të përgjithshme të zbatueshmërisë dhe progresit të vitit 2022, për aktivitete dhe masa të kuadrit rregullator, të performancës institucionale për ti rezistuar shkeljeve të integritetit si dhe çështje të organizimi dhe funksionimit të s</w:t>
      </w:r>
      <w:r w:rsidR="00BC65C0">
        <w:t>trukturave teknike të Ministrisë</w:t>
      </w:r>
      <w:r>
        <w:t xml:space="preserve"> së </w:t>
      </w:r>
      <w:r w:rsidR="00BC65C0">
        <w:t>Financave dhe Ekonomis</w:t>
      </w:r>
      <w:r>
        <w:t xml:space="preserve">ë.  </w:t>
      </w:r>
    </w:p>
    <w:p w:rsidR="009F585E" w:rsidRPr="00EA0830" w:rsidRDefault="009F585E" w:rsidP="00EA0830">
      <w:pPr>
        <w:spacing w:after="193" w:line="240" w:lineRule="auto"/>
        <w:jc w:val="left"/>
      </w:pPr>
    </w:p>
    <w:p w:rsidR="00227552" w:rsidRPr="00EA0830" w:rsidRDefault="00227552" w:rsidP="00EA0830">
      <w:pPr>
        <w:pStyle w:val="ListParagraph"/>
        <w:numPr>
          <w:ilvl w:val="0"/>
          <w:numId w:val="8"/>
        </w:numPr>
        <w:rPr>
          <w:b/>
        </w:rPr>
      </w:pPr>
      <w:r w:rsidRPr="00EA0830">
        <w:rPr>
          <w:b/>
        </w:rPr>
        <w:t>METODOLOGJIA E VLERËSIMIT</w:t>
      </w:r>
    </w:p>
    <w:p w:rsidR="005E4B65" w:rsidRDefault="001E5FE4" w:rsidP="005E4B65">
      <w:pPr>
        <w:ind w:left="0" w:firstLine="0"/>
      </w:pPr>
      <w:r>
        <w:t xml:space="preserve">Ky raport është hartuar në bazë të kontributit të </w:t>
      </w:r>
      <w:r w:rsidR="00BC65C0">
        <w:t>1</w:t>
      </w:r>
      <w:r w:rsidR="005E4B65">
        <w:t>0</w:t>
      </w:r>
      <w:r>
        <w:t xml:space="preserve"> drejtorive dhe strukturave teknike në Ministrinë e </w:t>
      </w:r>
      <w:r w:rsidR="00FE1C9A">
        <w:t>së Financave dhe Ekonomisë</w:t>
      </w:r>
      <w:r>
        <w:t xml:space="preserve">, për të cilat ka pasur të parashikuar masa për zbatim për vitin 2022 dhe ecuri e deritanishme e tyre. Raporti përmban një analizë sintezë cilësore dhe sasiore të kontributit të tyre. Analiza cilësore e këtij raporti bazohet në vlerësimin institucional të kuadrit organizativ, funksional dhe operacional të tyre. Analiza sasiore e këtij raporti bazohet në vlerësimin e të dhënave statistikore të strukturave/njësive kontribuuese.  </w:t>
      </w:r>
    </w:p>
    <w:p w:rsidR="00AC30D3" w:rsidRPr="005E4B65" w:rsidRDefault="001E5FE4" w:rsidP="005E4B65">
      <w:pPr>
        <w:ind w:left="0" w:firstLine="0"/>
      </w:pPr>
      <w:r w:rsidRPr="009F585E">
        <w:rPr>
          <w:rFonts w:ascii="Arial" w:eastAsia="Arial" w:hAnsi="Arial" w:cs="Arial"/>
          <w:color w:val="auto"/>
        </w:rPr>
        <w:t xml:space="preserve"> </w:t>
      </w:r>
    </w:p>
    <w:p w:rsidR="00AC30D3" w:rsidRPr="00EA0830" w:rsidRDefault="00227552" w:rsidP="00EA0830">
      <w:pPr>
        <w:pStyle w:val="ListParagraph"/>
        <w:numPr>
          <w:ilvl w:val="0"/>
          <w:numId w:val="8"/>
        </w:numPr>
        <w:rPr>
          <w:b/>
          <w:color w:val="auto"/>
          <w:szCs w:val="24"/>
        </w:rPr>
      </w:pPr>
      <w:r w:rsidRPr="00EA0830">
        <w:rPr>
          <w:rFonts w:eastAsia="Berlin Sans FB"/>
          <w:b/>
          <w:color w:val="auto"/>
          <w:szCs w:val="24"/>
        </w:rPr>
        <w:t>MBLEDHJA DHE ANALIZA E TË DHËNAVE</w:t>
      </w:r>
    </w:p>
    <w:p w:rsidR="00AC30D3" w:rsidRDefault="001E5FE4" w:rsidP="005E54EB">
      <w:pPr>
        <w:ind w:left="0" w:firstLine="0"/>
      </w:pPr>
      <w:r>
        <w:t xml:space="preserve">Të dhënat e këtij raporti janë grumbulluar nga Koordinatori i Integritetit të Ministrisë së </w:t>
      </w:r>
      <w:r w:rsidR="00345092">
        <w:t>Financave dhe Ekonomis</w:t>
      </w:r>
      <w:r>
        <w:t>ë, në përmbushje të rolit të tij, si struktura e posaçme përgjegjëse për mbledhjen, analizën e informacionit, si edhe për hartimin e raportit të monitorimit. Koordinatori i Integritetit i raporton titullarit të institucionit mbi ecurinë e zbatimit të Planit të Integritetit. Titullari i institucionit merr masa për garantimin e zbatimit të Planit të Integritetit dhe adresim</w:t>
      </w:r>
      <w:r w:rsidR="00BC65C0">
        <w:t>in e problematikave të mundshme.</w:t>
      </w:r>
    </w:p>
    <w:p w:rsidR="00753A77" w:rsidRDefault="00753A77" w:rsidP="005E54EB">
      <w:pPr>
        <w:ind w:left="0" w:firstLine="0"/>
      </w:pPr>
    </w:p>
    <w:p w:rsidR="00BC65C0" w:rsidRDefault="001E5FE4" w:rsidP="005E54EB">
      <w:pPr>
        <w:ind w:left="0" w:firstLine="0"/>
      </w:pPr>
      <w:r>
        <w:t>Këto të dhëna janë raportuar nga p</w:t>
      </w:r>
      <w:r w:rsidR="00BC65C0">
        <w:t>ërfaqësuesit e njësive kontribu</w:t>
      </w:r>
      <w:r>
        <w:t>ese në këtë raport, të cilat janë:</w:t>
      </w:r>
    </w:p>
    <w:p w:rsidR="00BC65C0" w:rsidRPr="005E4B65" w:rsidRDefault="00BC65C0" w:rsidP="00BC65C0">
      <w:pPr>
        <w:pStyle w:val="ListParagraph"/>
        <w:numPr>
          <w:ilvl w:val="0"/>
          <w:numId w:val="4"/>
        </w:numPr>
        <w:spacing w:after="0" w:line="360" w:lineRule="auto"/>
      </w:pPr>
      <w:r w:rsidRPr="00BC65C0">
        <w:rPr>
          <w:szCs w:val="24"/>
        </w:rPr>
        <w:t>Drejtoria e Përgjithshme e Buxhetit</w:t>
      </w:r>
      <w:r w:rsidR="005E4B65" w:rsidRPr="005E4B65">
        <w:rPr>
          <w:szCs w:val="24"/>
        </w:rPr>
        <w:t xml:space="preserve"> </w:t>
      </w:r>
      <w:r w:rsidR="005E4B65">
        <w:rPr>
          <w:szCs w:val="24"/>
        </w:rPr>
        <w:t xml:space="preserve">dhe </w:t>
      </w:r>
      <w:r w:rsidR="005E4B65" w:rsidRPr="00BC65C0">
        <w:rPr>
          <w:szCs w:val="24"/>
        </w:rPr>
        <w:t>Borxhit Publik</w:t>
      </w:r>
      <w:r w:rsidR="005E4B65">
        <w:rPr>
          <w:szCs w:val="24"/>
        </w:rPr>
        <w:t>;</w:t>
      </w:r>
    </w:p>
    <w:p w:rsidR="005E4B65" w:rsidRPr="00BC65C0" w:rsidRDefault="005E4B65" w:rsidP="00BC65C0">
      <w:pPr>
        <w:pStyle w:val="ListParagraph"/>
        <w:numPr>
          <w:ilvl w:val="0"/>
          <w:numId w:val="4"/>
        </w:numPr>
        <w:spacing w:after="0" w:line="360" w:lineRule="auto"/>
      </w:pPr>
      <w:r>
        <w:rPr>
          <w:szCs w:val="24"/>
        </w:rPr>
        <w:t>Drejtoria e Menaxhimit të investimeve;</w:t>
      </w:r>
    </w:p>
    <w:p w:rsidR="00BC65C0" w:rsidRPr="00BC65C0" w:rsidRDefault="00BC65C0" w:rsidP="00BC65C0">
      <w:pPr>
        <w:pStyle w:val="ListParagraph"/>
        <w:numPr>
          <w:ilvl w:val="0"/>
          <w:numId w:val="4"/>
        </w:numPr>
        <w:spacing w:after="0" w:line="360" w:lineRule="auto"/>
      </w:pPr>
      <w:r w:rsidRPr="00BC65C0">
        <w:rPr>
          <w:szCs w:val="24"/>
        </w:rPr>
        <w:t xml:space="preserve">Drejtoria e </w:t>
      </w:r>
      <w:r w:rsidR="005E4B65">
        <w:rPr>
          <w:szCs w:val="24"/>
        </w:rPr>
        <w:t>Harmonizimit Fiskal</w:t>
      </w:r>
      <w:r w:rsidR="00265CCA">
        <w:rPr>
          <w:szCs w:val="24"/>
        </w:rPr>
        <w:t>;</w:t>
      </w:r>
    </w:p>
    <w:p w:rsidR="00265CCA" w:rsidRPr="00BC65C0" w:rsidRDefault="00265CCA" w:rsidP="00BC65C0">
      <w:pPr>
        <w:pStyle w:val="ListParagraph"/>
        <w:numPr>
          <w:ilvl w:val="0"/>
          <w:numId w:val="4"/>
        </w:numPr>
        <w:spacing w:after="0" w:line="360" w:lineRule="auto"/>
      </w:pPr>
      <w:r>
        <w:rPr>
          <w:szCs w:val="24"/>
        </w:rPr>
        <w:t>Drejtoria e Avokatit të Tatimpaguesit;</w:t>
      </w:r>
    </w:p>
    <w:p w:rsidR="00BC65C0" w:rsidRPr="00265CCA" w:rsidRDefault="00BC65C0" w:rsidP="00BC65C0">
      <w:pPr>
        <w:pStyle w:val="ListParagraph"/>
        <w:numPr>
          <w:ilvl w:val="0"/>
          <w:numId w:val="4"/>
        </w:numPr>
        <w:spacing w:after="0" w:line="360" w:lineRule="auto"/>
      </w:pPr>
      <w:r w:rsidRPr="00BC65C0">
        <w:rPr>
          <w:szCs w:val="24"/>
        </w:rPr>
        <w:t>Drejtoria e Auditimit</w:t>
      </w:r>
      <w:r w:rsidR="005E4B65">
        <w:rPr>
          <w:szCs w:val="24"/>
        </w:rPr>
        <w:t xml:space="preserve"> të Brendshëm</w:t>
      </w:r>
      <w:r w:rsidR="00265CCA">
        <w:rPr>
          <w:szCs w:val="24"/>
        </w:rPr>
        <w:t>;</w:t>
      </w:r>
    </w:p>
    <w:p w:rsidR="00265CCA" w:rsidRPr="00BC65C0" w:rsidRDefault="00265CCA" w:rsidP="00BC65C0">
      <w:pPr>
        <w:pStyle w:val="ListParagraph"/>
        <w:numPr>
          <w:ilvl w:val="0"/>
          <w:numId w:val="4"/>
        </w:numPr>
        <w:spacing w:after="0" w:line="360" w:lineRule="auto"/>
      </w:pPr>
      <w:r>
        <w:rPr>
          <w:szCs w:val="24"/>
        </w:rPr>
        <w:t>Drejtoria e Inspektimit Financiar Publik;</w:t>
      </w:r>
    </w:p>
    <w:p w:rsidR="00AC30D3" w:rsidRPr="00BC65C0" w:rsidRDefault="00BC65C0" w:rsidP="00BC65C0">
      <w:pPr>
        <w:pStyle w:val="ListParagraph"/>
        <w:numPr>
          <w:ilvl w:val="0"/>
          <w:numId w:val="4"/>
        </w:numPr>
        <w:spacing w:after="0" w:line="360" w:lineRule="auto"/>
      </w:pPr>
      <w:r w:rsidRPr="00BC65C0">
        <w:rPr>
          <w:szCs w:val="24"/>
        </w:rPr>
        <w:t>Drejtoria e Apelimit Tatimor</w:t>
      </w:r>
      <w:r w:rsidR="00265CCA">
        <w:rPr>
          <w:szCs w:val="24"/>
        </w:rPr>
        <w:t>;</w:t>
      </w:r>
    </w:p>
    <w:p w:rsidR="005E4B65" w:rsidRDefault="001E5FE4" w:rsidP="00BC65C0">
      <w:pPr>
        <w:numPr>
          <w:ilvl w:val="0"/>
          <w:numId w:val="4"/>
        </w:numPr>
        <w:spacing w:after="0" w:line="360" w:lineRule="auto"/>
      </w:pPr>
      <w:r w:rsidRPr="00BC65C0">
        <w:t>Drejtoria e Përgjithshme Ekonomike dhe Shërbimeve Mbështetëse;</w:t>
      </w:r>
    </w:p>
    <w:p w:rsidR="00AC30D3" w:rsidRPr="00BC65C0" w:rsidRDefault="005E4B65" w:rsidP="00BC65C0">
      <w:pPr>
        <w:numPr>
          <w:ilvl w:val="0"/>
          <w:numId w:val="4"/>
        </w:numPr>
        <w:spacing w:after="0" w:line="360" w:lineRule="auto"/>
      </w:pPr>
      <w:r>
        <w:lastRenderedPageBreak/>
        <w:t xml:space="preserve">Drejtoria e Koncesioneve; </w:t>
      </w:r>
      <w:r w:rsidR="001E5FE4" w:rsidRPr="00BC65C0">
        <w:t xml:space="preserve"> </w:t>
      </w:r>
    </w:p>
    <w:p w:rsidR="00AC30D3" w:rsidRDefault="00BC65C0" w:rsidP="00BC65C0">
      <w:pPr>
        <w:numPr>
          <w:ilvl w:val="0"/>
          <w:numId w:val="4"/>
        </w:numPr>
        <w:spacing w:after="0" w:line="360" w:lineRule="auto"/>
      </w:pPr>
      <w:r w:rsidRPr="00BC65C0">
        <w:rPr>
          <w:szCs w:val="24"/>
        </w:rPr>
        <w:t>Drejtoria e Fondit Kombëtar</w:t>
      </w:r>
      <w:r w:rsidR="00345092">
        <w:t>;</w:t>
      </w:r>
    </w:p>
    <w:p w:rsidR="00345092" w:rsidRPr="00BC65C0" w:rsidRDefault="00345092" w:rsidP="00345092">
      <w:pPr>
        <w:numPr>
          <w:ilvl w:val="0"/>
          <w:numId w:val="4"/>
        </w:numPr>
        <w:spacing w:after="0" w:line="360" w:lineRule="auto"/>
      </w:pPr>
      <w:r>
        <w:rPr>
          <w:szCs w:val="24"/>
        </w:rPr>
        <w:t>Koordinatori për Konsultimin Publik</w:t>
      </w:r>
      <w:r w:rsidRPr="00BC65C0">
        <w:t xml:space="preserve">;  </w:t>
      </w:r>
    </w:p>
    <w:p w:rsidR="004C06C0" w:rsidRPr="00BC65C0" w:rsidRDefault="004C06C0" w:rsidP="004571B9">
      <w:pPr>
        <w:spacing w:after="0" w:line="360" w:lineRule="auto"/>
        <w:ind w:left="0" w:firstLine="0"/>
      </w:pPr>
    </w:p>
    <w:p w:rsidR="00AC30D3" w:rsidRDefault="001E5FE4" w:rsidP="001B7CB7">
      <w:pPr>
        <w:ind w:left="0" w:firstLine="0"/>
      </w:pPr>
      <w:r>
        <w:t xml:space="preserve">Mbledhja e informacionit nga këto njësi është kryer nëpërmjet plotësimit të aneksit të këtij raporti. Secila njësi ka raportuar mbi: hapat e ndërmarrë dhe statusin e realizimit të tyre për çdo masë të parashikuar për zbatim për periudhën; akte dhe dokumenta të hartuara (verifikueshmëria) e të dhënave; rekomandime dhe konkluzione. </w:t>
      </w:r>
    </w:p>
    <w:p w:rsidR="00AC30D3" w:rsidRPr="00916629" w:rsidRDefault="001E5FE4" w:rsidP="001B7CB7">
      <w:pPr>
        <w:ind w:left="0" w:firstLine="0"/>
        <w:rPr>
          <w:color w:val="FF0000"/>
        </w:rPr>
      </w:pPr>
      <w:r>
        <w:t xml:space="preserve">Draft-raporti i hartuar është konsultuar me njësitë përgjegjëse për zbatim dhe raportim. </w:t>
      </w:r>
      <w:r w:rsidRPr="005E54EB">
        <w:rPr>
          <w:color w:val="auto"/>
        </w:rPr>
        <w:t xml:space="preserve">Përpara publikimit, draft-raporti është miratuar nga Ministri i Drejtësisë. </w:t>
      </w:r>
    </w:p>
    <w:p w:rsidR="00AC30D3" w:rsidRDefault="001E5FE4">
      <w:pPr>
        <w:spacing w:after="196" w:line="240" w:lineRule="auto"/>
        <w:ind w:left="377" w:firstLine="0"/>
        <w:jc w:val="left"/>
      </w:pPr>
      <w:r>
        <w:t xml:space="preserve"> </w:t>
      </w:r>
    </w:p>
    <w:p w:rsidR="004C06C0" w:rsidRPr="00EA0830" w:rsidRDefault="00227552" w:rsidP="00EA0830">
      <w:pPr>
        <w:pStyle w:val="ListParagraph"/>
        <w:numPr>
          <w:ilvl w:val="0"/>
          <w:numId w:val="8"/>
        </w:numPr>
        <w:spacing w:after="196" w:line="240" w:lineRule="auto"/>
        <w:jc w:val="left"/>
        <w:rPr>
          <w:b/>
        </w:rPr>
      </w:pPr>
      <w:r w:rsidRPr="00EA0830">
        <w:rPr>
          <w:b/>
        </w:rPr>
        <w:t>GJETJET E RAPORTIT</w:t>
      </w:r>
    </w:p>
    <w:p w:rsidR="004C06C0" w:rsidRDefault="004C06C0">
      <w:pPr>
        <w:spacing w:after="196" w:line="240" w:lineRule="auto"/>
        <w:ind w:left="377" w:firstLine="0"/>
        <w:jc w:val="left"/>
      </w:pPr>
    </w:p>
    <w:p w:rsidR="00DF44AF" w:rsidRDefault="001E5FE4" w:rsidP="005E54EB">
      <w:pPr>
        <w:ind w:left="0" w:firstLine="0"/>
      </w:pPr>
      <w:r>
        <w:t xml:space="preserve">Përmes këtij </w:t>
      </w:r>
      <w:r w:rsidR="00DF44AF">
        <w:t>raporti</w:t>
      </w:r>
      <w:r>
        <w:t xml:space="preserve"> synohet</w:t>
      </w:r>
      <w:r w:rsidR="00DF44AF">
        <w:t>:</w:t>
      </w:r>
    </w:p>
    <w:p w:rsidR="00AC30D3" w:rsidRDefault="00DF44AF" w:rsidP="00DF44AF">
      <w:pPr>
        <w:pStyle w:val="ListParagraph"/>
        <w:numPr>
          <w:ilvl w:val="0"/>
          <w:numId w:val="4"/>
        </w:numPr>
      </w:pPr>
      <w:r>
        <w:t>P</w:t>
      </w:r>
      <w:r w:rsidR="001E5FE4">
        <w:t xml:space="preserve">ërmirësimi dhe forcimi i integritetit të institucionit të Ministrisë së </w:t>
      </w:r>
      <w:r w:rsidR="004C06C0">
        <w:t>Financave dhe Ekonomis</w:t>
      </w:r>
      <w:r w:rsidR="001E5FE4">
        <w:t xml:space="preserve">ë nëpërmjet miratimit dhe zbatimit të kuadrit të nevojshëm rregullator për çështje të veçanta të integritetit si dhe gjithashtu të miratimit dhe përmirësimit të kuadrit të brendshëm institucional në menaxhimin e integritetit në institucional.  </w:t>
      </w:r>
    </w:p>
    <w:p w:rsidR="00AC30D3" w:rsidRDefault="00DF44AF" w:rsidP="00DF44AF">
      <w:pPr>
        <w:pStyle w:val="ListParagraph"/>
        <w:numPr>
          <w:ilvl w:val="0"/>
          <w:numId w:val="4"/>
        </w:numPr>
      </w:pPr>
      <w:r>
        <w:t>M</w:t>
      </w:r>
      <w:r w:rsidR="001E5FE4">
        <w:t xml:space="preserve">irëfunksionimi i administratës të institucionit të Ministrisë së </w:t>
      </w:r>
      <w:r w:rsidR="004C06C0">
        <w:t>Financave dhe Ekonomis</w:t>
      </w:r>
      <w:r w:rsidR="001E5FE4">
        <w:t xml:space="preserve">ë nëpërmjet vendosjes së linjave të qarta hierarkike, sanksionimit të një procedure të qartë të të gjitha proceseve të punës në njësitë e ministrisë, forcimit të kapaciteteve njerëzore e profesionale të fushës por edhe rekrutimin e stafit në mungesë në përputhje me strukturën dhe organikën në fuqi të ministrisë.  </w:t>
      </w:r>
    </w:p>
    <w:p w:rsidR="00AC30D3" w:rsidRDefault="00DF44AF" w:rsidP="00DF44AF">
      <w:pPr>
        <w:pStyle w:val="ListParagraph"/>
        <w:numPr>
          <w:ilvl w:val="0"/>
          <w:numId w:val="4"/>
        </w:numPr>
      </w:pPr>
      <w:r>
        <w:t>Rr</w:t>
      </w:r>
      <w:r w:rsidR="001E5FE4">
        <w:t>itja dhe përmirësimi i tran</w:t>
      </w:r>
      <w:r w:rsidR="00261142">
        <w:t>s</w:t>
      </w:r>
      <w:r w:rsidR="001E5FE4">
        <w:t xml:space="preserve">parencës dhe veprimtarisë së institucionit të Ministrisë së </w:t>
      </w:r>
      <w:r w:rsidR="00FE1C9A">
        <w:t>së Financave dhe Ekonomisë</w:t>
      </w:r>
      <w:r w:rsidR="001E5FE4">
        <w:t xml:space="preserve">, kundrejt grupeve të interesit dhe publikut nëpërmjet zbatimit dhe përdorimit të instrumenteve të të drejtës së informimit, konsultimit publik, të tjera forma të bashkëveprimit aktiv institucion të interesuar.  </w:t>
      </w:r>
    </w:p>
    <w:p w:rsidR="00444D59" w:rsidRDefault="00444D59" w:rsidP="005E54EB">
      <w:pPr>
        <w:ind w:left="0" w:firstLine="0"/>
      </w:pPr>
    </w:p>
    <w:p w:rsidR="00AC30D3" w:rsidRDefault="001E5FE4" w:rsidP="005E54EB">
      <w:pPr>
        <w:ind w:left="0" w:firstLine="0"/>
      </w:pPr>
      <w:r>
        <w:t xml:space="preserve">Njësitë raportuese </w:t>
      </w:r>
      <w:r w:rsidR="00345092">
        <w:t>janë</w:t>
      </w:r>
      <w:r>
        <w:t xml:space="preserve"> strukturat që prodhojnë raporte apo janë subjekt i auditimeve dhe kontrolleve, si dhe funksionet e koordinatorit të drejtës së informimit dhe ai i konsultimit publik.  </w:t>
      </w:r>
    </w:p>
    <w:p w:rsidR="0005099C" w:rsidRDefault="009102F0" w:rsidP="0045072E">
      <w:r>
        <w:rPr>
          <w:noProof/>
        </w:rPr>
        <w:lastRenderedPageBreak/>
        <w:drawing>
          <wp:anchor distT="0" distB="0" distL="114300" distR="114300" simplePos="0" relativeHeight="251658240" behindDoc="0" locked="0" layoutInCell="1" allowOverlap="1">
            <wp:simplePos x="906449" y="914400"/>
            <wp:positionH relativeFrom="column">
              <wp:align>left</wp:align>
            </wp:positionH>
            <wp:positionV relativeFrom="paragraph">
              <wp:align>top</wp:align>
            </wp:positionV>
            <wp:extent cx="5486400" cy="3200400"/>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05099C" w:rsidRPr="0005099C" w:rsidRDefault="0005099C" w:rsidP="0005099C"/>
    <w:p w:rsidR="0005099C" w:rsidRPr="0005099C" w:rsidRDefault="0005099C" w:rsidP="0005099C"/>
    <w:p w:rsidR="0005099C" w:rsidRDefault="0005099C" w:rsidP="0045072E"/>
    <w:p w:rsidR="0005099C" w:rsidRDefault="0005099C" w:rsidP="0005099C">
      <w:pPr>
        <w:jc w:val="center"/>
      </w:pPr>
    </w:p>
    <w:p w:rsidR="009102F0" w:rsidRDefault="008E2CCA" w:rsidP="0045072E">
      <w:r>
        <w:br w:type="textWrapping" w:clear="all"/>
      </w:r>
    </w:p>
    <w:p w:rsidR="009102F0" w:rsidRDefault="009102F0"/>
    <w:tbl>
      <w:tblPr>
        <w:tblStyle w:val="TableGrid"/>
        <w:tblW w:w="7482" w:type="dxa"/>
        <w:tblInd w:w="383" w:type="dxa"/>
        <w:tblCellMar>
          <w:left w:w="108" w:type="dxa"/>
          <w:right w:w="115" w:type="dxa"/>
        </w:tblCellMar>
        <w:tblLook w:val="04A0" w:firstRow="1" w:lastRow="0" w:firstColumn="1" w:lastColumn="0" w:noHBand="0" w:noVBand="1"/>
      </w:tblPr>
      <w:tblGrid>
        <w:gridCol w:w="1620"/>
        <w:gridCol w:w="1496"/>
        <w:gridCol w:w="1234"/>
        <w:gridCol w:w="1388"/>
        <w:gridCol w:w="1744"/>
      </w:tblGrid>
      <w:tr w:rsidR="0063327F" w:rsidTr="0063327F">
        <w:trPr>
          <w:trHeight w:val="467"/>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63327F" w:rsidRDefault="0063327F">
            <w:pPr>
              <w:spacing w:after="0" w:line="276" w:lineRule="auto"/>
              <w:ind w:left="0" w:firstLine="0"/>
              <w:jc w:val="center"/>
            </w:pPr>
            <w:r>
              <w:rPr>
                <w:rFonts w:ascii="Calibri" w:eastAsia="Calibri" w:hAnsi="Calibri" w:cs="Calibri"/>
                <w:sz w:val="20"/>
              </w:rPr>
              <w:t xml:space="preserve">Masat dhe Aktivitetet </w:t>
            </w:r>
          </w:p>
        </w:tc>
        <w:tc>
          <w:tcPr>
            <w:tcW w:w="5862" w:type="dxa"/>
            <w:gridSpan w:val="4"/>
            <w:tcBorders>
              <w:top w:val="single" w:sz="4" w:space="0" w:color="000000"/>
              <w:left w:val="single" w:sz="4" w:space="0" w:color="000000"/>
              <w:bottom w:val="single" w:sz="4" w:space="0" w:color="000000"/>
              <w:right w:val="single" w:sz="4" w:space="0" w:color="000000"/>
            </w:tcBorders>
            <w:shd w:val="clear" w:color="auto" w:fill="F2F2F2"/>
          </w:tcPr>
          <w:p w:rsidR="0063327F" w:rsidRDefault="0063327F">
            <w:pPr>
              <w:spacing w:after="0" w:line="276" w:lineRule="auto"/>
              <w:ind w:left="0" w:firstLine="0"/>
              <w:jc w:val="center"/>
            </w:pPr>
            <w:r>
              <w:rPr>
                <w:rFonts w:ascii="Calibri" w:eastAsia="Calibri" w:hAnsi="Calibri" w:cs="Calibri"/>
                <w:sz w:val="20"/>
              </w:rPr>
              <w:t xml:space="preserve">Realizimi i Masave dhe Aktiviteteve </w:t>
            </w:r>
          </w:p>
        </w:tc>
      </w:tr>
      <w:tr w:rsidR="0063327F" w:rsidTr="0063327F">
        <w:trPr>
          <w:trHeight w:val="1106"/>
        </w:trPr>
        <w:tc>
          <w:tcPr>
            <w:tcW w:w="0" w:type="auto"/>
            <w:vMerge/>
            <w:tcBorders>
              <w:top w:val="nil"/>
              <w:left w:val="single" w:sz="4" w:space="0" w:color="000000"/>
              <w:bottom w:val="single" w:sz="4" w:space="0" w:color="000000"/>
              <w:right w:val="single" w:sz="4" w:space="0" w:color="000000"/>
            </w:tcBorders>
          </w:tcPr>
          <w:p w:rsidR="0063327F" w:rsidRDefault="0063327F">
            <w:pPr>
              <w:spacing w:after="0" w:line="276" w:lineRule="auto"/>
              <w:ind w:left="0" w:firstLine="0"/>
              <w:jc w:val="left"/>
            </w:pPr>
          </w:p>
        </w:tc>
        <w:tc>
          <w:tcPr>
            <w:tcW w:w="1496" w:type="dxa"/>
            <w:tcBorders>
              <w:top w:val="single" w:sz="4" w:space="0" w:color="000000"/>
              <w:left w:val="single" w:sz="4" w:space="0" w:color="000000"/>
              <w:bottom w:val="single" w:sz="4" w:space="0" w:color="000000"/>
              <w:right w:val="single" w:sz="4" w:space="0" w:color="000000"/>
            </w:tcBorders>
            <w:shd w:val="clear" w:color="auto" w:fill="F2F2F2"/>
          </w:tcPr>
          <w:p w:rsidR="0063327F" w:rsidRDefault="0063327F">
            <w:pPr>
              <w:spacing w:after="28" w:line="240" w:lineRule="auto"/>
              <w:ind w:left="0" w:firstLine="0"/>
              <w:jc w:val="center"/>
            </w:pPr>
            <w:r>
              <w:rPr>
                <w:rFonts w:ascii="Calibri" w:eastAsia="Calibri" w:hAnsi="Calibri" w:cs="Calibri"/>
                <w:sz w:val="20"/>
              </w:rPr>
              <w:t xml:space="preserve">Masa dhe </w:t>
            </w:r>
          </w:p>
          <w:p w:rsidR="0063327F" w:rsidRDefault="0063327F">
            <w:pPr>
              <w:spacing w:after="30" w:line="240" w:lineRule="auto"/>
              <w:ind w:left="0" w:firstLine="0"/>
              <w:jc w:val="center"/>
            </w:pPr>
            <w:r>
              <w:rPr>
                <w:rFonts w:ascii="Calibri" w:eastAsia="Calibri" w:hAnsi="Calibri" w:cs="Calibri"/>
                <w:sz w:val="20"/>
              </w:rPr>
              <w:t xml:space="preserve">aktivitete të </w:t>
            </w:r>
          </w:p>
          <w:p w:rsidR="0063327F" w:rsidRDefault="0063327F">
            <w:pPr>
              <w:spacing w:after="0" w:line="276" w:lineRule="auto"/>
              <w:ind w:left="0" w:firstLine="0"/>
              <w:jc w:val="center"/>
            </w:pPr>
            <w:r>
              <w:rPr>
                <w:rFonts w:ascii="Calibri" w:eastAsia="Calibri" w:hAnsi="Calibri" w:cs="Calibri"/>
                <w:sz w:val="20"/>
              </w:rPr>
              <w:t xml:space="preserve">parashikuara për vitin 2022 </w:t>
            </w:r>
          </w:p>
        </w:tc>
        <w:tc>
          <w:tcPr>
            <w:tcW w:w="1234" w:type="dxa"/>
            <w:tcBorders>
              <w:top w:val="single" w:sz="4" w:space="0" w:color="000000"/>
              <w:left w:val="single" w:sz="4" w:space="0" w:color="000000"/>
              <w:bottom w:val="single" w:sz="4" w:space="0" w:color="000000"/>
              <w:right w:val="single" w:sz="4" w:space="0" w:color="000000"/>
            </w:tcBorders>
            <w:shd w:val="clear" w:color="auto" w:fill="F2F2F2"/>
          </w:tcPr>
          <w:p w:rsidR="0063327F" w:rsidRDefault="0063327F">
            <w:pPr>
              <w:spacing w:after="30" w:line="247" w:lineRule="auto"/>
              <w:ind w:left="0" w:firstLine="0"/>
              <w:jc w:val="center"/>
            </w:pPr>
            <w:r>
              <w:rPr>
                <w:rFonts w:ascii="Calibri" w:eastAsia="Calibri" w:hAnsi="Calibri" w:cs="Calibri"/>
                <w:sz w:val="20"/>
              </w:rPr>
              <w:t xml:space="preserve">Masa dhe aktivitete </w:t>
            </w:r>
          </w:p>
          <w:p w:rsidR="0063327F" w:rsidRDefault="0063327F">
            <w:pPr>
              <w:spacing w:after="0" w:line="276" w:lineRule="auto"/>
              <w:ind w:left="0" w:firstLine="0"/>
              <w:jc w:val="center"/>
            </w:pPr>
            <w:r>
              <w:rPr>
                <w:rFonts w:ascii="Calibri" w:eastAsia="Calibri" w:hAnsi="Calibri" w:cs="Calibri"/>
                <w:b/>
                <w:sz w:val="20"/>
              </w:rPr>
              <w:t>plotësisht</w:t>
            </w:r>
            <w:r>
              <w:rPr>
                <w:rFonts w:ascii="Calibri" w:eastAsia="Calibri" w:hAnsi="Calibri" w:cs="Calibri"/>
                <w:sz w:val="20"/>
              </w:rPr>
              <w:t xml:space="preserve"> të realizuara </w:t>
            </w:r>
          </w:p>
        </w:tc>
        <w:tc>
          <w:tcPr>
            <w:tcW w:w="1388" w:type="dxa"/>
            <w:tcBorders>
              <w:top w:val="single" w:sz="4" w:space="0" w:color="000000"/>
              <w:left w:val="single" w:sz="4" w:space="0" w:color="000000"/>
              <w:bottom w:val="single" w:sz="4" w:space="0" w:color="000000"/>
              <w:right w:val="single" w:sz="4" w:space="0" w:color="000000"/>
            </w:tcBorders>
            <w:shd w:val="clear" w:color="auto" w:fill="F2F2F2"/>
          </w:tcPr>
          <w:p w:rsidR="0063327F" w:rsidRDefault="0063327F">
            <w:pPr>
              <w:spacing w:after="28" w:line="240" w:lineRule="auto"/>
              <w:ind w:left="0" w:firstLine="0"/>
              <w:jc w:val="center"/>
            </w:pPr>
            <w:r>
              <w:rPr>
                <w:rFonts w:ascii="Calibri" w:eastAsia="Calibri" w:hAnsi="Calibri" w:cs="Calibri"/>
                <w:sz w:val="20"/>
              </w:rPr>
              <w:t xml:space="preserve">Masa dhe </w:t>
            </w:r>
          </w:p>
          <w:p w:rsidR="0063327F" w:rsidRDefault="0063327F">
            <w:pPr>
              <w:spacing w:after="30" w:line="240" w:lineRule="auto"/>
              <w:ind w:left="0" w:firstLine="0"/>
              <w:jc w:val="center"/>
            </w:pPr>
            <w:r>
              <w:rPr>
                <w:rFonts w:ascii="Calibri" w:eastAsia="Calibri" w:hAnsi="Calibri" w:cs="Calibri"/>
                <w:sz w:val="20"/>
              </w:rPr>
              <w:t xml:space="preserve">aktiviteteve </w:t>
            </w:r>
          </w:p>
          <w:p w:rsidR="0063327F" w:rsidRDefault="0063327F">
            <w:pPr>
              <w:spacing w:after="0" w:line="276" w:lineRule="auto"/>
              <w:ind w:left="0" w:firstLine="0"/>
              <w:jc w:val="center"/>
            </w:pPr>
            <w:r>
              <w:rPr>
                <w:rFonts w:ascii="Calibri" w:eastAsia="Calibri" w:hAnsi="Calibri" w:cs="Calibri"/>
                <w:b/>
                <w:sz w:val="20"/>
              </w:rPr>
              <w:t>pjesërisht</w:t>
            </w:r>
            <w:r>
              <w:rPr>
                <w:rFonts w:ascii="Calibri" w:eastAsia="Calibri" w:hAnsi="Calibri" w:cs="Calibri"/>
                <w:sz w:val="20"/>
              </w:rPr>
              <w:t xml:space="preserve"> të realizuara </w:t>
            </w:r>
          </w:p>
        </w:tc>
        <w:tc>
          <w:tcPr>
            <w:tcW w:w="174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3327F" w:rsidRDefault="0063327F">
            <w:pPr>
              <w:spacing w:after="28" w:line="240" w:lineRule="auto"/>
              <w:ind w:left="0" w:firstLine="0"/>
              <w:jc w:val="center"/>
            </w:pPr>
            <w:r>
              <w:rPr>
                <w:rFonts w:ascii="Calibri" w:eastAsia="Calibri" w:hAnsi="Calibri" w:cs="Calibri"/>
                <w:sz w:val="20"/>
              </w:rPr>
              <w:t xml:space="preserve">Masa  dhe </w:t>
            </w:r>
          </w:p>
          <w:p w:rsidR="0063327F" w:rsidRDefault="0063327F">
            <w:pPr>
              <w:spacing w:after="0" w:line="276" w:lineRule="auto"/>
              <w:ind w:left="0" w:firstLine="0"/>
              <w:jc w:val="center"/>
            </w:pPr>
            <w:r>
              <w:rPr>
                <w:rFonts w:ascii="Calibri" w:eastAsia="Calibri" w:hAnsi="Calibri" w:cs="Calibri"/>
                <w:sz w:val="20"/>
              </w:rPr>
              <w:t xml:space="preserve">aktivitete të </w:t>
            </w:r>
            <w:r>
              <w:rPr>
                <w:rFonts w:ascii="Calibri" w:eastAsia="Calibri" w:hAnsi="Calibri" w:cs="Calibri"/>
                <w:b/>
                <w:sz w:val="20"/>
              </w:rPr>
              <w:t>parealizuara</w:t>
            </w:r>
            <w:r>
              <w:rPr>
                <w:rFonts w:ascii="Calibri" w:eastAsia="Calibri" w:hAnsi="Calibri" w:cs="Calibri"/>
                <w:sz w:val="20"/>
              </w:rPr>
              <w:t xml:space="preserve"> </w:t>
            </w:r>
          </w:p>
        </w:tc>
      </w:tr>
      <w:tr w:rsidR="0063327F" w:rsidTr="0063327F">
        <w:trPr>
          <w:trHeight w:val="746"/>
        </w:trPr>
        <w:tc>
          <w:tcPr>
            <w:tcW w:w="1620" w:type="dxa"/>
            <w:tcBorders>
              <w:top w:val="single" w:sz="4" w:space="0" w:color="000000"/>
              <w:left w:val="single" w:sz="4" w:space="0" w:color="000000"/>
              <w:bottom w:val="single" w:sz="4" w:space="0" w:color="000000"/>
              <w:right w:val="single" w:sz="4" w:space="0" w:color="000000"/>
            </w:tcBorders>
            <w:shd w:val="clear" w:color="auto" w:fill="ED7D31"/>
          </w:tcPr>
          <w:p w:rsidR="0063327F" w:rsidRDefault="0063327F">
            <w:pPr>
              <w:spacing w:after="148" w:line="240" w:lineRule="auto"/>
              <w:ind w:left="0" w:firstLine="0"/>
              <w:jc w:val="left"/>
            </w:pPr>
            <w:r>
              <w:rPr>
                <w:rFonts w:ascii="Calibri" w:eastAsia="Calibri" w:hAnsi="Calibri" w:cs="Calibri"/>
                <w:sz w:val="20"/>
              </w:rPr>
              <w:t xml:space="preserve">Masa/ </w:t>
            </w:r>
          </w:p>
          <w:p w:rsidR="0063327F" w:rsidRDefault="0063327F">
            <w:pPr>
              <w:spacing w:after="0" w:line="276" w:lineRule="auto"/>
              <w:ind w:left="0" w:firstLine="0"/>
              <w:jc w:val="left"/>
            </w:pPr>
            <w:r>
              <w:rPr>
                <w:rFonts w:ascii="Calibri" w:eastAsia="Calibri" w:hAnsi="Calibri" w:cs="Calibri"/>
                <w:sz w:val="20"/>
              </w:rPr>
              <w:t xml:space="preserve">Aktivitete </w:t>
            </w:r>
          </w:p>
        </w:tc>
        <w:tc>
          <w:tcPr>
            <w:tcW w:w="1496" w:type="dxa"/>
            <w:tcBorders>
              <w:top w:val="single" w:sz="4" w:space="0" w:color="000000"/>
              <w:left w:val="single" w:sz="4" w:space="0" w:color="000000"/>
              <w:bottom w:val="single" w:sz="4" w:space="0" w:color="000000"/>
              <w:right w:val="single" w:sz="4" w:space="0" w:color="000000"/>
            </w:tcBorders>
            <w:shd w:val="clear" w:color="auto" w:fill="ED7D31"/>
            <w:vAlign w:val="center"/>
          </w:tcPr>
          <w:p w:rsidR="0063327F" w:rsidRDefault="0063327F">
            <w:pPr>
              <w:spacing w:after="0" w:line="276" w:lineRule="auto"/>
              <w:ind w:left="0" w:firstLine="0"/>
              <w:jc w:val="center"/>
            </w:pPr>
            <w:r>
              <w:rPr>
                <w:rFonts w:ascii="Calibri" w:eastAsia="Calibri" w:hAnsi="Calibri" w:cs="Calibri"/>
                <w:sz w:val="20"/>
              </w:rPr>
              <w:t xml:space="preserve">27 </w:t>
            </w:r>
          </w:p>
        </w:tc>
        <w:tc>
          <w:tcPr>
            <w:tcW w:w="1234" w:type="dxa"/>
            <w:tcBorders>
              <w:top w:val="single" w:sz="4" w:space="0" w:color="000000"/>
              <w:left w:val="single" w:sz="4" w:space="0" w:color="000000"/>
              <w:bottom w:val="single" w:sz="4" w:space="0" w:color="000000"/>
              <w:right w:val="single" w:sz="4" w:space="0" w:color="000000"/>
            </w:tcBorders>
            <w:shd w:val="clear" w:color="auto" w:fill="ED7D31"/>
            <w:vAlign w:val="center"/>
          </w:tcPr>
          <w:p w:rsidR="0063327F" w:rsidRDefault="004571B9">
            <w:pPr>
              <w:spacing w:after="0" w:line="276" w:lineRule="auto"/>
              <w:ind w:left="0" w:firstLine="0"/>
              <w:jc w:val="center"/>
            </w:pPr>
            <w:r>
              <w:rPr>
                <w:rFonts w:ascii="Calibri" w:eastAsia="Calibri" w:hAnsi="Calibri" w:cs="Calibri"/>
                <w:sz w:val="20"/>
              </w:rPr>
              <w:t>21</w:t>
            </w:r>
            <w:r w:rsidR="0063327F">
              <w:rPr>
                <w:rFonts w:ascii="Calibri" w:eastAsia="Calibri" w:hAnsi="Calibri" w:cs="Calibri"/>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ED7D31"/>
            <w:vAlign w:val="center"/>
          </w:tcPr>
          <w:p w:rsidR="0063327F" w:rsidRDefault="0005099C" w:rsidP="005E4B65">
            <w:pPr>
              <w:spacing w:after="0" w:line="276" w:lineRule="auto"/>
              <w:ind w:left="0" w:firstLine="0"/>
              <w:jc w:val="center"/>
            </w:pPr>
            <w:r>
              <w:rPr>
                <w:rFonts w:ascii="Calibri" w:eastAsia="Calibri" w:hAnsi="Calibri" w:cs="Calibri"/>
                <w:sz w:val="20"/>
              </w:rPr>
              <w:t>5</w:t>
            </w:r>
          </w:p>
        </w:tc>
        <w:tc>
          <w:tcPr>
            <w:tcW w:w="1744" w:type="dxa"/>
            <w:tcBorders>
              <w:top w:val="single" w:sz="4" w:space="0" w:color="000000"/>
              <w:left w:val="single" w:sz="4" w:space="0" w:color="000000"/>
              <w:bottom w:val="single" w:sz="4" w:space="0" w:color="000000"/>
              <w:right w:val="single" w:sz="4" w:space="0" w:color="000000"/>
            </w:tcBorders>
            <w:shd w:val="clear" w:color="auto" w:fill="ED7D31"/>
            <w:vAlign w:val="center"/>
          </w:tcPr>
          <w:p w:rsidR="0063327F" w:rsidRDefault="0005099C">
            <w:pPr>
              <w:spacing w:after="0" w:line="276" w:lineRule="auto"/>
              <w:ind w:left="0" w:firstLine="0"/>
              <w:jc w:val="center"/>
            </w:pPr>
            <w:r>
              <w:rPr>
                <w:rFonts w:ascii="Calibri" w:eastAsia="Calibri" w:hAnsi="Calibri" w:cs="Calibri"/>
                <w:sz w:val="20"/>
              </w:rPr>
              <w:t>1</w:t>
            </w:r>
          </w:p>
        </w:tc>
      </w:tr>
    </w:tbl>
    <w:p w:rsidR="00AC30D3" w:rsidRDefault="001E5FE4">
      <w:pPr>
        <w:spacing w:after="0" w:line="240" w:lineRule="auto"/>
        <w:ind w:left="0" w:firstLine="0"/>
        <w:jc w:val="center"/>
      </w:pPr>
      <w:r>
        <w:t xml:space="preserve"> </w:t>
      </w:r>
    </w:p>
    <w:p w:rsidR="00AC30D3" w:rsidRDefault="00AC30D3" w:rsidP="0045072E">
      <w:pPr>
        <w:spacing w:after="183" w:line="240" w:lineRule="auto"/>
        <w:ind w:left="0" w:firstLine="0"/>
        <w:jc w:val="left"/>
      </w:pPr>
    </w:p>
    <w:p w:rsidR="002879C8" w:rsidRDefault="001E5FE4" w:rsidP="002879C8">
      <w:pPr>
        <w:ind w:left="0" w:firstLine="0"/>
      </w:pPr>
      <w:r>
        <w:t xml:space="preserve">Për këtë periudhë monitorimi, </w:t>
      </w:r>
      <w:r w:rsidRPr="002879C8">
        <w:rPr>
          <w:i/>
        </w:rPr>
        <w:t xml:space="preserve">janar-dhjetor </w:t>
      </w:r>
      <w:r>
        <w:t xml:space="preserve">2022, Ministria ka siguruar trasparencë të plotë dhe të mirë për aktivitetin e saj operacional dhe organizativ. </w:t>
      </w:r>
    </w:p>
    <w:p w:rsidR="002879C8" w:rsidRDefault="002879C8" w:rsidP="002879C8">
      <w:pPr>
        <w:ind w:left="0" w:firstLine="0"/>
      </w:pPr>
      <w:r>
        <w:t xml:space="preserve">Ministria e Financave dhe Ekonomisë ka publikur në faqën zyrtare të tij programin e trasparencës dhe regjistrin e kërkesave, me linqet e mëposhtëm: </w:t>
      </w:r>
    </w:p>
    <w:p w:rsidR="002879C8" w:rsidRDefault="00E35CD4" w:rsidP="002879C8">
      <w:pPr>
        <w:ind w:left="0" w:firstLine="0"/>
      </w:pPr>
      <w:hyperlink r:id="rId14" w:history="1">
        <w:r w:rsidR="000252D4" w:rsidRPr="0019221F">
          <w:rPr>
            <w:rStyle w:val="Hyperlink"/>
          </w:rPr>
          <w:t>https://financa.gov.al/wp-content/uploads/2022/11/Programi_transparences_Tetor-2022.doc</w:t>
        </w:r>
      </w:hyperlink>
    </w:p>
    <w:p w:rsidR="002879C8" w:rsidRDefault="00E35CD4" w:rsidP="002879C8">
      <w:pPr>
        <w:ind w:left="0" w:firstLine="0"/>
        <w:rPr>
          <w:rStyle w:val="Hyperlink"/>
        </w:rPr>
      </w:pPr>
      <w:hyperlink r:id="rId15" w:history="1">
        <w:r w:rsidR="000252D4" w:rsidRPr="0019221F">
          <w:rPr>
            <w:rStyle w:val="Hyperlink"/>
          </w:rPr>
          <w:t>https://financa.gov.al/wp-content/uploads/2023/02/REGJISTRI-i-KERKESAVE-janar-2023.docx</w:t>
        </w:r>
      </w:hyperlink>
    </w:p>
    <w:p w:rsidR="00735C6C" w:rsidRDefault="00735C6C" w:rsidP="002879C8">
      <w:pPr>
        <w:ind w:left="0" w:firstLine="0"/>
        <w:rPr>
          <w:rStyle w:val="Hyperlink"/>
        </w:rPr>
      </w:pPr>
    </w:p>
    <w:p w:rsidR="00AC30D3" w:rsidRDefault="00AC30D3" w:rsidP="002879C8">
      <w:pPr>
        <w:spacing w:after="0" w:line="240" w:lineRule="auto"/>
        <w:ind w:left="0" w:firstLine="0"/>
      </w:pPr>
    </w:p>
    <w:p w:rsidR="002879C8" w:rsidRPr="002879C8" w:rsidRDefault="002879C8" w:rsidP="00C374EC">
      <w:pPr>
        <w:pStyle w:val="ListParagraph"/>
        <w:numPr>
          <w:ilvl w:val="0"/>
          <w:numId w:val="4"/>
        </w:numPr>
        <w:ind w:left="0" w:firstLine="0"/>
        <w:rPr>
          <w:szCs w:val="24"/>
          <w:lang w:eastAsia="en-GB"/>
        </w:rPr>
      </w:pPr>
      <w:r w:rsidRPr="002879C8">
        <w:rPr>
          <w:szCs w:val="24"/>
          <w:lang w:eastAsia="en-GB"/>
        </w:rPr>
        <w:lastRenderedPageBreak/>
        <w:t>N</w:t>
      </w:r>
      <w:r w:rsidR="00F25617">
        <w:rPr>
          <w:szCs w:val="24"/>
          <w:lang w:eastAsia="en-GB"/>
        </w:rPr>
        <w:t>ë</w:t>
      </w:r>
      <w:r w:rsidRPr="002879C8">
        <w:rPr>
          <w:szCs w:val="24"/>
          <w:lang w:eastAsia="en-GB"/>
        </w:rPr>
        <w:t xml:space="preserve"> lidhje me riskun p</w:t>
      </w:r>
      <w:r w:rsidR="00F25617">
        <w:rPr>
          <w:szCs w:val="24"/>
          <w:lang w:eastAsia="en-GB"/>
        </w:rPr>
        <w:t>ë</w:t>
      </w:r>
      <w:r w:rsidRPr="002879C8">
        <w:rPr>
          <w:szCs w:val="24"/>
          <w:lang w:eastAsia="en-GB"/>
        </w:rPr>
        <w:t>r realizimin joefektiv apo jo me eficenc</w:t>
      </w:r>
      <w:r w:rsidR="00F25617">
        <w:rPr>
          <w:szCs w:val="24"/>
          <w:lang w:eastAsia="en-GB"/>
        </w:rPr>
        <w:t>ë</w:t>
      </w:r>
      <w:r w:rsidRPr="002879C8">
        <w:rPr>
          <w:szCs w:val="24"/>
          <w:lang w:eastAsia="en-GB"/>
        </w:rPr>
        <w:t xml:space="preserve"> t</w:t>
      </w:r>
      <w:r w:rsidR="00F25617">
        <w:rPr>
          <w:szCs w:val="24"/>
          <w:lang w:eastAsia="en-GB"/>
        </w:rPr>
        <w:t>ë</w:t>
      </w:r>
      <w:r w:rsidRPr="002879C8">
        <w:rPr>
          <w:szCs w:val="24"/>
          <w:lang w:eastAsia="en-GB"/>
        </w:rPr>
        <w:t xml:space="preserve"> koordinimit të aktiviteteve të menaxhimit të borxhit me politikat monetare dhe ato fiskale</w:t>
      </w:r>
      <w:r>
        <w:t xml:space="preserve">, </w:t>
      </w:r>
      <w:r>
        <w:rPr>
          <w:szCs w:val="24"/>
          <w:lang w:eastAsia="en-GB"/>
        </w:rPr>
        <w:t>m</w:t>
      </w:r>
      <w:r w:rsidRPr="002879C8">
        <w:rPr>
          <w:szCs w:val="24"/>
          <w:lang w:eastAsia="en-GB"/>
        </w:rPr>
        <w:t>osrealizimi</w:t>
      </w:r>
      <w:r>
        <w:rPr>
          <w:szCs w:val="24"/>
          <w:lang w:eastAsia="en-GB"/>
        </w:rPr>
        <w:t>n</w:t>
      </w:r>
      <w:r w:rsidRPr="002879C8">
        <w:rPr>
          <w:szCs w:val="24"/>
          <w:lang w:eastAsia="en-GB"/>
        </w:rPr>
        <w:t xml:space="preserve"> në kohë dhe me cil</w:t>
      </w:r>
      <w:r w:rsidR="00F25617">
        <w:rPr>
          <w:szCs w:val="24"/>
          <w:lang w:eastAsia="en-GB"/>
        </w:rPr>
        <w:t>ë</w:t>
      </w:r>
      <w:r w:rsidRPr="002879C8">
        <w:rPr>
          <w:szCs w:val="24"/>
          <w:lang w:eastAsia="en-GB"/>
        </w:rPr>
        <w:t xml:space="preserve">si </w:t>
      </w:r>
      <w:r>
        <w:rPr>
          <w:szCs w:val="24"/>
          <w:lang w:eastAsia="en-GB"/>
        </w:rPr>
        <w:t>t</w:t>
      </w:r>
      <w:r w:rsidR="00F25617">
        <w:rPr>
          <w:szCs w:val="24"/>
          <w:lang w:eastAsia="en-GB"/>
        </w:rPr>
        <w:t>ë</w:t>
      </w:r>
      <w:r w:rsidRPr="002879C8">
        <w:rPr>
          <w:szCs w:val="24"/>
          <w:lang w:eastAsia="en-GB"/>
        </w:rPr>
        <w:t xml:space="preserve"> Strategjisë Afatmesme të Borxhit</w:t>
      </w:r>
      <w:r>
        <w:rPr>
          <w:szCs w:val="24"/>
          <w:lang w:eastAsia="en-GB"/>
        </w:rPr>
        <w:t xml:space="preserve"> apo s</w:t>
      </w:r>
      <w:r w:rsidRPr="002879C8">
        <w:rPr>
          <w:szCs w:val="24"/>
          <w:lang w:eastAsia="en-GB"/>
        </w:rPr>
        <w:t>igurimi</w:t>
      </w:r>
      <w:r>
        <w:rPr>
          <w:szCs w:val="24"/>
          <w:lang w:eastAsia="en-GB"/>
        </w:rPr>
        <w:t>t</w:t>
      </w:r>
      <w:r w:rsidRPr="002879C8">
        <w:rPr>
          <w:szCs w:val="24"/>
          <w:lang w:eastAsia="en-GB"/>
        </w:rPr>
        <w:t xml:space="preserve"> jo në kohë </w:t>
      </w:r>
      <w:r>
        <w:rPr>
          <w:szCs w:val="24"/>
          <w:lang w:eastAsia="en-GB"/>
        </w:rPr>
        <w:t>t</w:t>
      </w:r>
      <w:r w:rsidR="00F25617">
        <w:rPr>
          <w:szCs w:val="24"/>
          <w:lang w:eastAsia="en-GB"/>
        </w:rPr>
        <w:t>ë</w:t>
      </w:r>
      <w:r w:rsidRPr="002879C8">
        <w:rPr>
          <w:szCs w:val="24"/>
          <w:lang w:eastAsia="en-GB"/>
        </w:rPr>
        <w:t xml:space="preserve"> financimeve të nevojshme për projektet e investimit</w:t>
      </w:r>
      <w:r>
        <w:rPr>
          <w:szCs w:val="24"/>
          <w:lang w:eastAsia="en-GB"/>
        </w:rPr>
        <w:t xml:space="preserve"> si dhe mbështetjeve buxhetore:</w:t>
      </w:r>
    </w:p>
    <w:p w:rsidR="001E2672" w:rsidRDefault="002879C8" w:rsidP="00C374EC">
      <w:pPr>
        <w:spacing w:after="0" w:line="240" w:lineRule="auto"/>
        <w:ind w:left="0" w:firstLine="0"/>
      </w:pPr>
      <w:r w:rsidRPr="002879C8">
        <w:t>U rishikua Ligji q</w:t>
      </w:r>
      <w:r w:rsidR="00F25617">
        <w:t>ë</w:t>
      </w:r>
      <w:r w:rsidRPr="002879C8">
        <w:t xml:space="preserve"> rregullon borxhin shtet</w:t>
      </w:r>
      <w:r w:rsidR="00F25617">
        <w:t>ë</w:t>
      </w:r>
      <w:r w:rsidRPr="002879C8">
        <w:t>ror, huamarrjen shtet</w:t>
      </w:r>
      <w:r w:rsidR="00F25617">
        <w:t>ë</w:t>
      </w:r>
      <w:r w:rsidRPr="002879C8">
        <w:t>rore dhe garancit</w:t>
      </w:r>
      <w:r w:rsidR="00F25617">
        <w:t>ë</w:t>
      </w:r>
      <w:r w:rsidRPr="002879C8">
        <w:t xml:space="preserve"> sh</w:t>
      </w:r>
      <w:r>
        <w:t>tet</w:t>
      </w:r>
      <w:r w:rsidR="00F25617">
        <w:t>ë</w:t>
      </w:r>
      <w:r>
        <w:t>rore t</w:t>
      </w:r>
      <w:r w:rsidR="00F25617">
        <w:t>ë</w:t>
      </w:r>
      <w:r>
        <w:t xml:space="preserve"> huas</w:t>
      </w:r>
      <w:r w:rsidR="00F25617">
        <w:t>ë</w:t>
      </w:r>
      <w:r>
        <w:t xml:space="preserve">/Dr.Borxhit. </w:t>
      </w:r>
    </w:p>
    <w:p w:rsidR="001E2672" w:rsidRDefault="002879C8" w:rsidP="00C374EC">
      <w:pPr>
        <w:spacing w:after="0" w:line="240" w:lineRule="auto"/>
        <w:ind w:left="0" w:firstLine="0"/>
      </w:pPr>
      <w:r>
        <w:t>Është p</w:t>
      </w:r>
      <w:r w:rsidR="00F25617">
        <w:t>ë</w:t>
      </w:r>
      <w:r w:rsidRPr="002879C8">
        <w:t>rgatitur Strategjia Afamesme e Menaxhimit te Borxhit 2022-2026 mb</w:t>
      </w:r>
      <w:r w:rsidR="00F25617">
        <w:t>ë</w:t>
      </w:r>
      <w:r w:rsidRPr="002879C8">
        <w:t>shtetur n</w:t>
      </w:r>
      <w:r w:rsidR="00F25617">
        <w:t>ë</w:t>
      </w:r>
      <w:r w:rsidRPr="002879C8">
        <w:t xml:space="preserve"> analizat dhe ushtrimet e realizuara p</w:t>
      </w:r>
      <w:r w:rsidR="00F25617">
        <w:t>ë</w:t>
      </w:r>
      <w:r w:rsidRPr="002879C8">
        <w:t>r k</w:t>
      </w:r>
      <w:r w:rsidR="00F25617">
        <w:t>ë</w:t>
      </w:r>
      <w:r w:rsidRPr="002879C8">
        <w:t>t</w:t>
      </w:r>
      <w:r w:rsidR="00F25617">
        <w:t>ë</w:t>
      </w:r>
      <w:r>
        <w:t xml:space="preserve"> qellim, duke shfrytëzuar</w:t>
      </w:r>
      <w:r w:rsidRPr="002879C8">
        <w:t xml:space="preserve"> </w:t>
      </w:r>
      <w:r>
        <w:t>t</w:t>
      </w:r>
      <w:r w:rsidR="00F25617">
        <w:t>ë</w:t>
      </w:r>
      <w:r w:rsidRPr="002879C8">
        <w:t xml:space="preserve"> gjithë burime</w:t>
      </w:r>
      <w:r>
        <w:t>t</w:t>
      </w:r>
      <w:r w:rsidRPr="002879C8">
        <w:t xml:space="preserve"> </w:t>
      </w:r>
      <w:r>
        <w:t xml:space="preserve">e jashtme. </w:t>
      </w:r>
    </w:p>
    <w:p w:rsidR="002879C8" w:rsidRDefault="002879C8" w:rsidP="00C374EC">
      <w:pPr>
        <w:spacing w:after="0" w:line="240" w:lineRule="auto"/>
        <w:ind w:left="0" w:firstLine="0"/>
      </w:pPr>
      <w:r w:rsidRPr="002879C8">
        <w:t>Analizim i tregut, informimi dhe transparencë kundrejt tregut të brendshëm.</w:t>
      </w:r>
    </w:p>
    <w:p w:rsidR="002879C8" w:rsidRDefault="002879C8" w:rsidP="00345092">
      <w:pPr>
        <w:ind w:left="0" w:firstLine="0"/>
      </w:pPr>
    </w:p>
    <w:p w:rsidR="00214B1E" w:rsidRDefault="00214B1E" w:rsidP="00C374EC">
      <w:pPr>
        <w:pStyle w:val="ListParagraph"/>
        <w:numPr>
          <w:ilvl w:val="0"/>
          <w:numId w:val="4"/>
        </w:numPr>
        <w:ind w:left="0" w:firstLine="0"/>
      </w:pPr>
      <w:r w:rsidRPr="002879C8">
        <w:rPr>
          <w:szCs w:val="24"/>
          <w:lang w:eastAsia="en-GB"/>
        </w:rPr>
        <w:t>N</w:t>
      </w:r>
      <w:r w:rsidR="00F25617">
        <w:rPr>
          <w:szCs w:val="24"/>
          <w:lang w:eastAsia="en-GB"/>
        </w:rPr>
        <w:t>ë</w:t>
      </w:r>
      <w:r w:rsidRPr="002879C8">
        <w:rPr>
          <w:szCs w:val="24"/>
          <w:lang w:eastAsia="en-GB"/>
        </w:rPr>
        <w:t xml:space="preserve"> lidhje me riskun p</w:t>
      </w:r>
      <w:r w:rsidR="00F25617">
        <w:rPr>
          <w:szCs w:val="24"/>
          <w:lang w:eastAsia="en-GB"/>
        </w:rPr>
        <w:t>ë</w:t>
      </w:r>
      <w:r w:rsidRPr="002879C8">
        <w:rPr>
          <w:szCs w:val="24"/>
          <w:lang w:eastAsia="en-GB"/>
        </w:rPr>
        <w:t xml:space="preserve">r </w:t>
      </w:r>
      <w:r>
        <w:rPr>
          <w:szCs w:val="24"/>
          <w:lang w:eastAsia="en-GB"/>
        </w:rPr>
        <w:t>m</w:t>
      </w:r>
      <w:r>
        <w:t>osrealizimi në kohë t</w:t>
      </w:r>
      <w:r w:rsidR="00F25617">
        <w:t>ë</w:t>
      </w:r>
      <w:r>
        <w:t xml:space="preserve"> draftimit t</w:t>
      </w:r>
      <w:r w:rsidR="00F25617">
        <w:t>ë</w:t>
      </w:r>
      <w:r>
        <w:t xml:space="preserve"> akteve ligjore dhe nënligjore në përputhje me matricën e akteve të miratuar nga Këshilli Ministrave, si dhe mosrealizimin e t</w:t>
      </w:r>
      <w:r w:rsidR="00F25617">
        <w:t>ë</w:t>
      </w:r>
      <w:r>
        <w:t xml:space="preserve"> ardhurave nga tatimet dhe doganat sipas parashikimeve, nga Drejtoria e Harmonizimit Fiskal:</w:t>
      </w:r>
    </w:p>
    <w:p w:rsidR="00214B1E" w:rsidRDefault="004571B9" w:rsidP="00214B1E">
      <w:pPr>
        <w:spacing w:after="0" w:line="240" w:lineRule="auto"/>
        <w:ind w:left="0" w:firstLine="0"/>
      </w:pPr>
      <w:r>
        <w:t xml:space="preserve">Është përcaktuar </w:t>
      </w:r>
      <w:r w:rsidR="00214B1E">
        <w:t xml:space="preserve">një kalendari të brendshëm </w:t>
      </w:r>
      <w:r>
        <w:t xml:space="preserve">i </w:t>
      </w:r>
      <w:r w:rsidR="00214B1E">
        <w:t xml:space="preserve">aprovuar nga Titullari dhe monitoruar në bazë javore. Bashkërendimi i punës për përgatitjen e kalendarit me drejtoritë e tjera (si psh me Drejtorinë Juridike). </w:t>
      </w:r>
    </w:p>
    <w:p w:rsidR="00214B1E" w:rsidRDefault="00214B1E" w:rsidP="00214B1E">
      <w:pPr>
        <w:spacing w:after="0" w:line="240" w:lineRule="auto"/>
        <w:ind w:left="0" w:firstLine="0"/>
      </w:pPr>
      <w:r>
        <w:t>Përmirësimi i metodologjisë së parashikimit; monitorim dhe dhe ndërveprim me administratën fiskale, si dhe kontakte të vazhdueshme me ministritë e linjës.</w:t>
      </w:r>
    </w:p>
    <w:p w:rsidR="002879C8" w:rsidRDefault="002879C8" w:rsidP="00345092">
      <w:pPr>
        <w:ind w:left="0" w:firstLine="0"/>
      </w:pPr>
    </w:p>
    <w:p w:rsidR="002879C8" w:rsidRDefault="00C374EC" w:rsidP="00C374EC">
      <w:pPr>
        <w:pStyle w:val="ListParagraph"/>
        <w:numPr>
          <w:ilvl w:val="0"/>
          <w:numId w:val="4"/>
        </w:numPr>
        <w:ind w:left="0" w:firstLine="0"/>
      </w:pPr>
      <w:r w:rsidRPr="002879C8">
        <w:rPr>
          <w:szCs w:val="24"/>
          <w:lang w:eastAsia="en-GB"/>
        </w:rPr>
        <w:t>N</w:t>
      </w:r>
      <w:r w:rsidR="00F25617">
        <w:rPr>
          <w:szCs w:val="24"/>
          <w:lang w:eastAsia="en-GB"/>
        </w:rPr>
        <w:t>ë</w:t>
      </w:r>
      <w:r w:rsidRPr="002879C8">
        <w:rPr>
          <w:szCs w:val="24"/>
          <w:lang w:eastAsia="en-GB"/>
        </w:rPr>
        <w:t xml:space="preserve"> lidhje me riskun </w:t>
      </w:r>
      <w:r>
        <w:t>e</w:t>
      </w:r>
      <w:r w:rsidRPr="00C374EC">
        <w:t xml:space="preserve"> mungesës së burimeve njerëzore të njësisë, </w:t>
      </w:r>
      <w:r>
        <w:t>m</w:t>
      </w:r>
      <w:r w:rsidRPr="00C374EC">
        <w:t>ung</w:t>
      </w:r>
      <w:r>
        <w:t>es</w:t>
      </w:r>
      <w:r w:rsidR="00F25617">
        <w:t>ë</w:t>
      </w:r>
      <w:r>
        <w:t>s s</w:t>
      </w:r>
      <w:r w:rsidR="00F25617">
        <w:t>ë</w:t>
      </w:r>
      <w:r>
        <w:t xml:space="preserve"> </w:t>
      </w:r>
      <w:r w:rsidRPr="00C374EC">
        <w:t>kapacitete</w:t>
      </w:r>
      <w:r>
        <w:t>ve</w:t>
      </w:r>
      <w:r w:rsidRPr="00C374EC">
        <w:t xml:space="preserve"> </w:t>
      </w:r>
      <w:r>
        <w:t>t</w:t>
      </w:r>
      <w:r w:rsidR="00F25617">
        <w:t>ë</w:t>
      </w:r>
      <w:r w:rsidRPr="00C374EC">
        <w:t xml:space="preserve"> nevojshme profesionale për të siguruar cilësinë e misioneve të inspektimit, pasi inspektorët financiarë nuk zotërojnë aftësi profesionale apo eksperiencë në fusha specifik</w:t>
      </w:r>
      <w:r>
        <w:t xml:space="preserve">e të inspektimit, </w:t>
      </w:r>
      <w:r w:rsidRPr="00C374EC">
        <w:t>risku i përgjegjshmërisë dhe integritetit të inspektorëve financiarë publikë, që lidhet me v</w:t>
      </w:r>
      <w:r>
        <w:t>eprimet apo mosveprimet e tyre dhe r</w:t>
      </w:r>
      <w:r w:rsidRPr="00C374EC">
        <w:t>isku</w:t>
      </w:r>
      <w:r>
        <w:t>t</w:t>
      </w:r>
      <w:r w:rsidRPr="00C374EC">
        <w:t xml:space="preserve"> </w:t>
      </w:r>
      <w:r>
        <w:t>t</w:t>
      </w:r>
      <w:r w:rsidR="00F25617">
        <w:t>ë</w:t>
      </w:r>
      <w:r>
        <w:t xml:space="preserve"> mosnjohjes nga </w:t>
      </w:r>
      <w:r w:rsidRPr="00C374EC">
        <w:t>publiku mbi Drejtorinë e Inspektimit Financia</w:t>
      </w:r>
      <w:r>
        <w:t>r Publik dhe veprimtarinë e saj:</w:t>
      </w:r>
    </w:p>
    <w:p w:rsidR="00C374EC" w:rsidRDefault="00C374EC" w:rsidP="00C374EC">
      <w:pPr>
        <w:pStyle w:val="ListParagraph"/>
        <w:ind w:left="0" w:firstLine="0"/>
      </w:pPr>
    </w:p>
    <w:p w:rsidR="00C374EC" w:rsidRDefault="00C374EC" w:rsidP="00C374EC">
      <w:pPr>
        <w:pStyle w:val="ListParagraph"/>
        <w:ind w:left="0" w:firstLine="0"/>
      </w:pPr>
      <w:r w:rsidRPr="00C374EC">
        <w:t>Në pamundësi të plotësimit të vendeve vakante, për shkak të ristrukturimit të Institucionit, janë angazhuar në kryerjen e inspektimeve inspektorë të jasht</w:t>
      </w:r>
      <w:r>
        <w:t xml:space="preserve">ëm.  </w:t>
      </w:r>
    </w:p>
    <w:p w:rsidR="00C374EC" w:rsidRDefault="00C374EC" w:rsidP="00C374EC">
      <w:pPr>
        <w:pStyle w:val="ListParagraph"/>
        <w:ind w:left="0" w:firstLine="0"/>
      </w:pPr>
      <w:r>
        <w:t>Ësht</w:t>
      </w:r>
      <w:r w:rsidR="00F25617">
        <w:t>ë</w:t>
      </w:r>
      <w:r>
        <w:t xml:space="preserve"> r</w:t>
      </w:r>
      <w:r w:rsidRPr="00C374EC">
        <w:t xml:space="preserve">ealizuar Analiza e nevojave për </w:t>
      </w:r>
      <w:r>
        <w:t>trajnim duke t</w:t>
      </w:r>
      <w:r w:rsidRPr="00C374EC">
        <w:t>rajnuar stafi</w:t>
      </w:r>
      <w:r>
        <w:t>n e</w:t>
      </w:r>
      <w:r w:rsidRPr="00C374EC">
        <w:t xml:space="preserve"> DIFP në drejtim të rritjes sa kapaciteteve, në përputhje me nevojat e evidentuara (trajnuar mbi kontrollin financiar dhe perf</w:t>
      </w:r>
      <w:r>
        <w:t xml:space="preserve">ormancën me Fondet e BE-së). </w:t>
      </w:r>
    </w:p>
    <w:p w:rsidR="00C374EC" w:rsidRDefault="00C374EC" w:rsidP="00C374EC">
      <w:pPr>
        <w:pStyle w:val="ListParagraph"/>
        <w:ind w:left="0" w:firstLine="0"/>
      </w:pPr>
      <w:r w:rsidRPr="00C374EC">
        <w:t xml:space="preserve">Drejtori i DIFP </w:t>
      </w:r>
      <w:r>
        <w:t>kryen m</w:t>
      </w:r>
      <w:r w:rsidRPr="00C374EC">
        <w:t>onitorimi</w:t>
      </w:r>
      <w:r>
        <w:t xml:space="preserve">n e </w:t>
      </w:r>
      <w:r w:rsidRPr="00C374EC">
        <w:t xml:space="preserve">inspektimeve, </w:t>
      </w:r>
      <w:r>
        <w:t>b</w:t>
      </w:r>
      <w:r w:rsidR="00F25617">
        <w:t>ë</w:t>
      </w:r>
      <w:r>
        <w:t xml:space="preserve">n </w:t>
      </w:r>
      <w:r w:rsidRPr="00C374EC">
        <w:t>vlerësimi</w:t>
      </w:r>
      <w:r>
        <w:t>n</w:t>
      </w:r>
      <w:r w:rsidRPr="00C374EC">
        <w:t xml:space="preserve"> </w:t>
      </w:r>
      <w:r>
        <w:t xml:space="preserve">e cilësisë për cdo inspektim të kryer. </w:t>
      </w:r>
    </w:p>
    <w:p w:rsidR="00C374EC" w:rsidRDefault="00C374EC" w:rsidP="00C374EC">
      <w:pPr>
        <w:pStyle w:val="ListParagraph"/>
        <w:ind w:left="0" w:firstLine="0"/>
      </w:pPr>
      <w:r>
        <w:t>N</w:t>
      </w:r>
      <w:r w:rsidRPr="00C374EC">
        <w:t xml:space="preserve">ë faqen zyrtare të MFE </w:t>
      </w:r>
      <w:r w:rsidR="00F25617">
        <w:t>ë</w:t>
      </w:r>
      <w:r>
        <w:t>sht</w:t>
      </w:r>
      <w:r w:rsidR="00F25617">
        <w:t>ë</w:t>
      </w:r>
      <w:r>
        <w:t xml:space="preserve"> publikuar informacioni i </w:t>
      </w:r>
      <w:r w:rsidRPr="00C374EC">
        <w:t>p</w:t>
      </w:r>
      <w:r w:rsidR="00F25617">
        <w:t>ë</w:t>
      </w:r>
      <w:r w:rsidRPr="00C374EC">
        <w:t xml:space="preserve">rditësuar mbi veprimtarinë e inspektimit dhe inspektimet e kryera si dhe </w:t>
      </w:r>
      <w:r>
        <w:t>jan</w:t>
      </w:r>
      <w:r w:rsidR="00F25617">
        <w:t>ë</w:t>
      </w:r>
      <w:r w:rsidRPr="00C374EC">
        <w:t xml:space="preserve"> bërë takime me Drejtues të Strukturave të Auditit në disa institucione.</w:t>
      </w:r>
    </w:p>
    <w:p w:rsidR="00736BA3" w:rsidRDefault="00736BA3" w:rsidP="00736BA3">
      <w:pPr>
        <w:ind w:left="0" w:firstLine="0"/>
      </w:pPr>
    </w:p>
    <w:p w:rsidR="002879C8" w:rsidRDefault="00736BA3" w:rsidP="007F62A6">
      <w:pPr>
        <w:pStyle w:val="ListParagraph"/>
        <w:numPr>
          <w:ilvl w:val="0"/>
          <w:numId w:val="4"/>
        </w:numPr>
        <w:ind w:left="0" w:firstLine="0"/>
      </w:pPr>
      <w:r w:rsidRPr="002879C8">
        <w:rPr>
          <w:szCs w:val="24"/>
          <w:lang w:eastAsia="en-GB"/>
        </w:rPr>
        <w:t>N</w:t>
      </w:r>
      <w:r w:rsidR="00F25617">
        <w:rPr>
          <w:szCs w:val="24"/>
          <w:lang w:eastAsia="en-GB"/>
        </w:rPr>
        <w:t>ë</w:t>
      </w:r>
      <w:r w:rsidRPr="002879C8">
        <w:rPr>
          <w:szCs w:val="24"/>
          <w:lang w:eastAsia="en-GB"/>
        </w:rPr>
        <w:t xml:space="preserve"> lidhje me riskun</w:t>
      </w:r>
      <w:r>
        <w:rPr>
          <w:szCs w:val="24"/>
          <w:lang w:eastAsia="en-GB"/>
        </w:rPr>
        <w:t xml:space="preserve"> e </w:t>
      </w:r>
      <w:r>
        <w:t>mospranimit t</w:t>
      </w:r>
      <w:r w:rsidR="00F25617">
        <w:t>ë</w:t>
      </w:r>
      <w:r>
        <w:t xml:space="preserve"> dhuratave, favoreve etj, që ndikojnë ose duket sikur ndikojnë në paanësinë e kryerjes së detyrës, apo janë ose duket sikur janë shpërblim për mënyrën e kryerjes se detyrës zyrtare nga Audituesit e Brendsh</w:t>
      </w:r>
      <w:r w:rsidR="00F25617">
        <w:t>ë</w:t>
      </w:r>
      <w:r>
        <w:t>m</w:t>
      </w:r>
      <w:r w:rsidR="004571B9">
        <w:t>:</w:t>
      </w:r>
    </w:p>
    <w:p w:rsidR="00345092" w:rsidRDefault="00345092" w:rsidP="00345092">
      <w:pPr>
        <w:ind w:left="0" w:firstLine="0"/>
      </w:pPr>
      <w:r>
        <w:t xml:space="preserve">Gjatë vitit 2022, janë zhvilluar seanca trajnimi për të gjithë stafin teknik të MFE-së në bashkërendim dhe planifikim të sektorit të Burimeve Njerëzore me ASPA.  </w:t>
      </w:r>
      <w:r w:rsidRPr="0089070D">
        <w:t>ASPA, ka zhvilluar trajnimin "Menaxhimi i etik</w:t>
      </w:r>
      <w:r w:rsidR="002879C8">
        <w:t>ë</w:t>
      </w:r>
      <w:r w:rsidRPr="0089070D">
        <w:t>s dhe planet e integritet</w:t>
      </w:r>
      <w:r>
        <w:t>it n</w:t>
      </w:r>
      <w:r w:rsidR="002879C8">
        <w:t>ë</w:t>
      </w:r>
      <w:r>
        <w:t xml:space="preserve"> administrat</w:t>
      </w:r>
      <w:r w:rsidR="002879C8">
        <w:t>ë</w:t>
      </w:r>
      <w:r>
        <w:t xml:space="preserve">n publike", në të cilin </w:t>
      </w:r>
      <w:r w:rsidRPr="0089070D">
        <w:t>mor</w:t>
      </w:r>
      <w:r>
        <w:t>rë</w:t>
      </w:r>
      <w:r w:rsidRPr="0089070D">
        <w:t>n pjes</w:t>
      </w:r>
      <w:r>
        <w:t>ë</w:t>
      </w:r>
      <w:r w:rsidRPr="0089070D">
        <w:t xml:space="preserve"> p</w:t>
      </w:r>
      <w:r>
        <w:t>ë</w:t>
      </w:r>
      <w:r w:rsidRPr="0089070D">
        <w:t>rfaq</w:t>
      </w:r>
      <w:r>
        <w:t>ë</w:t>
      </w:r>
      <w:r w:rsidRPr="0089070D">
        <w:t>sues t</w:t>
      </w:r>
      <w:r>
        <w:t>ë</w:t>
      </w:r>
      <w:r w:rsidRPr="0089070D">
        <w:t xml:space="preserve"> MFE, </w:t>
      </w:r>
      <w:r w:rsidRPr="0089070D">
        <w:lastRenderedPageBreak/>
        <w:t>ku u trajnuan p</w:t>
      </w:r>
      <w:r>
        <w:t>ë</w:t>
      </w:r>
      <w:r w:rsidRPr="0089070D">
        <w:t xml:space="preserve">r </w:t>
      </w:r>
      <w:r>
        <w:t>çë</w:t>
      </w:r>
      <w:r w:rsidRPr="0089070D">
        <w:t>shtje q</w:t>
      </w:r>
      <w:r>
        <w:t>ë</w:t>
      </w:r>
      <w:r w:rsidRPr="0089070D">
        <w:t xml:space="preserve"> lidhen me integritetin, veçan</w:t>
      </w:r>
      <w:r>
        <w:t>ë</w:t>
      </w:r>
      <w:r w:rsidRPr="0089070D">
        <w:t>risht me Kodin Etik Ministror, legjislacionin dhe kuadrin p</w:t>
      </w:r>
      <w:r>
        <w:t>ë</w:t>
      </w:r>
      <w:r w:rsidRPr="0089070D">
        <w:t>r integritetin dhe kund</w:t>
      </w:r>
      <w:r>
        <w:t>ë</w:t>
      </w:r>
      <w:r w:rsidRPr="0089070D">
        <w:t>r korrupsionit.</w:t>
      </w:r>
    </w:p>
    <w:p w:rsidR="007F62A6" w:rsidRDefault="007F62A6" w:rsidP="00345092">
      <w:pPr>
        <w:ind w:left="0" w:firstLine="0"/>
      </w:pPr>
    </w:p>
    <w:p w:rsidR="007F62A6" w:rsidRDefault="007F62A6" w:rsidP="007521B3">
      <w:pPr>
        <w:pStyle w:val="ListParagraph"/>
        <w:numPr>
          <w:ilvl w:val="0"/>
          <w:numId w:val="4"/>
        </w:numPr>
        <w:ind w:left="0" w:firstLine="0"/>
      </w:pPr>
      <w:r w:rsidRPr="007F62A6">
        <w:rPr>
          <w:szCs w:val="24"/>
          <w:lang w:eastAsia="en-GB"/>
        </w:rPr>
        <w:t>N</w:t>
      </w:r>
      <w:r w:rsidR="00F25617">
        <w:rPr>
          <w:szCs w:val="24"/>
          <w:lang w:eastAsia="en-GB"/>
        </w:rPr>
        <w:t>ë</w:t>
      </w:r>
      <w:r w:rsidRPr="007F62A6">
        <w:rPr>
          <w:szCs w:val="24"/>
          <w:lang w:eastAsia="en-GB"/>
        </w:rPr>
        <w:t xml:space="preserve"> lidhje me riskun e </w:t>
      </w:r>
      <w:r>
        <w:t>nivelit t</w:t>
      </w:r>
      <w:r w:rsidR="00F25617">
        <w:t>ë</w:t>
      </w:r>
      <w:r>
        <w:t xml:space="preserve">  kualifikimit dhe përditësimit të stafit  t</w:t>
      </w:r>
      <w:r w:rsidR="00F25617">
        <w:t>ë</w:t>
      </w:r>
      <w:r>
        <w:t xml:space="preserve"> Drejtoris</w:t>
      </w:r>
      <w:r w:rsidR="00F25617">
        <w:t>ë</w:t>
      </w:r>
      <w:r>
        <w:t xml:space="preserve"> s</w:t>
      </w:r>
      <w:r w:rsidR="00F25617">
        <w:t>ë</w:t>
      </w:r>
      <w:r>
        <w:t xml:space="preserve"> Apelimit Tatimor, me ndryshimet në legjislacion</w:t>
      </w:r>
      <w:r w:rsidRPr="007F62A6">
        <w:t xml:space="preserve"> </w:t>
      </w:r>
      <w:r>
        <w:t>si dhe gjykimi profesional i ankimeve administrative, përfshirë zbatimin e njëjtë dhe efektiv të ligjit, respektimi i të drejtave të tatimpaguesit dhe unifikimi i qëndrimeve të DAT:</w:t>
      </w:r>
    </w:p>
    <w:p w:rsidR="007F62A6" w:rsidRDefault="007F62A6" w:rsidP="007F62A6">
      <w:pPr>
        <w:pStyle w:val="ListParagraph"/>
        <w:ind w:left="0" w:firstLine="0"/>
      </w:pPr>
    </w:p>
    <w:p w:rsidR="007F62A6" w:rsidRDefault="007F62A6" w:rsidP="007F62A6">
      <w:pPr>
        <w:pStyle w:val="ListParagraph"/>
        <w:ind w:left="0" w:firstLine="0"/>
      </w:pPr>
      <w:r>
        <w:t>Jan</w:t>
      </w:r>
      <w:r w:rsidR="00F25617">
        <w:t>ë</w:t>
      </w:r>
      <w:r>
        <w:t xml:space="preserve"> zhvilluar trajnime të vazhdueshme për legjislacionin tatimor, me Qendrën e Trajnimit të Administratës Tatimore dhe Doganore, QTATD) </w:t>
      </w:r>
    </w:p>
    <w:p w:rsidR="007F62A6" w:rsidRDefault="007F62A6" w:rsidP="007F62A6">
      <w:pPr>
        <w:pStyle w:val="ListParagraph"/>
        <w:ind w:left="0" w:firstLine="0"/>
      </w:pPr>
      <w:r>
        <w:t>Jan</w:t>
      </w:r>
      <w:r w:rsidR="00F25617">
        <w:t>ë</w:t>
      </w:r>
      <w:r>
        <w:t xml:space="preserve"> plotësuar vendet të lira në strukturën e Drejtorisë së Apelimit Tatimor me punonjë</w:t>
      </w:r>
      <w:r w:rsidR="004571B9">
        <w:t>s me përvojë në fushën e fiskut</w:t>
      </w:r>
      <w:r>
        <w:t>.</w:t>
      </w:r>
    </w:p>
    <w:p w:rsidR="00345092" w:rsidRDefault="007F62A6" w:rsidP="007F62A6">
      <w:pPr>
        <w:pStyle w:val="ListParagraph"/>
        <w:ind w:left="0" w:firstLine="0"/>
      </w:pPr>
      <w:r>
        <w:t>Është evidentuar niveli profesional i çdo punonjësi dhe ndarja e detyrave dhe ankimeve sipas nivelit respektiv.</w:t>
      </w:r>
    </w:p>
    <w:p w:rsidR="007F62A6" w:rsidRDefault="007F62A6" w:rsidP="007F62A6">
      <w:pPr>
        <w:pStyle w:val="ListParagraph"/>
        <w:ind w:left="0" w:firstLine="0"/>
      </w:pPr>
    </w:p>
    <w:p w:rsidR="007521B3" w:rsidRDefault="007F62A6" w:rsidP="007F62A6">
      <w:pPr>
        <w:pStyle w:val="ListParagraph"/>
        <w:numPr>
          <w:ilvl w:val="0"/>
          <w:numId w:val="4"/>
        </w:numPr>
        <w:ind w:left="0" w:firstLine="0"/>
      </w:pPr>
      <w:r>
        <w:t>N</w:t>
      </w:r>
      <w:r w:rsidR="00F25617">
        <w:t>ë</w:t>
      </w:r>
      <w:r>
        <w:t xml:space="preserve"> lidhje me riskun e </w:t>
      </w:r>
      <w:r w:rsidRPr="007F62A6">
        <w:t>Informacioni</w:t>
      </w:r>
      <w:r>
        <w:t>t</w:t>
      </w:r>
      <w:r w:rsidRPr="007F62A6">
        <w:t xml:space="preserve"> jo </w:t>
      </w:r>
      <w:r>
        <w:t>t</w:t>
      </w:r>
      <w:r w:rsidR="00F25617">
        <w:t>ë</w:t>
      </w:r>
      <w:r w:rsidRPr="007F62A6">
        <w:t xml:space="preserve"> plotë  përsa </w:t>
      </w:r>
      <w:r>
        <w:t>i</w:t>
      </w:r>
      <w:r w:rsidRPr="007F62A6">
        <w:t xml:space="preserve"> përket Kontratave Koncesionare</w:t>
      </w:r>
      <w:r w:rsidR="00753A77">
        <w:t>,</w:t>
      </w:r>
      <w:r w:rsidRPr="007F62A6">
        <w:t xml:space="preserve"> sipas sektoreve nga Autoritet Kontraktuese</w:t>
      </w:r>
      <w:r>
        <w:t xml:space="preserve">:  </w:t>
      </w:r>
    </w:p>
    <w:p w:rsidR="007521B3" w:rsidRDefault="007521B3" w:rsidP="007521B3">
      <w:pPr>
        <w:pStyle w:val="ListParagraph"/>
        <w:ind w:left="0" w:firstLine="0"/>
      </w:pPr>
    </w:p>
    <w:p w:rsidR="007F62A6" w:rsidRDefault="007F62A6" w:rsidP="007521B3">
      <w:pPr>
        <w:pStyle w:val="ListParagraph"/>
        <w:ind w:left="0" w:firstLine="0"/>
      </w:pPr>
      <w:r>
        <w:t>Janë p</w:t>
      </w:r>
      <w:r w:rsidR="00F25617">
        <w:t>ë</w:t>
      </w:r>
      <w:r>
        <w:t>rgatitur shkresa/e-mail t</w:t>
      </w:r>
      <w:r w:rsidR="00F25617">
        <w:t>ë</w:t>
      </w:r>
      <w:r w:rsidRPr="007F62A6">
        <w:t xml:space="preserve"> vazhdueshme, ku MFE ka k</w:t>
      </w:r>
      <w:r w:rsidR="00F25617">
        <w:t>ë</w:t>
      </w:r>
      <w:r w:rsidRPr="007F62A6">
        <w:t>rkuar nga Autoritetet Kontraktuese plot</w:t>
      </w:r>
      <w:r w:rsidR="00F25617">
        <w:t>ë</w:t>
      </w:r>
      <w:r w:rsidRPr="007F62A6">
        <w:t>simin e te gjitha qelizave t</w:t>
      </w:r>
      <w:r w:rsidR="00F25617">
        <w:t>ë</w:t>
      </w:r>
      <w:r>
        <w:t xml:space="preserve"> 4 Anekseve t</w:t>
      </w:r>
      <w:r w:rsidR="00F25617">
        <w:t>ë</w:t>
      </w:r>
      <w:r>
        <w:t xml:space="preserve"> Raportimit peri</w:t>
      </w:r>
      <w:r w:rsidRPr="007F62A6">
        <w:t>odik ne zbatim t</w:t>
      </w:r>
      <w:r w:rsidR="00F25617">
        <w:t>ë</w:t>
      </w:r>
      <w:r w:rsidRPr="007F62A6">
        <w:t xml:space="preserve"> Udh</w:t>
      </w:r>
      <w:r w:rsidR="00F25617">
        <w:t>ë</w:t>
      </w:r>
      <w:r w:rsidRPr="007F62A6">
        <w:t>zimit nr. 35, dat</w:t>
      </w:r>
      <w:r w:rsidR="00F25617">
        <w:t>ë</w:t>
      </w:r>
      <w:r w:rsidRPr="007F62A6">
        <w:t xml:space="preserve"> 12.12.2019</w:t>
      </w:r>
      <w:r>
        <w:t>.</w:t>
      </w:r>
    </w:p>
    <w:p w:rsidR="00F06213" w:rsidRDefault="00F06213" w:rsidP="007521B3">
      <w:pPr>
        <w:pStyle w:val="ListParagraph"/>
        <w:ind w:left="0" w:firstLine="0"/>
      </w:pPr>
    </w:p>
    <w:p w:rsidR="00F06213" w:rsidRDefault="00F06213" w:rsidP="00F06213">
      <w:pPr>
        <w:pStyle w:val="ListParagraph"/>
        <w:ind w:left="0" w:firstLine="0"/>
      </w:pPr>
      <w:r>
        <w:t>-          Në lidhje me riskun e procesit të sinjalizimeve dhe mbrojtjen e sinjalizuesve:</w:t>
      </w:r>
      <w:r w:rsidRPr="00F06213">
        <w:t xml:space="preserve"> </w:t>
      </w:r>
    </w:p>
    <w:p w:rsidR="00F06213" w:rsidRDefault="00F06213" w:rsidP="00F06213">
      <w:pPr>
        <w:pStyle w:val="ListParagraph"/>
        <w:ind w:left="0" w:firstLine="0"/>
      </w:pPr>
    </w:p>
    <w:p w:rsidR="00F06213" w:rsidRDefault="00F06213" w:rsidP="00F06213">
      <w:pPr>
        <w:pStyle w:val="ListParagraph"/>
        <w:ind w:left="0" w:firstLine="0"/>
      </w:pPr>
      <w:r w:rsidRPr="00F06213">
        <w:t>Janë sensibilizuar punonjësit e MFE-së dhe janë vendosur afishimet</w:t>
      </w:r>
      <w:r w:rsidR="004571B9">
        <w:t>.</w:t>
      </w:r>
      <w:r w:rsidRPr="00F06213">
        <w:t xml:space="preserve">      </w:t>
      </w:r>
    </w:p>
    <w:p w:rsidR="007F62A6" w:rsidRDefault="00F06213" w:rsidP="007F62A6">
      <w:pPr>
        <w:pStyle w:val="ListParagraph"/>
        <w:ind w:firstLine="0"/>
      </w:pPr>
      <w:r>
        <w:t xml:space="preserve">  </w:t>
      </w:r>
    </w:p>
    <w:p w:rsidR="00261142" w:rsidRDefault="00F06213" w:rsidP="00261142">
      <w:pPr>
        <w:pStyle w:val="ListParagraph"/>
        <w:numPr>
          <w:ilvl w:val="0"/>
          <w:numId w:val="4"/>
        </w:numPr>
        <w:ind w:left="270" w:hanging="270"/>
      </w:pPr>
      <w:r>
        <w:t xml:space="preserve">     </w:t>
      </w:r>
      <w:r w:rsidR="007F62A6">
        <w:t>N</w:t>
      </w:r>
      <w:r w:rsidR="00F25617">
        <w:t>ë</w:t>
      </w:r>
      <w:r w:rsidR="007F62A6">
        <w:t xml:space="preserve"> lidhje me rikun p</w:t>
      </w:r>
      <w:r w:rsidR="00F25617">
        <w:t>ë</w:t>
      </w:r>
      <w:r w:rsidR="007F62A6">
        <w:t>r k</w:t>
      </w:r>
      <w:r w:rsidR="00261142">
        <w:t>onsultimi</w:t>
      </w:r>
      <w:r w:rsidR="007F62A6">
        <w:t>n</w:t>
      </w:r>
      <w:r w:rsidR="00261142">
        <w:t xml:space="preserve"> publik</w:t>
      </w:r>
      <w:r w:rsidR="007F62A6">
        <w:t>:</w:t>
      </w:r>
    </w:p>
    <w:p w:rsidR="008E2325" w:rsidRDefault="007F62A6" w:rsidP="008E2325">
      <w:pPr>
        <w:tabs>
          <w:tab w:val="left" w:pos="7800"/>
        </w:tabs>
        <w:spacing w:after="0" w:line="240" w:lineRule="atLeast"/>
        <w:ind w:left="0" w:firstLine="0"/>
        <w:rPr>
          <w:bCs/>
          <w:color w:val="auto"/>
          <w:szCs w:val="23"/>
          <w:lang w:eastAsia="zh-CN"/>
        </w:rPr>
      </w:pPr>
      <w:r>
        <w:rPr>
          <w:bCs/>
          <w:color w:val="auto"/>
          <w:szCs w:val="23"/>
          <w:lang w:eastAsia="zh-CN"/>
        </w:rPr>
        <w:t>N</w:t>
      </w:r>
      <w:r w:rsidRPr="00F75C24">
        <w:rPr>
          <w:bCs/>
          <w:color w:val="auto"/>
          <w:szCs w:val="23"/>
          <w:lang w:eastAsia="zh-CN"/>
        </w:rPr>
        <w:t>ë funksion të rritjes së cilësisë së procesit të konsultimit publik të akteve rregullatore</w:t>
      </w:r>
      <w:r>
        <w:rPr>
          <w:bCs/>
          <w:color w:val="auto"/>
          <w:szCs w:val="23"/>
          <w:lang w:eastAsia="zh-CN"/>
        </w:rPr>
        <w:t>,</w:t>
      </w:r>
      <w:r w:rsidRPr="00F75C24">
        <w:rPr>
          <w:bCs/>
          <w:color w:val="auto"/>
          <w:szCs w:val="24"/>
          <w:lang w:val="sq-AL" w:eastAsia="zh-CN"/>
        </w:rPr>
        <w:t xml:space="preserve"> </w:t>
      </w:r>
      <w:r w:rsidR="008E2325">
        <w:rPr>
          <w:bCs/>
          <w:color w:val="auto"/>
          <w:szCs w:val="24"/>
          <w:lang w:val="sq-AL" w:eastAsia="zh-CN"/>
        </w:rPr>
        <w:t>p</w:t>
      </w:r>
      <w:r w:rsidR="00F25617">
        <w:rPr>
          <w:bCs/>
          <w:color w:val="auto"/>
          <w:szCs w:val="24"/>
          <w:lang w:val="sq-AL" w:eastAsia="zh-CN"/>
        </w:rPr>
        <w:t>ë</w:t>
      </w:r>
      <w:r w:rsidR="008E2325">
        <w:rPr>
          <w:bCs/>
          <w:color w:val="auto"/>
          <w:szCs w:val="24"/>
          <w:lang w:val="sq-AL" w:eastAsia="zh-CN"/>
        </w:rPr>
        <w:t xml:space="preserve">r </w:t>
      </w:r>
      <w:r w:rsidR="00261142" w:rsidRPr="00F75C24">
        <w:rPr>
          <w:bCs/>
          <w:color w:val="auto"/>
          <w:szCs w:val="23"/>
          <w:lang w:eastAsia="zh-CN"/>
        </w:rPr>
        <w:t xml:space="preserve"> rritjen e funksionalitetit të Regjistrit Elektronik të Nj</w:t>
      </w:r>
      <w:r w:rsidR="008E2325">
        <w:rPr>
          <w:bCs/>
          <w:color w:val="auto"/>
          <w:szCs w:val="23"/>
          <w:lang w:eastAsia="zh-CN"/>
        </w:rPr>
        <w:t>oftimit dhe Konsultimit Publik,</w:t>
      </w:r>
      <w:r w:rsidR="00261142" w:rsidRPr="00F75C24">
        <w:rPr>
          <w:bCs/>
          <w:color w:val="auto"/>
          <w:szCs w:val="23"/>
          <w:lang w:eastAsia="zh-CN"/>
        </w:rPr>
        <w:t xml:space="preserve"> institucioni jonë ka paraqitur në Kryeministri listën e grupeve potenciale të interesit, të konsultimit publik për tu publikuar në Regjistrin Elektronik të Njoftimit dhe Konsultimit Publik.</w:t>
      </w:r>
    </w:p>
    <w:p w:rsidR="00735C6C" w:rsidRDefault="00735C6C" w:rsidP="008E2325">
      <w:pPr>
        <w:spacing w:after="0" w:line="240" w:lineRule="atLeast"/>
        <w:ind w:left="0" w:firstLine="0"/>
        <w:rPr>
          <w:bCs/>
          <w:color w:val="auto"/>
          <w:szCs w:val="23"/>
          <w:lang w:eastAsia="zh-CN"/>
        </w:rPr>
      </w:pPr>
    </w:p>
    <w:p w:rsidR="00261142" w:rsidRDefault="00261142" w:rsidP="008E2325">
      <w:pPr>
        <w:spacing w:after="0" w:line="240" w:lineRule="atLeast"/>
        <w:ind w:left="0" w:firstLine="0"/>
      </w:pPr>
      <w:r w:rsidRPr="00F75C24">
        <w:rPr>
          <w:bCs/>
          <w:color w:val="auto"/>
          <w:szCs w:val="24"/>
          <w:lang w:val="sq-AL" w:eastAsia="zh-CN"/>
        </w:rPr>
        <w:t>Gjithashtu ju informojmë se janë marrë masat e nevojshme që kordinatori për konsultim publik në Ministrinë e Financave dhe Ekonomisë të sigurojë publikimin e paketës së plotë të dokumentacionit për çdo konsultim publik.</w:t>
      </w:r>
      <w:r w:rsidRPr="009C1E3E">
        <w:t xml:space="preserve"> Vlerësohet se proçesi i konsultimit publik, ka patur përmirësime ku projektaktet e publikuara në Regjistrin Elektronik gjatë vitit 2022, kanë shënuar rritje të frekuencës së konsultimit publik dhe të indeksit të cilësisë. Krahasuar me vitet e shkuara, në Rregjistrin Elektronik për Konsultimet Publike ka pasur më pak komente nga qytetarë dhe grupe interesi.   </w:t>
      </w:r>
    </w:p>
    <w:p w:rsidR="008E2325" w:rsidRPr="009C1E3E" w:rsidRDefault="008E2325" w:rsidP="008E2325">
      <w:pPr>
        <w:spacing w:after="0" w:line="240" w:lineRule="atLeast"/>
        <w:ind w:left="0" w:firstLine="0"/>
      </w:pPr>
    </w:p>
    <w:p w:rsidR="00261142" w:rsidRPr="009C1E3E" w:rsidRDefault="00261142" w:rsidP="008E2325">
      <w:pPr>
        <w:spacing w:after="0" w:line="240" w:lineRule="atLeast"/>
        <w:ind w:left="-14" w:right="14" w:firstLine="0"/>
        <w:rPr>
          <w:color w:val="FF0000"/>
        </w:rPr>
      </w:pPr>
      <w:r w:rsidRPr="009C1E3E">
        <w:t>Ministria e Financave dhe Ekonomisë, ka publikuar pas proçesit të konsultimit publik të projekt-akteve si më poshtë detajuar, edhe raportet përkatëse individuale për rezultatet e konsultimit publik</w:t>
      </w:r>
      <w:r>
        <w:rPr>
          <w:sz w:val="32"/>
          <w:vertAlign w:val="superscript"/>
        </w:rPr>
        <w:t xml:space="preserve"> </w:t>
      </w:r>
      <w:r w:rsidRPr="009C1E3E">
        <w:t xml:space="preserve">për secilin projektakt të publikuar në Regjistër, duke specifikuar dhe bërë transparente: Kohëzgjatjen e përgjithshme të konsultimeve publike në 20 ditë pune; Metodat e konsultimit të përdorura, të tilla si: konsultimet elektronike (Regjistri Elektronik, posta elektronike, faqet e internetit, </w:t>
      </w:r>
      <w:r w:rsidRPr="009C1E3E">
        <w:rPr>
          <w:color w:val="auto"/>
        </w:rPr>
        <w:t xml:space="preserve">Takimet publike, </w:t>
      </w:r>
      <w:r w:rsidRPr="009C1E3E">
        <w:rPr>
          <w:color w:val="auto"/>
        </w:rPr>
        <w:lastRenderedPageBreak/>
        <w:t xml:space="preserve">Takimet online etj; Palët e interesuara, qoftë organizata apo individë, të cilët kanë dhënë komente/kontribut në konsultimet publike përmes metodave të ndryshme të konsultimit, gjatë gjithë procesit si edhe pasqyrën e komenteve të pranuara me arsyetimin e komenteve të pranuara apo refuzuara. </w:t>
      </w:r>
    </w:p>
    <w:p w:rsidR="00AC30D3" w:rsidRDefault="001E5FE4">
      <w:pPr>
        <w:spacing w:after="169" w:line="240" w:lineRule="auto"/>
        <w:ind w:left="377" w:firstLine="0"/>
        <w:jc w:val="left"/>
      </w:pPr>
      <w:r>
        <w:rPr>
          <w:rFonts w:ascii="Calibri" w:eastAsia="Calibri" w:hAnsi="Calibri" w:cs="Calibri"/>
          <w:color w:val="FF0000"/>
          <w:sz w:val="22"/>
        </w:rPr>
        <w:t xml:space="preserve"> </w:t>
      </w:r>
    </w:p>
    <w:p w:rsidR="00AC30D3" w:rsidRPr="00EA0830" w:rsidRDefault="00227552" w:rsidP="00EA0830">
      <w:pPr>
        <w:pStyle w:val="ListParagraph"/>
        <w:numPr>
          <w:ilvl w:val="0"/>
          <w:numId w:val="8"/>
        </w:numPr>
        <w:spacing w:after="454" w:line="246" w:lineRule="auto"/>
        <w:jc w:val="left"/>
        <w:rPr>
          <w:b/>
          <w:szCs w:val="24"/>
        </w:rPr>
      </w:pPr>
      <w:r w:rsidRPr="00EA0830">
        <w:rPr>
          <w:rFonts w:eastAsia="Berlin Sans FB"/>
          <w:b/>
          <w:color w:val="142F40"/>
          <w:szCs w:val="24"/>
        </w:rPr>
        <w:t xml:space="preserve">KONKLUZIONE DHE REKOMANDIME </w:t>
      </w:r>
    </w:p>
    <w:p w:rsidR="00AC30D3" w:rsidRDefault="001E5FE4" w:rsidP="005E54EB">
      <w:pPr>
        <w:spacing w:after="0"/>
        <w:ind w:left="0" w:firstLine="0"/>
      </w:pPr>
      <w:r>
        <w:t>Ky raport monitorimi është kryer në përputhje me metodologjinë e monitorimit të instrumentit pl</w:t>
      </w:r>
      <w:r w:rsidR="00F87CF4">
        <w:t>an integriteti</w:t>
      </w:r>
      <w:r w:rsidR="00324433">
        <w:t xml:space="preserve"> dhe të hartimit</w:t>
      </w:r>
      <w:r>
        <w:t xml:space="preserve"> të raportit të monitorimit.  </w:t>
      </w:r>
    </w:p>
    <w:p w:rsidR="00444D59" w:rsidRDefault="00444D59" w:rsidP="00735C6C">
      <w:pPr>
        <w:spacing w:after="1" w:line="240" w:lineRule="auto"/>
        <w:ind w:left="0" w:firstLine="0"/>
        <w:jc w:val="left"/>
      </w:pPr>
    </w:p>
    <w:p w:rsidR="00AC30D3" w:rsidRDefault="001E5FE4" w:rsidP="00735C6C">
      <w:pPr>
        <w:spacing w:after="1" w:line="240" w:lineRule="auto"/>
        <w:ind w:left="0" w:firstLine="0"/>
        <w:jc w:val="left"/>
      </w:pPr>
      <w:r>
        <w:t>Në përmbyllje të këtij raporti monitorimi për vitin</w:t>
      </w:r>
      <w:r>
        <w:rPr>
          <w:i/>
        </w:rPr>
        <w:t xml:space="preserve"> 2022</w:t>
      </w:r>
      <w:r>
        <w:t xml:space="preserve">, të gjetjeve që ky dokument na ofron, të të dhënave analitike që drejtoritë kanë raportuar dhe të analizës së kryer, rezulton se: </w:t>
      </w:r>
    </w:p>
    <w:p w:rsidR="00AC30D3" w:rsidRDefault="001E5FE4">
      <w:pPr>
        <w:numPr>
          <w:ilvl w:val="0"/>
          <w:numId w:val="3"/>
        </w:numPr>
        <w:spacing w:after="0"/>
        <w:ind w:hanging="360"/>
      </w:pPr>
      <w:r>
        <w:t xml:space="preserve">Ministria e </w:t>
      </w:r>
      <w:r w:rsidR="004C06C0">
        <w:t>Financave dhe Ekonomis</w:t>
      </w:r>
      <w:r>
        <w:t xml:space="preserve">ë ka vijuar me zbatimin e planit të integritetit.  </w:t>
      </w:r>
    </w:p>
    <w:p w:rsidR="00AC30D3" w:rsidRDefault="001E5FE4">
      <w:pPr>
        <w:numPr>
          <w:ilvl w:val="0"/>
          <w:numId w:val="3"/>
        </w:numPr>
        <w:spacing w:after="0"/>
        <w:ind w:hanging="360"/>
      </w:pPr>
      <w:r>
        <w:t xml:space="preserve">Ka përmirësime në koordinimin dhe projektimin e nismave dhe iniciativave, për të siguruar bashkëpunime edhe për institucionet e varësisë së ministrisë. </w:t>
      </w:r>
    </w:p>
    <w:p w:rsidR="00AC30D3" w:rsidRDefault="001E5FE4">
      <w:pPr>
        <w:numPr>
          <w:ilvl w:val="0"/>
          <w:numId w:val="3"/>
        </w:numPr>
        <w:spacing w:after="0"/>
        <w:ind w:hanging="360"/>
      </w:pPr>
      <w:r>
        <w:t xml:space="preserve">Garantuar transparencë e plotë dhe ofrim i informacioneve mbi aktivitetin e ministrisë për publikun e gjerë nëpërmjet faqes së internetit </w:t>
      </w:r>
      <w:hyperlink r:id="rId16" w:history="1">
        <w:r w:rsidR="00F25617" w:rsidRPr="00B97BE0">
          <w:rPr>
            <w:rStyle w:val="Hyperlink"/>
            <w:u w:color="0000FF"/>
          </w:rPr>
          <w:t>www.financa.gov.al</w:t>
        </w:r>
      </w:hyperlink>
      <w:hyperlink r:id="rId17">
        <w:r>
          <w:t>.</w:t>
        </w:r>
      </w:hyperlink>
      <w:r>
        <w:t xml:space="preserve">   </w:t>
      </w:r>
    </w:p>
    <w:p w:rsidR="00AC30D3" w:rsidRPr="00735C6C" w:rsidRDefault="001E5FE4" w:rsidP="00735C6C">
      <w:pPr>
        <w:spacing w:after="0" w:line="240" w:lineRule="auto"/>
        <w:ind w:left="377" w:firstLine="0"/>
        <w:jc w:val="left"/>
      </w:pPr>
      <w:r>
        <w:t xml:space="preserve"> </w:t>
      </w:r>
      <w:r>
        <w:rPr>
          <w:color w:val="FF0000"/>
        </w:rPr>
        <w:t xml:space="preserve"> </w:t>
      </w:r>
    </w:p>
    <w:p w:rsidR="00F25617" w:rsidRDefault="00F25617">
      <w:pPr>
        <w:spacing w:after="38" w:line="240" w:lineRule="auto"/>
        <w:ind w:left="377" w:firstLine="0"/>
        <w:jc w:val="left"/>
      </w:pPr>
    </w:p>
    <w:p w:rsidR="00AC30D3" w:rsidRPr="00EA0830" w:rsidRDefault="005E54EB" w:rsidP="00EA0830">
      <w:pPr>
        <w:pStyle w:val="ListParagraph"/>
        <w:numPr>
          <w:ilvl w:val="0"/>
          <w:numId w:val="8"/>
        </w:numPr>
        <w:spacing w:after="268" w:line="246" w:lineRule="auto"/>
        <w:jc w:val="left"/>
        <w:rPr>
          <w:b/>
          <w:color w:val="000000" w:themeColor="text1"/>
          <w:szCs w:val="24"/>
        </w:rPr>
      </w:pPr>
      <w:r w:rsidRPr="00EA0830">
        <w:rPr>
          <w:rFonts w:eastAsia="Berlin Sans FB"/>
          <w:b/>
          <w:color w:val="000000" w:themeColor="text1"/>
          <w:szCs w:val="24"/>
        </w:rPr>
        <w:t>HAPA TË TJERA</w:t>
      </w:r>
      <w:r w:rsidRPr="00EA0830">
        <w:rPr>
          <w:b/>
          <w:color w:val="000000" w:themeColor="text1"/>
          <w:szCs w:val="24"/>
        </w:rPr>
        <w:t xml:space="preserve"> </w:t>
      </w:r>
    </w:p>
    <w:p w:rsidR="00AC30D3" w:rsidRDefault="001E5FE4">
      <w:pPr>
        <w:numPr>
          <w:ilvl w:val="0"/>
          <w:numId w:val="3"/>
        </w:numPr>
        <w:spacing w:after="22"/>
        <w:ind w:hanging="360"/>
      </w:pPr>
      <w:r>
        <w:t xml:space="preserve">Të vijohet me zbatimin dhe raportimin e masave dhe angazhimeve, si: në fushën e burimeve njerëzore; të analizohet, në çdo rast para paraqitjes së kërkesave për plotësimin e vendeve të lira të punës, gjendja e vendimeve të formës së prerë për rikthimin në vendin e punës. </w:t>
      </w:r>
    </w:p>
    <w:p w:rsidR="00AC30D3" w:rsidRDefault="001E5FE4">
      <w:pPr>
        <w:numPr>
          <w:ilvl w:val="0"/>
          <w:numId w:val="3"/>
        </w:numPr>
        <w:spacing w:after="19"/>
        <w:ind w:hanging="360"/>
      </w:pPr>
      <w:r>
        <w:t xml:space="preserve">Të propozohen masa konkrete, përfshirë dhe ato disiplinore për persona që kanë dhënë vendime largimi nga puna, të cilat janë cilësuar si të paligjshme, për rastet e shfuqizimeve të vendimeve të largimit nga puna. </w:t>
      </w:r>
    </w:p>
    <w:p w:rsidR="00AC30D3" w:rsidRDefault="001E5FE4">
      <w:pPr>
        <w:numPr>
          <w:ilvl w:val="0"/>
          <w:numId w:val="3"/>
        </w:numPr>
        <w:ind w:hanging="360"/>
      </w:pPr>
      <w:r>
        <w:t xml:space="preserve">Të plotësohen të gjitha vakancat e evidentuara në çdo drejtori. </w:t>
      </w:r>
    </w:p>
    <w:p w:rsidR="00AC30D3" w:rsidRDefault="001E5FE4" w:rsidP="00735C6C">
      <w:pPr>
        <w:spacing w:after="0" w:line="240" w:lineRule="auto"/>
        <w:ind w:left="377" w:firstLine="0"/>
        <w:jc w:val="left"/>
      </w:pPr>
      <w:r>
        <w:t xml:space="preserve"> </w:t>
      </w:r>
    </w:p>
    <w:p w:rsidR="00444D59" w:rsidRDefault="00444D59" w:rsidP="00735C6C">
      <w:pPr>
        <w:spacing w:after="0" w:line="240" w:lineRule="auto"/>
        <w:ind w:left="377" w:firstLine="0"/>
        <w:jc w:val="left"/>
      </w:pPr>
    </w:p>
    <w:p w:rsidR="00AC30D3" w:rsidRPr="00EA0830" w:rsidRDefault="005E54EB" w:rsidP="00EA0830">
      <w:pPr>
        <w:pStyle w:val="ListParagraph"/>
        <w:numPr>
          <w:ilvl w:val="0"/>
          <w:numId w:val="8"/>
        </w:numPr>
        <w:spacing w:after="350" w:line="246" w:lineRule="auto"/>
        <w:jc w:val="left"/>
        <w:rPr>
          <w:b/>
          <w:szCs w:val="24"/>
        </w:rPr>
      </w:pPr>
      <w:r w:rsidRPr="00EA0830">
        <w:rPr>
          <w:rFonts w:eastAsia="Berlin Sans FB"/>
          <w:b/>
          <w:color w:val="142F40"/>
          <w:szCs w:val="24"/>
        </w:rPr>
        <w:t xml:space="preserve">ANEKS </w:t>
      </w:r>
    </w:p>
    <w:p w:rsidR="00AC30D3" w:rsidRDefault="001E5FE4">
      <w:pPr>
        <w:numPr>
          <w:ilvl w:val="0"/>
          <w:numId w:val="3"/>
        </w:numPr>
        <w:ind w:hanging="360"/>
      </w:pPr>
      <w:r>
        <w:t>Aneksi i raportimit të informa</w:t>
      </w:r>
      <w:r w:rsidR="00F25617">
        <w:t>cionit nga njësitë kontribuuese.</w:t>
      </w:r>
    </w:p>
    <w:p w:rsidR="00AC30D3" w:rsidRDefault="001E5FE4">
      <w:pPr>
        <w:spacing w:after="216" w:line="240" w:lineRule="auto"/>
        <w:ind w:left="377" w:firstLine="0"/>
        <w:jc w:val="left"/>
      </w:pPr>
      <w:r>
        <w:rPr>
          <w:rFonts w:ascii="Arial" w:eastAsia="Arial" w:hAnsi="Arial" w:cs="Arial"/>
        </w:rPr>
        <w:t xml:space="preserve"> </w:t>
      </w:r>
    </w:p>
    <w:p w:rsidR="00AC30D3" w:rsidRDefault="001E5FE4">
      <w:pPr>
        <w:spacing w:after="0" w:line="240" w:lineRule="auto"/>
        <w:ind w:left="377" w:firstLine="0"/>
        <w:jc w:val="left"/>
      </w:pPr>
      <w:r>
        <w:rPr>
          <w:rFonts w:ascii="Calibri" w:eastAsia="Calibri" w:hAnsi="Calibri" w:cs="Calibri"/>
          <w:sz w:val="22"/>
        </w:rPr>
        <w:t xml:space="preserve"> </w:t>
      </w:r>
    </w:p>
    <w:sectPr w:rsidR="00AC30D3">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2240" w:h="15840"/>
      <w:pgMar w:top="1441" w:right="1435" w:bottom="1451" w:left="1063" w:header="720" w:footer="72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CD4" w:rsidRDefault="00E35CD4">
      <w:pPr>
        <w:spacing w:after="0" w:line="240" w:lineRule="auto"/>
      </w:pPr>
      <w:r>
        <w:separator/>
      </w:r>
    </w:p>
  </w:endnote>
  <w:endnote w:type="continuationSeparator" w:id="0">
    <w:p w:rsidR="00E35CD4" w:rsidRDefault="00E3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0517" w:tblpY="14537"/>
      <w:tblOverlap w:val="never"/>
      <w:tblW w:w="413" w:type="dxa"/>
      <w:tblInd w:w="0" w:type="dxa"/>
      <w:tblCellMar>
        <w:top w:w="88" w:type="dxa"/>
        <w:left w:w="115" w:type="dxa"/>
        <w:right w:w="78" w:type="dxa"/>
      </w:tblCellMar>
      <w:tblLook w:val="04A0" w:firstRow="1" w:lastRow="0" w:firstColumn="1" w:lastColumn="0" w:noHBand="0" w:noVBand="1"/>
    </w:tblPr>
    <w:tblGrid>
      <w:gridCol w:w="413"/>
    </w:tblGrid>
    <w:tr w:rsidR="00AC30D3">
      <w:tc>
        <w:tcPr>
          <w:tcW w:w="413" w:type="dxa"/>
          <w:tcBorders>
            <w:top w:val="nil"/>
            <w:left w:val="nil"/>
            <w:bottom w:val="nil"/>
            <w:right w:val="nil"/>
          </w:tcBorders>
          <w:shd w:val="clear" w:color="auto" w:fill="D9C4A9"/>
        </w:tcPr>
        <w:p w:rsidR="00AC30D3" w:rsidRDefault="001E5FE4">
          <w:pPr>
            <w:spacing w:after="0" w:line="276" w:lineRule="auto"/>
            <w:ind w:left="0"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b/>
              <w:sz w:val="22"/>
            </w:rPr>
            <w:t xml:space="preserve"> </w:t>
          </w:r>
        </w:p>
      </w:tc>
    </w:tr>
  </w:tbl>
  <w:p w:rsidR="00AC30D3" w:rsidRDefault="001E5FE4">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0517" w:tblpY="14537"/>
      <w:tblOverlap w:val="never"/>
      <w:tblW w:w="413" w:type="dxa"/>
      <w:tblInd w:w="0" w:type="dxa"/>
      <w:tblCellMar>
        <w:top w:w="88" w:type="dxa"/>
        <w:left w:w="115" w:type="dxa"/>
        <w:right w:w="78" w:type="dxa"/>
      </w:tblCellMar>
      <w:tblLook w:val="04A0" w:firstRow="1" w:lastRow="0" w:firstColumn="1" w:lastColumn="0" w:noHBand="0" w:noVBand="1"/>
    </w:tblPr>
    <w:tblGrid>
      <w:gridCol w:w="413"/>
    </w:tblGrid>
    <w:tr w:rsidR="00AC30D3">
      <w:tc>
        <w:tcPr>
          <w:tcW w:w="413" w:type="dxa"/>
          <w:tcBorders>
            <w:top w:val="nil"/>
            <w:left w:val="nil"/>
            <w:bottom w:val="nil"/>
            <w:right w:val="nil"/>
          </w:tcBorders>
          <w:shd w:val="clear" w:color="auto" w:fill="D9C4A9"/>
        </w:tcPr>
        <w:p w:rsidR="00AC30D3" w:rsidRDefault="001E5FE4">
          <w:pPr>
            <w:spacing w:after="0" w:line="276" w:lineRule="auto"/>
            <w:ind w:left="0" w:firstLine="0"/>
            <w:jc w:val="right"/>
          </w:pPr>
          <w:r>
            <w:fldChar w:fldCharType="begin"/>
          </w:r>
          <w:r>
            <w:instrText xml:space="preserve"> PAGE   \* MERGEFORMAT </w:instrText>
          </w:r>
          <w:r>
            <w:fldChar w:fldCharType="separate"/>
          </w:r>
          <w:r w:rsidR="009E6C62" w:rsidRPr="009E6C62">
            <w:rPr>
              <w:rFonts w:ascii="Calibri" w:eastAsia="Calibri" w:hAnsi="Calibri" w:cs="Calibri"/>
              <w:b/>
              <w:noProof/>
              <w:sz w:val="22"/>
            </w:rPr>
            <w:t>3</w:t>
          </w:r>
          <w:r>
            <w:rPr>
              <w:rFonts w:ascii="Calibri" w:eastAsia="Calibri" w:hAnsi="Calibri" w:cs="Calibri"/>
              <w:b/>
              <w:sz w:val="22"/>
            </w:rPr>
            <w:fldChar w:fldCharType="end"/>
          </w:r>
          <w:r>
            <w:rPr>
              <w:rFonts w:ascii="Calibri" w:eastAsia="Calibri" w:hAnsi="Calibri" w:cs="Calibri"/>
              <w:b/>
              <w:sz w:val="22"/>
            </w:rPr>
            <w:t xml:space="preserve"> </w:t>
          </w:r>
        </w:p>
      </w:tc>
    </w:tr>
  </w:tbl>
  <w:p w:rsidR="00C764E6" w:rsidRDefault="00C764E6" w:rsidP="00C764E6">
    <w:pPr>
      <w:spacing w:after="0" w:line="240"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0D3" w:rsidRDefault="00AC30D3">
    <w:pPr>
      <w:spacing w:after="0" w:line="276"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0517" w:tblpY="14537"/>
      <w:tblOverlap w:val="never"/>
      <w:tblW w:w="413" w:type="dxa"/>
      <w:tblInd w:w="0" w:type="dxa"/>
      <w:tblCellMar>
        <w:top w:w="88" w:type="dxa"/>
        <w:left w:w="115" w:type="dxa"/>
        <w:right w:w="78" w:type="dxa"/>
      </w:tblCellMar>
      <w:tblLook w:val="04A0" w:firstRow="1" w:lastRow="0" w:firstColumn="1" w:lastColumn="0" w:noHBand="0" w:noVBand="1"/>
    </w:tblPr>
    <w:tblGrid>
      <w:gridCol w:w="413"/>
    </w:tblGrid>
    <w:tr w:rsidR="00AC30D3">
      <w:tc>
        <w:tcPr>
          <w:tcW w:w="413" w:type="dxa"/>
          <w:tcBorders>
            <w:top w:val="nil"/>
            <w:left w:val="nil"/>
            <w:bottom w:val="nil"/>
            <w:right w:val="nil"/>
          </w:tcBorders>
          <w:shd w:val="clear" w:color="auto" w:fill="D9C4A9"/>
        </w:tcPr>
        <w:p w:rsidR="00AC30D3" w:rsidRDefault="001E5FE4">
          <w:pPr>
            <w:spacing w:after="0" w:line="276" w:lineRule="auto"/>
            <w:ind w:left="0"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b/>
              <w:sz w:val="22"/>
            </w:rPr>
            <w:t xml:space="preserve"> </w:t>
          </w:r>
        </w:p>
      </w:tc>
    </w:tr>
  </w:tbl>
  <w:p w:rsidR="00AC30D3" w:rsidRDefault="001E5FE4">
    <w:pPr>
      <w:spacing w:after="0" w:line="240"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0517" w:tblpY="14537"/>
      <w:tblOverlap w:val="never"/>
      <w:tblW w:w="413" w:type="dxa"/>
      <w:tblInd w:w="0" w:type="dxa"/>
      <w:tblCellMar>
        <w:top w:w="88" w:type="dxa"/>
        <w:left w:w="115" w:type="dxa"/>
        <w:right w:w="78" w:type="dxa"/>
      </w:tblCellMar>
      <w:tblLook w:val="04A0" w:firstRow="1" w:lastRow="0" w:firstColumn="1" w:lastColumn="0" w:noHBand="0" w:noVBand="1"/>
    </w:tblPr>
    <w:tblGrid>
      <w:gridCol w:w="413"/>
    </w:tblGrid>
    <w:tr w:rsidR="00AC30D3">
      <w:tc>
        <w:tcPr>
          <w:tcW w:w="413" w:type="dxa"/>
          <w:tcBorders>
            <w:top w:val="nil"/>
            <w:left w:val="nil"/>
            <w:bottom w:val="nil"/>
            <w:right w:val="nil"/>
          </w:tcBorders>
          <w:shd w:val="clear" w:color="auto" w:fill="D9C4A9"/>
        </w:tcPr>
        <w:p w:rsidR="00AC30D3" w:rsidRDefault="001E5FE4">
          <w:pPr>
            <w:spacing w:after="0" w:line="276" w:lineRule="auto"/>
            <w:ind w:left="0" w:firstLine="0"/>
            <w:jc w:val="right"/>
          </w:pPr>
          <w:r>
            <w:fldChar w:fldCharType="begin"/>
          </w:r>
          <w:r>
            <w:instrText xml:space="preserve"> PAGE   \* MERGEFORMAT </w:instrText>
          </w:r>
          <w:r>
            <w:fldChar w:fldCharType="separate"/>
          </w:r>
          <w:r w:rsidR="009E6C62" w:rsidRPr="009E6C62">
            <w:rPr>
              <w:rFonts w:ascii="Calibri" w:eastAsia="Calibri" w:hAnsi="Calibri" w:cs="Calibri"/>
              <w:b/>
              <w:noProof/>
              <w:sz w:val="22"/>
            </w:rPr>
            <w:t>9</w:t>
          </w:r>
          <w:r>
            <w:rPr>
              <w:rFonts w:ascii="Calibri" w:eastAsia="Calibri" w:hAnsi="Calibri" w:cs="Calibri"/>
              <w:b/>
              <w:sz w:val="22"/>
            </w:rPr>
            <w:fldChar w:fldCharType="end"/>
          </w:r>
          <w:r>
            <w:rPr>
              <w:rFonts w:ascii="Calibri" w:eastAsia="Calibri" w:hAnsi="Calibri" w:cs="Calibri"/>
              <w:b/>
              <w:sz w:val="22"/>
            </w:rPr>
            <w:t xml:space="preserve"> </w:t>
          </w:r>
        </w:p>
      </w:tc>
    </w:tr>
  </w:tbl>
  <w:p w:rsidR="00AC30D3" w:rsidRDefault="001E5FE4">
    <w:pPr>
      <w:spacing w:after="0" w:line="240"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0517" w:tblpY="14537"/>
      <w:tblOverlap w:val="never"/>
      <w:tblW w:w="413" w:type="dxa"/>
      <w:tblInd w:w="0" w:type="dxa"/>
      <w:tblCellMar>
        <w:top w:w="88" w:type="dxa"/>
        <w:left w:w="115" w:type="dxa"/>
        <w:right w:w="78" w:type="dxa"/>
      </w:tblCellMar>
      <w:tblLook w:val="04A0" w:firstRow="1" w:lastRow="0" w:firstColumn="1" w:lastColumn="0" w:noHBand="0" w:noVBand="1"/>
    </w:tblPr>
    <w:tblGrid>
      <w:gridCol w:w="413"/>
    </w:tblGrid>
    <w:tr w:rsidR="00AC30D3">
      <w:tc>
        <w:tcPr>
          <w:tcW w:w="413" w:type="dxa"/>
          <w:tcBorders>
            <w:top w:val="nil"/>
            <w:left w:val="nil"/>
            <w:bottom w:val="nil"/>
            <w:right w:val="nil"/>
          </w:tcBorders>
          <w:shd w:val="clear" w:color="auto" w:fill="D9C4A9"/>
        </w:tcPr>
        <w:p w:rsidR="00AC30D3" w:rsidRDefault="001E5FE4">
          <w:pPr>
            <w:spacing w:after="0" w:line="276" w:lineRule="auto"/>
            <w:ind w:left="0"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b/>
              <w:sz w:val="22"/>
            </w:rPr>
            <w:t xml:space="preserve"> </w:t>
          </w:r>
        </w:p>
      </w:tc>
    </w:tr>
  </w:tbl>
  <w:p w:rsidR="00AC30D3" w:rsidRDefault="001E5FE4">
    <w:pPr>
      <w:spacing w:after="0" w:line="240"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CD4" w:rsidRDefault="00E35CD4">
      <w:pPr>
        <w:spacing w:after="0" w:line="240" w:lineRule="auto"/>
        <w:ind w:left="377" w:firstLine="0"/>
        <w:jc w:val="left"/>
      </w:pPr>
      <w:r>
        <w:separator/>
      </w:r>
    </w:p>
  </w:footnote>
  <w:footnote w:type="continuationSeparator" w:id="0">
    <w:p w:rsidR="00E35CD4" w:rsidRDefault="00E35CD4">
      <w:pPr>
        <w:spacing w:after="0" w:line="240" w:lineRule="auto"/>
        <w:ind w:left="377"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0D3" w:rsidRDefault="001E5FE4">
    <w:pPr>
      <w:spacing w:after="694" w:line="240" w:lineRule="auto"/>
      <w:ind w:left="0" w:firstLine="0"/>
      <w:jc w:val="left"/>
    </w:pPr>
    <w:r>
      <w:rPr>
        <w:rFonts w:ascii="Calibri" w:eastAsia="Calibri" w:hAnsi="Calibri" w:cs="Calibri"/>
        <w:sz w:val="22"/>
      </w:rPr>
      <w:t xml:space="preserve"> </w:t>
    </w:r>
  </w:p>
  <w:p w:rsidR="00AC30D3" w:rsidRDefault="001E5FE4">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679704</wp:posOffset>
              </wp:positionH>
              <wp:positionV relativeFrom="page">
                <wp:posOffset>1074420</wp:posOffset>
              </wp:positionV>
              <wp:extent cx="7092696" cy="118873"/>
              <wp:effectExtent l="0" t="0" r="0" b="0"/>
              <wp:wrapSquare wrapText="bothSides"/>
              <wp:docPr id="15967" name="Group 15967"/>
              <wp:cNvGraphicFramePr/>
              <a:graphic xmlns:a="http://schemas.openxmlformats.org/drawingml/2006/main">
                <a:graphicData uri="http://schemas.microsoft.com/office/word/2010/wordprocessingGroup">
                  <wpg:wgp>
                    <wpg:cNvGrpSpPr/>
                    <wpg:grpSpPr>
                      <a:xfrm>
                        <a:off x="0" y="0"/>
                        <a:ext cx="7092696" cy="118873"/>
                        <a:chOff x="0" y="0"/>
                        <a:chExt cx="7092696" cy="118873"/>
                      </a:xfrm>
                    </wpg:grpSpPr>
                    <wps:wsp>
                      <wps:cNvPr id="15969" name="Shape 15969"/>
                      <wps:cNvSpPr/>
                      <wps:spPr>
                        <a:xfrm>
                          <a:off x="89916" y="33528"/>
                          <a:ext cx="7002781" cy="51816"/>
                        </a:xfrm>
                        <a:custGeom>
                          <a:avLst/>
                          <a:gdLst/>
                          <a:ahLst/>
                          <a:cxnLst/>
                          <a:rect l="0" t="0" r="0" b="0"/>
                          <a:pathLst>
                            <a:path w="7002781" h="51816">
                              <a:moveTo>
                                <a:pt x="8636" y="0"/>
                              </a:moveTo>
                              <a:lnTo>
                                <a:pt x="7002781" y="0"/>
                              </a:lnTo>
                              <a:lnTo>
                                <a:pt x="7002781" y="51816"/>
                              </a:lnTo>
                              <a:lnTo>
                                <a:pt x="8636" y="51816"/>
                              </a:lnTo>
                              <a:cubicBezTo>
                                <a:pt x="3861" y="51816"/>
                                <a:pt x="0" y="48006"/>
                                <a:pt x="0" y="43180"/>
                              </a:cubicBezTo>
                              <a:lnTo>
                                <a:pt x="0" y="8636"/>
                              </a:lnTo>
                              <a:cubicBezTo>
                                <a:pt x="0" y="3810"/>
                                <a:pt x="3861" y="0"/>
                                <a:pt x="8636" y="0"/>
                              </a:cubicBezTo>
                              <a:close/>
                            </a:path>
                          </a:pathLst>
                        </a:custGeom>
                        <a:ln w="0" cap="flat">
                          <a:miter lim="127000"/>
                        </a:ln>
                      </wps:spPr>
                      <wps:style>
                        <a:lnRef idx="0">
                          <a:srgbClr val="000000"/>
                        </a:lnRef>
                        <a:fillRef idx="1">
                          <a:srgbClr val="A6445D"/>
                        </a:fillRef>
                        <a:effectRef idx="0">
                          <a:scrgbClr r="0" g="0" b="0"/>
                        </a:effectRef>
                        <a:fontRef idx="none"/>
                      </wps:style>
                      <wps:bodyPr/>
                    </wps:wsp>
                    <wps:wsp>
                      <wps:cNvPr id="15968" name="Shape 15968"/>
                      <wps:cNvSpPr/>
                      <wps:spPr>
                        <a:xfrm>
                          <a:off x="0" y="0"/>
                          <a:ext cx="117348" cy="118873"/>
                        </a:xfrm>
                        <a:custGeom>
                          <a:avLst/>
                          <a:gdLst/>
                          <a:ahLst/>
                          <a:cxnLst/>
                          <a:rect l="0" t="0" r="0" b="0"/>
                          <a:pathLst>
                            <a:path w="117348" h="118873">
                              <a:moveTo>
                                <a:pt x="19558" y="0"/>
                              </a:moveTo>
                              <a:lnTo>
                                <a:pt x="97790" y="0"/>
                              </a:lnTo>
                              <a:cubicBezTo>
                                <a:pt x="108585" y="0"/>
                                <a:pt x="117348" y="8763"/>
                                <a:pt x="117348" y="19558"/>
                              </a:cubicBezTo>
                              <a:lnTo>
                                <a:pt x="117348" y="99314"/>
                              </a:lnTo>
                              <a:cubicBezTo>
                                <a:pt x="117348" y="110110"/>
                                <a:pt x="108585" y="118873"/>
                                <a:pt x="97790" y="118873"/>
                              </a:cubicBezTo>
                              <a:lnTo>
                                <a:pt x="19558" y="118873"/>
                              </a:lnTo>
                              <a:cubicBezTo>
                                <a:pt x="8750" y="118873"/>
                                <a:pt x="0" y="110110"/>
                                <a:pt x="0" y="99314"/>
                              </a:cubicBezTo>
                              <a:lnTo>
                                <a:pt x="0" y="19558"/>
                              </a:lnTo>
                              <a:cubicBezTo>
                                <a:pt x="0" y="8763"/>
                                <a:pt x="8750" y="0"/>
                                <a:pt x="19558" y="0"/>
                              </a:cubicBezTo>
                              <a:close/>
                            </a:path>
                          </a:pathLst>
                        </a:custGeom>
                        <a:ln w="0" cap="flat">
                          <a:miter lim="127000"/>
                        </a:ln>
                      </wps:spPr>
                      <wps:style>
                        <a:lnRef idx="0">
                          <a:srgbClr val="000000"/>
                        </a:lnRef>
                        <a:fillRef idx="1">
                          <a:srgbClr val="A6445D"/>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C8B5E27" id="Group 15967" o:spid="_x0000_s1026" style="position:absolute;margin-left:53.5pt;margin-top:84.6pt;width:558.5pt;height:9.35pt;z-index:251658240;mso-position-horizontal-relative:page;mso-position-vertical-relative:page" coordsize="70926,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nisQMAAFsMAAAOAAAAZHJzL2Uyb0RvYy54bWzsV01v2zgQvRfY/yDovpFoWZZkxCl2mzaX&#10;oltsuz+AoSlLgCQKJGM7/fUdDkWKcoyi6KI9NQdbJufjzZvho3L7+tx30ZFL1YphF5ObNI74wMS+&#10;HQ67+L/P7/4s40hpOuxpJwa+i5+5il/f/fHq9jRu+Uo0ottzGUGQQW1P4y5utB63SaJYw3uqbsTI&#10;B9isheyphp/ykOwlPUH0vktWabpJTkLuRykYVwpW7+1mfIfx65oz/U9dK66jbhcDNo2fEj8fzWdy&#10;d0u3B0nHpmUTDPoDKHraDpDUh7qnmkZPsn0Rqm+ZFErU+oaJPhF13TKONUA1JL2o5kGKpxFrOWxP&#10;h9HTBNRe8PTDYdmH40cZtXvoXV5tijgaaA9twsyRXQKKTuNhC5YPcvw0fpTTwsH+MlWfa9mbb6gn&#10;OiO5z55cftYRg8UirVabahNHDPYIKcsis+yzBlr0wo01b7/tmLi0iUHnwZxGGCQ1c6X+H1efGjpy&#10;bIEyDARcVY4rNEGuKlOQAQCWnii1VcDZFZbKqiJAB7CRZfmqtGTMbKWroiSWrZyUYAmxfc10y56U&#10;fuACaafH90rDNozf3j3Rxj2x8+AeJZyHb56EkWrjZ0KZx+hk+jYhaXaxBWJ2e3HknwXaadO7cpPZ&#10;WvBIAc7ZoBtCQx/OTQjYOgv3PWLI0DJkwFm5b2vtAVwzZU+PLfubfwmBZOUG6AUU3gFqxsSgE7C8&#10;LkFebFMWyxkpXY3LsEs8Ngiiso1z20unMHRWkkmQ7KpHuFj1hV5HwTqhuM1oOogz47sKXIdz0w2m&#10;wYCUUZDeuqMaNaxvNWhy1/ZwTlfQBZeoGyCaGW870PiknztupqAb/uU16AiefrOg5OHxTSejIzXK&#10;i3/TBKOpManbrvNeBFMvvP7arNf5/eQ1GRs/jrruPVPryaaEVtxBIqEuJ/FQt3fCzGLQ3n+AiwmT&#10;BAWZx0exf0axw5pBU+zZ/iXiAremFeJZXFAgDK7vEhc7ftPgOFEhpMjWEHqpwECO0+9wOH6qqDgk&#10;oCnTVWDaMmuGPQCkynOAGyjFbOGOk7WsiqIKSg405dpxI2mZl/kc2B18hwoSlsVmup4mKBN1sGVR&#10;2SO2jL7EFESrqoys/fhbFVq6vsxCUrKUgwB1eH1eEjDv4WkPhe8Cn2d34eKMruEri9yyPHs47tz6&#10;JWq7HhKwDOzS2TKmKIjse2XzslUe5EI2X87SEsdv3UTF/Dm6ia9o8AaLt9H0tm1ekcPfeLfM/xPc&#10;fQUAAP//AwBQSwMEFAAGAAgAAAAhADqDFaDhAAAADAEAAA8AAABkcnMvZG93bnJldi54bWxMT8tO&#10;wzAQvCPxD9YicaNOAvQR4lRVBZwqJFqkqjc33iZR43UUu0n692xPcJvZGc3OZMvRNqLHzteOFMST&#10;CARS4UxNpYKf3cfTHIQPmoxuHKGCK3pY5vd3mU6NG+gb+20oBYeQT7WCKoQ2ldIXFVrtJ65FYu3k&#10;OqsD066UptMDh9tGJlE0lVbXxB8q3eK6wuK8vVgFn4MeVs/xe785n9bXw+71a7+JUanHh3H1BiLg&#10;GP7McKvP1SHnTkd3IeNFwzya8ZbAYLpIQNwcSfLCpyOj+WwBMs/k/xH5LwAAAP//AwBQSwECLQAU&#10;AAYACAAAACEAtoM4kv4AAADhAQAAEwAAAAAAAAAAAAAAAAAAAAAAW0NvbnRlbnRfVHlwZXNdLnht&#10;bFBLAQItABQABgAIAAAAIQA4/SH/1gAAAJQBAAALAAAAAAAAAAAAAAAAAC8BAABfcmVscy8ucmVs&#10;c1BLAQItABQABgAIAAAAIQBPUDnisQMAAFsMAAAOAAAAAAAAAAAAAAAAAC4CAABkcnMvZTJvRG9j&#10;LnhtbFBLAQItABQABgAIAAAAIQA6gxWg4QAAAAwBAAAPAAAAAAAAAAAAAAAAAAsGAABkcnMvZG93&#10;bnJldi54bWxQSwUGAAAAAAQABADzAAAAGQcAAAAA&#10;">
              <v:shape id="Shape 15969" o:spid="_x0000_s1027" style="position:absolute;left:899;top:335;width:70027;height:518;visibility:visible;mso-wrap-style:square;v-text-anchor:top" coordsize="7002781,51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5i8YA&#10;AADeAAAADwAAAGRycy9kb3ducmV2LnhtbERP32vCMBB+F/wfwgl7EZs6ps5qlDE2FMTBtAh7O5qz&#10;LTaXkmTa/ffLYODbfXw/b7nuTCOu5HxtWcE4SUEQF1bXXCrIj++jZxA+IGtsLJOCH/KwXvV7S8y0&#10;vfEnXQ+hFDGEfYYKqhDaTEpfVGTQJ7YljtzZOoMhQldK7fAWw00jH9N0Kg3WHBsqbOm1ouJy+DYK&#10;NsPUydlxv/l6cqd89zb5aLYnUuph0L0sQATqwl38797qOH8yn87h7514g1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T5i8YAAADeAAAADwAAAAAAAAAAAAAAAACYAgAAZHJz&#10;L2Rvd25yZXYueG1sUEsFBgAAAAAEAAQA9QAAAIsDAAAAAA==&#10;" path="m8636,l7002781,r,51816l8636,51816c3861,51816,,48006,,43180l,8636c,3810,3861,,8636,xe" fillcolor="#a6445d" stroked="f" strokeweight="0">
                <v:stroke miterlimit="83231f" joinstyle="miter"/>
                <v:path arrowok="t" textboxrect="0,0,7002781,51816"/>
              </v:shape>
              <v:shape id="Shape 15968" o:spid="_x0000_s1028" style="position:absolute;width:1173;height:1188;visibility:visible;mso-wrap-style:square;v-text-anchor:top" coordsize="117348,11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6lnscA&#10;AADeAAAADwAAAGRycy9kb3ducmV2LnhtbESPQU8CMRCF7yb+h2ZMuBDpioHgSiFqFDwq6n2yHbob&#10;t9NNW5eFX88cSLzN5L1575vlevCt6immJrCBu0kBirgKtmFn4Pvr7XYBKmVki21gMnCkBOvV9dUS&#10;SxsO/En9LjslIZxKNFDn3JVap6omj2kSOmLR9iF6zLJGp23Eg4T7Vk+LYq49NiwNNXb0UlP1u/vz&#10;Bvazj/ATj+3Ynfr77fOrW2z8UBkzuhmeHkFlGvK/+XL9bgV/9jAXXnlHZtCr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3upZ7HAAAA3gAAAA8AAAAAAAAAAAAAAAAAmAIAAGRy&#10;cy9kb3ducmV2LnhtbFBLBQYAAAAABAAEAPUAAACMAwAAAAA=&#10;" path="m19558,l97790,v10795,,19558,8763,19558,19558l117348,99314v,10796,-8763,19559,-19558,19559l19558,118873c8750,118873,,110110,,99314l,19558c,8763,8750,,19558,xe" fillcolor="#a6445d" stroked="f" strokeweight="0">
                <v:stroke miterlimit="83231f" joinstyle="miter"/>
                <v:path arrowok="t" textboxrect="0,0,117348,118873"/>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0D3" w:rsidRDefault="00AC30D3">
    <w:pPr>
      <w:spacing w:after="0" w:line="276"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0D3" w:rsidRDefault="00AC30D3">
    <w:pPr>
      <w:spacing w:after="0" w:line="276"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0D3" w:rsidRDefault="00AC30D3">
    <w:pPr>
      <w:spacing w:after="0" w:line="276"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0D3" w:rsidRDefault="00AC30D3">
    <w:pPr>
      <w:spacing w:after="0" w:line="276"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4DF"/>
    <w:multiLevelType w:val="hybridMultilevel"/>
    <w:tmpl w:val="F2B0E5E8"/>
    <w:lvl w:ilvl="0" w:tplc="9D50A94A">
      <w:start w:val="1"/>
      <w:numFmt w:val="upperRoman"/>
      <w:lvlText w:val="%1."/>
      <w:lvlJc w:val="left"/>
      <w:pPr>
        <w:ind w:left="720" w:hanging="72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0D5D5613"/>
    <w:multiLevelType w:val="hybridMultilevel"/>
    <w:tmpl w:val="D4D23A9C"/>
    <w:lvl w:ilvl="0" w:tplc="BB0C3464">
      <w:start w:val="1"/>
      <w:numFmt w:val="bullet"/>
      <w:lvlText w:val="-"/>
      <w:lvlJc w:val="left"/>
      <w:pPr>
        <w:ind w:left="109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9EEE7DE">
      <w:start w:val="1"/>
      <w:numFmt w:val="bullet"/>
      <w:lvlText w:val="•"/>
      <w:lvlJc w:val="left"/>
      <w:pPr>
        <w:ind w:left="18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C842272">
      <w:start w:val="1"/>
      <w:numFmt w:val="bullet"/>
      <w:lvlText w:val="▪"/>
      <w:lvlJc w:val="left"/>
      <w:pPr>
        <w:ind w:left="253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334FB4A">
      <w:start w:val="1"/>
      <w:numFmt w:val="bullet"/>
      <w:lvlText w:val="•"/>
      <w:lvlJc w:val="left"/>
      <w:pPr>
        <w:ind w:left="32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B528E56">
      <w:start w:val="1"/>
      <w:numFmt w:val="bullet"/>
      <w:lvlText w:val="o"/>
      <w:lvlJc w:val="left"/>
      <w:pPr>
        <w:ind w:left="397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6A6F80C">
      <w:start w:val="1"/>
      <w:numFmt w:val="bullet"/>
      <w:lvlText w:val="▪"/>
      <w:lvlJc w:val="left"/>
      <w:pPr>
        <w:ind w:left="469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02A9DD6">
      <w:start w:val="1"/>
      <w:numFmt w:val="bullet"/>
      <w:lvlText w:val="•"/>
      <w:lvlJc w:val="left"/>
      <w:pPr>
        <w:ind w:left="541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11022B6">
      <w:start w:val="1"/>
      <w:numFmt w:val="bullet"/>
      <w:lvlText w:val="o"/>
      <w:lvlJc w:val="left"/>
      <w:pPr>
        <w:ind w:left="613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EF7ACE8E">
      <w:start w:val="1"/>
      <w:numFmt w:val="bullet"/>
      <w:lvlText w:val="▪"/>
      <w:lvlJc w:val="left"/>
      <w:pPr>
        <w:ind w:left="6857"/>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28B979EE"/>
    <w:multiLevelType w:val="hybridMultilevel"/>
    <w:tmpl w:val="F14CA5CE"/>
    <w:lvl w:ilvl="0" w:tplc="76DAEBE2">
      <w:start w:val="1"/>
      <w:numFmt w:val="bullet"/>
      <w:lvlText w:val="-"/>
      <w:lvlJc w:val="left"/>
      <w:pPr>
        <w:ind w:left="10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6E47E0E">
      <w:start w:val="1"/>
      <w:numFmt w:val="bullet"/>
      <w:lvlText w:val="o"/>
      <w:lvlJc w:val="left"/>
      <w:pPr>
        <w:ind w:left="19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3AAEA44">
      <w:start w:val="1"/>
      <w:numFmt w:val="bullet"/>
      <w:lvlText w:val="▪"/>
      <w:lvlJc w:val="left"/>
      <w:pPr>
        <w:ind w:left="26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D04654C">
      <w:start w:val="1"/>
      <w:numFmt w:val="bullet"/>
      <w:lvlText w:val="•"/>
      <w:lvlJc w:val="left"/>
      <w:pPr>
        <w:ind w:left="33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72E6214">
      <w:start w:val="1"/>
      <w:numFmt w:val="bullet"/>
      <w:lvlText w:val="o"/>
      <w:lvlJc w:val="left"/>
      <w:pPr>
        <w:ind w:left="40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02CC1DE">
      <w:start w:val="1"/>
      <w:numFmt w:val="bullet"/>
      <w:lvlText w:val="▪"/>
      <w:lvlJc w:val="left"/>
      <w:pPr>
        <w:ind w:left="4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B7ABB9C">
      <w:start w:val="1"/>
      <w:numFmt w:val="bullet"/>
      <w:lvlText w:val="•"/>
      <w:lvlJc w:val="left"/>
      <w:pPr>
        <w:ind w:left="5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C501746">
      <w:start w:val="1"/>
      <w:numFmt w:val="bullet"/>
      <w:lvlText w:val="o"/>
      <w:lvlJc w:val="left"/>
      <w:pPr>
        <w:ind w:left="6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9AC3622">
      <w:start w:val="1"/>
      <w:numFmt w:val="bullet"/>
      <w:lvlText w:val="▪"/>
      <w:lvlJc w:val="left"/>
      <w:pPr>
        <w:ind w:left="6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42993A87"/>
    <w:multiLevelType w:val="hybridMultilevel"/>
    <w:tmpl w:val="387A090A"/>
    <w:lvl w:ilvl="0" w:tplc="594075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80971"/>
    <w:multiLevelType w:val="hybridMultilevel"/>
    <w:tmpl w:val="1AC8E832"/>
    <w:lvl w:ilvl="0" w:tplc="13260946">
      <w:start w:val="1"/>
      <w:numFmt w:val="upperRoman"/>
      <w:lvlText w:val="%1."/>
      <w:lvlJc w:val="left"/>
      <w:pPr>
        <w:ind w:left="1080" w:hanging="720"/>
      </w:pPr>
      <w:rPr>
        <w:rFonts w:eastAsia="Berlin Sans FB"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C20F4A"/>
    <w:multiLevelType w:val="hybridMultilevel"/>
    <w:tmpl w:val="9A204FCC"/>
    <w:lvl w:ilvl="0" w:tplc="965E1A2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E4A6C"/>
    <w:multiLevelType w:val="hybridMultilevel"/>
    <w:tmpl w:val="94DC4EAC"/>
    <w:lvl w:ilvl="0" w:tplc="7AB0487C">
      <w:start w:val="1"/>
      <w:numFmt w:val="bullet"/>
      <w:lvlText w:val="-"/>
      <w:lvlJc w:val="left"/>
      <w:pPr>
        <w:ind w:left="10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C1423D8">
      <w:start w:val="1"/>
      <w:numFmt w:val="bullet"/>
      <w:lvlText w:val="o"/>
      <w:lvlJc w:val="left"/>
      <w:pPr>
        <w:ind w:left="18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552FF62">
      <w:start w:val="1"/>
      <w:numFmt w:val="bullet"/>
      <w:lvlText w:val="▪"/>
      <w:lvlJc w:val="left"/>
      <w:pPr>
        <w:ind w:left="25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FB0337A">
      <w:start w:val="1"/>
      <w:numFmt w:val="bullet"/>
      <w:lvlText w:val="•"/>
      <w:lvlJc w:val="left"/>
      <w:pPr>
        <w:ind w:left="32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4FC2460">
      <w:start w:val="1"/>
      <w:numFmt w:val="bullet"/>
      <w:lvlText w:val="o"/>
      <w:lvlJc w:val="left"/>
      <w:pPr>
        <w:ind w:left="39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318A3CC">
      <w:start w:val="1"/>
      <w:numFmt w:val="bullet"/>
      <w:lvlText w:val="▪"/>
      <w:lvlJc w:val="left"/>
      <w:pPr>
        <w:ind w:left="46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4944272">
      <w:start w:val="1"/>
      <w:numFmt w:val="bullet"/>
      <w:lvlText w:val="•"/>
      <w:lvlJc w:val="left"/>
      <w:pPr>
        <w:ind w:left="54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F241E48">
      <w:start w:val="1"/>
      <w:numFmt w:val="bullet"/>
      <w:lvlText w:val="o"/>
      <w:lvlJc w:val="left"/>
      <w:pPr>
        <w:ind w:left="61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3E2DFC6">
      <w:start w:val="1"/>
      <w:numFmt w:val="bullet"/>
      <w:lvlText w:val="▪"/>
      <w:lvlJc w:val="left"/>
      <w:pPr>
        <w:ind w:left="68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6E312527"/>
    <w:multiLevelType w:val="hybridMultilevel"/>
    <w:tmpl w:val="87625576"/>
    <w:lvl w:ilvl="0" w:tplc="9F04C784">
      <w:numFmt w:val="bullet"/>
      <w:lvlText w:val="-"/>
      <w:lvlJc w:val="left"/>
      <w:pPr>
        <w:ind w:left="722" w:hanging="360"/>
      </w:pPr>
      <w:rPr>
        <w:rFonts w:ascii="Times New Roman" w:eastAsia="Times New Roman" w:hAnsi="Times New Roman" w:cs="Times New Roman"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7"/>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0D3"/>
    <w:rsid w:val="000252D4"/>
    <w:rsid w:val="0005099C"/>
    <w:rsid w:val="00082926"/>
    <w:rsid w:val="0009347E"/>
    <w:rsid w:val="000B4B88"/>
    <w:rsid w:val="000F505C"/>
    <w:rsid w:val="00120232"/>
    <w:rsid w:val="00123E81"/>
    <w:rsid w:val="00145ACB"/>
    <w:rsid w:val="0017101A"/>
    <w:rsid w:val="001B7CB7"/>
    <w:rsid w:val="001E2672"/>
    <w:rsid w:val="001E5FE4"/>
    <w:rsid w:val="00214B1E"/>
    <w:rsid w:val="00227552"/>
    <w:rsid w:val="00255C6E"/>
    <w:rsid w:val="00261142"/>
    <w:rsid w:val="00265CCA"/>
    <w:rsid w:val="0028010D"/>
    <w:rsid w:val="002879C8"/>
    <w:rsid w:val="003216C9"/>
    <w:rsid w:val="00324433"/>
    <w:rsid w:val="00345092"/>
    <w:rsid w:val="00403AFB"/>
    <w:rsid w:val="00444D59"/>
    <w:rsid w:val="0045072E"/>
    <w:rsid w:val="004571B9"/>
    <w:rsid w:val="004610A5"/>
    <w:rsid w:val="004C06C0"/>
    <w:rsid w:val="004F5CDC"/>
    <w:rsid w:val="005A3851"/>
    <w:rsid w:val="005E4B65"/>
    <w:rsid w:val="005E54EB"/>
    <w:rsid w:val="006220CE"/>
    <w:rsid w:val="0063327F"/>
    <w:rsid w:val="007030F9"/>
    <w:rsid w:val="00735C6C"/>
    <w:rsid w:val="00736BA3"/>
    <w:rsid w:val="007521B3"/>
    <w:rsid w:val="00753A77"/>
    <w:rsid w:val="007A464E"/>
    <w:rsid w:val="007C139E"/>
    <w:rsid w:val="007D1E2C"/>
    <w:rsid w:val="007F62A6"/>
    <w:rsid w:val="0081142D"/>
    <w:rsid w:val="00823B75"/>
    <w:rsid w:val="00832B75"/>
    <w:rsid w:val="0089070D"/>
    <w:rsid w:val="008E2325"/>
    <w:rsid w:val="008E2CCA"/>
    <w:rsid w:val="00901AF9"/>
    <w:rsid w:val="009102F0"/>
    <w:rsid w:val="00916629"/>
    <w:rsid w:val="009C1E3E"/>
    <w:rsid w:val="009D462B"/>
    <w:rsid w:val="009E6C62"/>
    <w:rsid w:val="009F585E"/>
    <w:rsid w:val="00A059A3"/>
    <w:rsid w:val="00A41B01"/>
    <w:rsid w:val="00A74F5D"/>
    <w:rsid w:val="00AC30D3"/>
    <w:rsid w:val="00B27366"/>
    <w:rsid w:val="00B856F6"/>
    <w:rsid w:val="00BC65C0"/>
    <w:rsid w:val="00C24A5F"/>
    <w:rsid w:val="00C374EC"/>
    <w:rsid w:val="00C67288"/>
    <w:rsid w:val="00C75C25"/>
    <w:rsid w:val="00C764E6"/>
    <w:rsid w:val="00CC1AC4"/>
    <w:rsid w:val="00DF44AF"/>
    <w:rsid w:val="00E35CD4"/>
    <w:rsid w:val="00E630DB"/>
    <w:rsid w:val="00EA0830"/>
    <w:rsid w:val="00EA2488"/>
    <w:rsid w:val="00EC47D1"/>
    <w:rsid w:val="00F06213"/>
    <w:rsid w:val="00F253FF"/>
    <w:rsid w:val="00F25617"/>
    <w:rsid w:val="00F3106F"/>
    <w:rsid w:val="00F75C24"/>
    <w:rsid w:val="00F87CF4"/>
    <w:rsid w:val="00FE1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9FE855-3F1E-4848-8C55-D70CBED4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1" w:line="243" w:lineRule="auto"/>
      <w:ind w:left="37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0" w:lineRule="auto"/>
      <w:ind w:left="37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C65C0"/>
    <w:pPr>
      <w:ind w:left="720"/>
      <w:contextualSpacing/>
    </w:pPr>
  </w:style>
  <w:style w:type="character" w:styleId="Hyperlink">
    <w:name w:val="Hyperlink"/>
    <w:basedOn w:val="DefaultParagraphFont"/>
    <w:uiPriority w:val="99"/>
    <w:unhideWhenUsed/>
    <w:rsid w:val="000F505C"/>
    <w:rPr>
      <w:color w:val="0563C1" w:themeColor="hyperlink"/>
      <w:u w:val="single"/>
    </w:rPr>
  </w:style>
  <w:style w:type="paragraph" w:styleId="NormalWeb">
    <w:name w:val="Normal (Web)"/>
    <w:basedOn w:val="Normal"/>
    <w:uiPriority w:val="99"/>
    <w:semiHidden/>
    <w:unhideWhenUsed/>
    <w:rsid w:val="0089070D"/>
    <w:pPr>
      <w:spacing w:before="100" w:beforeAutospacing="1" w:after="100" w:afterAutospacing="1" w:line="240" w:lineRule="auto"/>
      <w:ind w:left="0" w:firstLine="0"/>
      <w:jc w:val="left"/>
    </w:pPr>
    <w:rPr>
      <w:color w:val="auto"/>
      <w:szCs w:val="24"/>
    </w:rPr>
  </w:style>
  <w:style w:type="paragraph" w:styleId="Header">
    <w:name w:val="header"/>
    <w:basedOn w:val="Normal"/>
    <w:link w:val="HeaderChar"/>
    <w:uiPriority w:val="99"/>
    <w:unhideWhenUsed/>
    <w:rsid w:val="00261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14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702823">
      <w:bodyDiv w:val="1"/>
      <w:marLeft w:val="0"/>
      <w:marRight w:val="0"/>
      <w:marTop w:val="0"/>
      <w:marBottom w:val="0"/>
      <w:divBdr>
        <w:top w:val="none" w:sz="0" w:space="0" w:color="auto"/>
        <w:left w:val="none" w:sz="0" w:space="0" w:color="auto"/>
        <w:bottom w:val="none" w:sz="0" w:space="0" w:color="auto"/>
        <w:right w:val="none" w:sz="0" w:space="0" w:color="auto"/>
      </w:divBdr>
      <w:divsChild>
        <w:div w:id="1981379632">
          <w:marLeft w:val="0"/>
          <w:marRight w:val="0"/>
          <w:marTop w:val="0"/>
          <w:marBottom w:val="0"/>
          <w:divBdr>
            <w:top w:val="none" w:sz="0" w:space="0" w:color="auto"/>
            <w:left w:val="none" w:sz="0" w:space="0" w:color="auto"/>
            <w:bottom w:val="none" w:sz="0" w:space="0" w:color="auto"/>
            <w:right w:val="none" w:sz="0" w:space="0" w:color="auto"/>
          </w:divBdr>
        </w:div>
        <w:div w:id="1834443073">
          <w:marLeft w:val="0"/>
          <w:marRight w:val="0"/>
          <w:marTop w:val="0"/>
          <w:marBottom w:val="0"/>
          <w:divBdr>
            <w:top w:val="none" w:sz="0" w:space="0" w:color="auto"/>
            <w:left w:val="none" w:sz="0" w:space="0" w:color="auto"/>
            <w:bottom w:val="none" w:sz="0" w:space="0" w:color="auto"/>
            <w:right w:val="none" w:sz="0" w:space="0" w:color="auto"/>
          </w:divBdr>
        </w:div>
        <w:div w:id="790629324">
          <w:marLeft w:val="0"/>
          <w:marRight w:val="0"/>
          <w:marTop w:val="0"/>
          <w:marBottom w:val="0"/>
          <w:divBdr>
            <w:top w:val="none" w:sz="0" w:space="0" w:color="auto"/>
            <w:left w:val="none" w:sz="0" w:space="0" w:color="auto"/>
            <w:bottom w:val="none" w:sz="0" w:space="0" w:color="auto"/>
            <w:right w:val="none" w:sz="0" w:space="0" w:color="auto"/>
          </w:divBdr>
        </w:div>
      </w:divsChild>
    </w:div>
    <w:div w:id="604924571">
      <w:bodyDiv w:val="1"/>
      <w:marLeft w:val="0"/>
      <w:marRight w:val="0"/>
      <w:marTop w:val="0"/>
      <w:marBottom w:val="0"/>
      <w:divBdr>
        <w:top w:val="none" w:sz="0" w:space="0" w:color="auto"/>
        <w:left w:val="none" w:sz="0" w:space="0" w:color="auto"/>
        <w:bottom w:val="none" w:sz="0" w:space="0" w:color="auto"/>
        <w:right w:val="none" w:sz="0" w:space="0" w:color="auto"/>
      </w:divBdr>
      <w:divsChild>
        <w:div w:id="82992936">
          <w:marLeft w:val="0"/>
          <w:marRight w:val="0"/>
          <w:marTop w:val="0"/>
          <w:marBottom w:val="0"/>
          <w:divBdr>
            <w:top w:val="none" w:sz="0" w:space="0" w:color="auto"/>
            <w:left w:val="none" w:sz="0" w:space="0" w:color="auto"/>
            <w:bottom w:val="none" w:sz="0" w:space="0" w:color="auto"/>
            <w:right w:val="none" w:sz="0" w:space="0" w:color="auto"/>
          </w:divBdr>
        </w:div>
        <w:div w:id="479884324">
          <w:marLeft w:val="0"/>
          <w:marRight w:val="0"/>
          <w:marTop w:val="0"/>
          <w:marBottom w:val="0"/>
          <w:divBdr>
            <w:top w:val="none" w:sz="0" w:space="0" w:color="auto"/>
            <w:left w:val="none" w:sz="0" w:space="0" w:color="auto"/>
            <w:bottom w:val="none" w:sz="0" w:space="0" w:color="auto"/>
            <w:right w:val="none" w:sz="0" w:space="0" w:color="auto"/>
          </w:divBdr>
        </w:div>
        <w:div w:id="1154109280">
          <w:marLeft w:val="0"/>
          <w:marRight w:val="0"/>
          <w:marTop w:val="0"/>
          <w:marBottom w:val="0"/>
          <w:divBdr>
            <w:top w:val="none" w:sz="0" w:space="0" w:color="auto"/>
            <w:left w:val="none" w:sz="0" w:space="0" w:color="auto"/>
            <w:bottom w:val="none" w:sz="0" w:space="0" w:color="auto"/>
            <w:right w:val="none" w:sz="0" w:space="0" w:color="auto"/>
          </w:divBdr>
        </w:div>
      </w:divsChild>
    </w:div>
    <w:div w:id="1440295316">
      <w:bodyDiv w:val="1"/>
      <w:marLeft w:val="0"/>
      <w:marRight w:val="0"/>
      <w:marTop w:val="0"/>
      <w:marBottom w:val="0"/>
      <w:divBdr>
        <w:top w:val="none" w:sz="0" w:space="0" w:color="auto"/>
        <w:left w:val="none" w:sz="0" w:space="0" w:color="auto"/>
        <w:bottom w:val="none" w:sz="0" w:space="0" w:color="auto"/>
        <w:right w:val="none" w:sz="0" w:space="0" w:color="auto"/>
      </w:divBdr>
      <w:divsChild>
        <w:div w:id="683364134">
          <w:marLeft w:val="0"/>
          <w:marRight w:val="0"/>
          <w:marTop w:val="0"/>
          <w:marBottom w:val="0"/>
          <w:divBdr>
            <w:top w:val="none" w:sz="0" w:space="0" w:color="auto"/>
            <w:left w:val="none" w:sz="0" w:space="0" w:color="auto"/>
            <w:bottom w:val="none" w:sz="0" w:space="0" w:color="auto"/>
            <w:right w:val="none" w:sz="0" w:space="0" w:color="auto"/>
          </w:divBdr>
        </w:div>
        <w:div w:id="2417257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drejtesia.gov.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inanca.gov.a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inanca.gov.al/wp-content/uploads/2023/02/REGJISTRI-i-KERKESAVE-janar-2023.docx"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financa.gov.al/wp-content/uploads/2022/11/Programi_transparences_Tetor-2022.doc" TargetMode="External"/><Relationship Id="rId22" Type="http://schemas.openxmlformats.org/officeDocument/2006/relationships/header" Target="header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Statusi i zbatimit të Planit të Integritetit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65E-4621-B8C6-2FC79959562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65E-4621-B8C6-2FC79959562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65E-4621-B8C6-2FC79959562B}"/>
              </c:ext>
            </c:extLst>
          </c:dPt>
          <c:dPt>
            <c:idx val="3"/>
            <c:bubble3D val="0"/>
            <c:explosion val="42"/>
            <c:spPr>
              <a:solidFill>
                <a:schemeClr val="accent4"/>
              </a:solidFill>
              <a:ln w="19050">
                <a:solidFill>
                  <a:schemeClr val="lt1"/>
                </a:solidFill>
              </a:ln>
              <a:effectLst/>
            </c:spPr>
            <c:extLst>
              <c:ext xmlns:c16="http://schemas.microsoft.com/office/drawing/2014/chart" uri="{C3380CC4-5D6E-409C-BE32-E72D297353CC}">
                <c16:uniqueId val="{00000002-F8EE-46E5-9389-1C07FDFAD08F}"/>
              </c:ext>
            </c:extLst>
          </c:dPt>
          <c:dLbls>
            <c:dLbl>
              <c:idx val="0"/>
              <c:tx>
                <c:rich>
                  <a:bodyPr/>
                  <a:lstStyle/>
                  <a:p>
                    <a:fld id="{8959308F-43D5-4C18-B9A9-C9FE67C3FAA3}" type="VALUE">
                      <a:rPr lang="en-US"/>
                      <a:pPr/>
                      <a:t>[VALUE]</a:t>
                    </a:fld>
                    <a:r>
                      <a:rPr lang="en-US" baseline="0"/>
                      <a:t> %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65E-4621-B8C6-2FC79959562B}"/>
                </c:ext>
              </c:extLst>
            </c:dLbl>
            <c:dLbl>
              <c:idx val="1"/>
              <c:tx>
                <c:rich>
                  <a:bodyPr/>
                  <a:lstStyle/>
                  <a:p>
                    <a:r>
                      <a:rPr lang="en-US"/>
                      <a:t>18.51%</a:t>
                    </a:r>
                  </a:p>
                </c:rich>
              </c:tx>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65E-4621-B8C6-2FC79959562B}"/>
                </c:ext>
              </c:extLst>
            </c:dLbl>
            <c:dLbl>
              <c:idx val="2"/>
              <c:tx>
                <c:rich>
                  <a:bodyPr/>
                  <a:lstStyle/>
                  <a:p>
                    <a:r>
                      <a:rPr lang="en-US"/>
                      <a:t>3.7%</a:t>
                    </a:r>
                  </a:p>
                </c:rich>
              </c:tx>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65E-4621-B8C6-2FC7995956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realizuara</c:v>
                </c:pt>
                <c:pt idx="1">
                  <c:v>Të realizuara pjesërisht</c:v>
                </c:pt>
                <c:pt idx="2">
                  <c:v>Të Parealizuara</c:v>
                </c:pt>
              </c:strCache>
            </c:strRef>
          </c:cat>
          <c:val>
            <c:numRef>
              <c:f>Sheet1!$B$2:$B$4</c:f>
              <c:numCache>
                <c:formatCode>General</c:formatCode>
                <c:ptCount val="3"/>
                <c:pt idx="0">
                  <c:v>77.7</c:v>
                </c:pt>
                <c:pt idx="1">
                  <c:v>14.8</c:v>
                </c:pt>
                <c:pt idx="2">
                  <c:v>7.4</c:v>
                </c:pt>
              </c:numCache>
            </c:numRef>
          </c:val>
          <c:extLst>
            <c:ext xmlns:c16="http://schemas.microsoft.com/office/drawing/2014/chart" uri="{C3380CC4-5D6E-409C-BE32-E72D297353CC}">
              <c16:uniqueId val="{00000000-F8EE-46E5-9389-1C07FDFAD08F}"/>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40D37-BD6F-4D5D-AA06-6B804721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Cenaj</dc:creator>
  <cp:keywords/>
  <cp:lastModifiedBy>Marko Cenaj</cp:lastModifiedBy>
  <cp:revision>2</cp:revision>
  <dcterms:created xsi:type="dcterms:W3CDTF">2023-04-05T06:52:00Z</dcterms:created>
  <dcterms:modified xsi:type="dcterms:W3CDTF">2023-04-05T06:52:00Z</dcterms:modified>
</cp:coreProperties>
</file>